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12345" w14:textId="5B2372A1" w:rsidR="003A63C0" w:rsidRDefault="00654E8F" w:rsidP="00EF7985">
      <w:pPr>
        <w:pStyle w:val="SupplementaryMaterial"/>
      </w:pPr>
      <w:r w:rsidRPr="001549D3">
        <w:t>Supplementary Material</w:t>
      </w:r>
    </w:p>
    <w:p w14:paraId="27ADE8BC" w14:textId="77777777" w:rsidR="00EF7985" w:rsidRPr="00EF7985" w:rsidRDefault="00EF7985" w:rsidP="00EF7985"/>
    <w:p w14:paraId="3BD5A427" w14:textId="6600043A" w:rsidR="00EA3D3C" w:rsidRDefault="00654E8F" w:rsidP="0001436A">
      <w:pPr>
        <w:pStyle w:val="Heading1"/>
      </w:pPr>
      <w:r w:rsidRPr="00994A3D">
        <w:t xml:space="preserve">Supplementary </w:t>
      </w:r>
      <w:r w:rsidR="000A2BB6">
        <w:t>Figures</w:t>
      </w:r>
    </w:p>
    <w:p w14:paraId="2F0A5BEE" w14:textId="29AF1D55" w:rsidR="00EF7985" w:rsidRPr="00EF7985" w:rsidRDefault="00EF7985" w:rsidP="00EF7985">
      <w:r>
        <w:rPr>
          <w:rFonts w:cs="Times New Roman"/>
          <w:noProof/>
          <w:szCs w:val="24"/>
        </w:rPr>
        <w:drawing>
          <wp:anchor distT="0" distB="0" distL="114300" distR="114300" simplePos="0" relativeHeight="251658240" behindDoc="0" locked="0" layoutInCell="1" allowOverlap="1" wp14:anchorId="0F58A210" wp14:editId="3E050DCF">
            <wp:simplePos x="0" y="0"/>
            <wp:positionH relativeFrom="page">
              <wp:align>center</wp:align>
            </wp:positionH>
            <wp:positionV relativeFrom="paragraph">
              <wp:posOffset>232410</wp:posOffset>
            </wp:positionV>
            <wp:extent cx="6934835" cy="2794000"/>
            <wp:effectExtent l="0" t="0" r="0" b="635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4835" cy="2794000"/>
                    </a:xfrm>
                    <a:prstGeom prst="rect">
                      <a:avLst/>
                    </a:prstGeom>
                  </pic:spPr>
                </pic:pic>
              </a:graphicData>
            </a:graphic>
            <wp14:sizeRelH relativeFrom="margin">
              <wp14:pctWidth>0</wp14:pctWidth>
            </wp14:sizeRelH>
            <wp14:sizeRelV relativeFrom="margin">
              <wp14:pctHeight>0</wp14:pctHeight>
            </wp14:sizeRelV>
          </wp:anchor>
        </w:drawing>
      </w:r>
    </w:p>
    <w:p w14:paraId="3FB938A0" w14:textId="77777777" w:rsidR="00EF7985" w:rsidRDefault="00EF7985" w:rsidP="00EF7985">
      <w:pPr>
        <w:keepNext/>
        <w:jc w:val="both"/>
        <w:rPr>
          <w:rFonts w:cs="Times New Roman"/>
          <w:b/>
          <w:szCs w:val="24"/>
        </w:rPr>
      </w:pPr>
    </w:p>
    <w:p w14:paraId="3AE196DF" w14:textId="3C63D0B3" w:rsidR="00994A3D" w:rsidRDefault="00994A3D" w:rsidP="00EF7985">
      <w:pPr>
        <w:keepNext/>
        <w:jc w:val="both"/>
        <w:rPr>
          <w:rFonts w:eastAsia="Times New Roman" w:cstheme="minorHAnsi"/>
        </w:rPr>
      </w:pPr>
      <w:r w:rsidRPr="0001436A">
        <w:rPr>
          <w:rFonts w:cs="Times New Roman"/>
          <w:b/>
          <w:szCs w:val="24"/>
        </w:rPr>
        <w:t xml:space="preserve">Supplementary Figure </w:t>
      </w:r>
      <w:r w:rsidR="00EF7985">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EF7985" w:rsidRPr="003F2013">
        <w:rPr>
          <w:rFonts w:eastAsia="Times New Roman" w:cstheme="minorHAnsi"/>
        </w:rPr>
        <w:t>Experimental design illustrating the main steps of the whole study.</w:t>
      </w:r>
      <w:r w:rsidR="00EF7985" w:rsidRPr="003F2013">
        <w:rPr>
          <w:rFonts w:eastAsia="Times New Roman" w:cstheme="minorHAnsi"/>
          <w:b/>
          <w:bCs/>
        </w:rPr>
        <w:t xml:space="preserve"> </w:t>
      </w:r>
      <w:r w:rsidR="00EF7985" w:rsidRPr="003F2013">
        <w:rPr>
          <w:rFonts w:eastAsia="Times New Roman" w:cstheme="minorHAnsi"/>
        </w:rPr>
        <w:t xml:space="preserve">After pre-germination in Petri dishes, wheat seeds (cv. </w:t>
      </w:r>
      <w:proofErr w:type="spellStart"/>
      <w:r w:rsidR="00EF7985" w:rsidRPr="003F2013">
        <w:rPr>
          <w:rFonts w:eastAsia="Times New Roman" w:cstheme="minorHAnsi"/>
        </w:rPr>
        <w:t>Alixan</w:t>
      </w:r>
      <w:proofErr w:type="spellEnd"/>
      <w:r w:rsidR="00EF7985" w:rsidRPr="003F2013">
        <w:rPr>
          <w:rFonts w:eastAsia="Times New Roman" w:cstheme="minorHAnsi"/>
        </w:rPr>
        <w:t xml:space="preserve">) were grown in greenhouse for 21 days. At days 0 (D0), plants were either sprayed with a solution of mycosubtilin at 100 </w:t>
      </w:r>
      <w:proofErr w:type="gramStart"/>
      <w:r w:rsidR="00EF7985" w:rsidRPr="003F2013">
        <w:rPr>
          <w:rFonts w:eastAsia="Times New Roman" w:cstheme="minorHAnsi"/>
        </w:rPr>
        <w:t>mg.L</w:t>
      </w:r>
      <w:proofErr w:type="gramEnd"/>
      <w:r w:rsidR="00EF7985" w:rsidRPr="003F2013">
        <w:rPr>
          <w:rFonts w:eastAsia="Times New Roman" w:cstheme="minorHAnsi"/>
          <w:vertAlign w:val="superscript"/>
        </w:rPr>
        <w:t>-1</w:t>
      </w:r>
      <w:r w:rsidR="00EF7985" w:rsidRPr="003F2013">
        <w:rPr>
          <w:rFonts w:eastAsia="Times New Roman" w:cstheme="minorHAnsi"/>
        </w:rPr>
        <w:t xml:space="preserve"> or with a mock treatment. Photography of the epidermis of wheat </w:t>
      </w:r>
      <w:proofErr w:type="gramStart"/>
      <w:r w:rsidR="00EF7985" w:rsidRPr="003F2013">
        <w:rPr>
          <w:rFonts w:eastAsia="Times New Roman" w:cstheme="minorHAnsi"/>
        </w:rPr>
        <w:t>third-leaves</w:t>
      </w:r>
      <w:proofErr w:type="gramEnd"/>
      <w:r w:rsidR="00EF7985" w:rsidRPr="003F2013">
        <w:rPr>
          <w:rFonts w:eastAsia="Times New Roman" w:cstheme="minorHAnsi"/>
        </w:rPr>
        <w:t xml:space="preserve"> observed with an optic microscope is shown. At two days after treatment (D2), third leaves were harvested for each condition and were used for further analyses (transcriptomics and metabolomics). After that, remaining plants were inoculated, or not, with a spore suspension of the </w:t>
      </w:r>
      <w:r w:rsidR="00EF7985" w:rsidRPr="003F2013">
        <w:rPr>
          <w:rFonts w:eastAsia="Times New Roman" w:cstheme="minorHAnsi"/>
          <w:i/>
          <w:iCs/>
        </w:rPr>
        <w:t>Zymoseptoria tritici</w:t>
      </w:r>
      <w:r w:rsidR="00EF7985" w:rsidRPr="003F2013">
        <w:rPr>
          <w:rFonts w:eastAsia="Times New Roman" w:cstheme="minorHAnsi"/>
        </w:rPr>
        <w:t xml:space="preserve"> strain T02596 (concentration: 10</w:t>
      </w:r>
      <w:r w:rsidR="00EF7985" w:rsidRPr="003F2013">
        <w:rPr>
          <w:rFonts w:eastAsia="Times New Roman" w:cstheme="minorHAnsi"/>
          <w:vertAlign w:val="superscript"/>
        </w:rPr>
        <w:t xml:space="preserve">6 </w:t>
      </w:r>
      <w:r w:rsidR="00EF7985" w:rsidRPr="003F2013">
        <w:rPr>
          <w:rFonts w:eastAsia="Times New Roman" w:cstheme="minorHAnsi"/>
        </w:rPr>
        <w:t xml:space="preserve">spores </w:t>
      </w:r>
      <w:proofErr w:type="gramStart"/>
      <w:r w:rsidR="00EF7985" w:rsidRPr="003F2013">
        <w:rPr>
          <w:rFonts w:eastAsia="Times New Roman" w:cstheme="minorHAnsi"/>
        </w:rPr>
        <w:t>mL</w:t>
      </w:r>
      <w:r w:rsidR="00EF7985" w:rsidRPr="003F2013">
        <w:rPr>
          <w:rFonts w:eastAsia="Times New Roman" w:cstheme="minorHAnsi"/>
          <w:vertAlign w:val="superscript"/>
        </w:rPr>
        <w:t>-1</w:t>
      </w:r>
      <w:proofErr w:type="gramEnd"/>
      <w:r w:rsidR="00EF7985" w:rsidRPr="003F2013">
        <w:rPr>
          <w:rFonts w:eastAsia="Times New Roman" w:cstheme="minorHAnsi"/>
        </w:rPr>
        <w:t xml:space="preserve">). Photography of </w:t>
      </w:r>
      <w:r w:rsidR="00EF7985" w:rsidRPr="003F2013">
        <w:rPr>
          <w:rFonts w:eastAsia="Times New Roman" w:cstheme="minorHAnsi"/>
          <w:i/>
          <w:iCs/>
        </w:rPr>
        <w:t>Z. tritici</w:t>
      </w:r>
      <w:r w:rsidR="00EF7985" w:rsidRPr="003F2013">
        <w:rPr>
          <w:rFonts w:eastAsia="Times New Roman" w:cstheme="minorHAnsi"/>
        </w:rPr>
        <w:t xml:space="preserve"> growing on PDA medium and observed microscopically is presented. At five days (D5) and fifteen days (D15) after the treatment, wheat third leaves were sampled for further analyses; assessment of the </w:t>
      </w:r>
      <w:proofErr w:type="gramStart"/>
      <w:r w:rsidR="00EF7985" w:rsidRPr="003F2013">
        <w:rPr>
          <w:rFonts w:eastAsia="Times New Roman" w:cstheme="minorHAnsi"/>
          <w:i/>
          <w:iCs/>
        </w:rPr>
        <w:t>in planta</w:t>
      </w:r>
      <w:proofErr w:type="gramEnd"/>
      <w:r w:rsidR="00EF7985" w:rsidRPr="003F2013">
        <w:rPr>
          <w:rFonts w:eastAsia="Times New Roman" w:cstheme="minorHAnsi"/>
          <w:i/>
          <w:iCs/>
        </w:rPr>
        <w:t xml:space="preserve"> </w:t>
      </w:r>
      <w:r w:rsidR="00EF7985" w:rsidRPr="003F2013">
        <w:rPr>
          <w:rFonts w:eastAsia="Times New Roman" w:cstheme="minorHAnsi"/>
        </w:rPr>
        <w:t>infection process of the fungus at D5 was investigated as well as transcriptomic analyses whereas metabolomic assays were performed at D5 and D15. Finally, at 23 days after treatment (D23), disease severity level was scored by measuring the third-leaf area with disease lesions. Codification used for each modality in the present study is shown at the bottom of the figure.</w:t>
      </w:r>
    </w:p>
    <w:p w14:paraId="0901695B" w14:textId="16336B17" w:rsidR="00EF7985" w:rsidRDefault="00EF7985" w:rsidP="00EF7985">
      <w:pPr>
        <w:keepNext/>
        <w:jc w:val="both"/>
        <w:rPr>
          <w:rFonts w:eastAsia="Times New Roman" w:cstheme="minorHAnsi"/>
        </w:rPr>
      </w:pPr>
    </w:p>
    <w:p w14:paraId="4DA014D4" w14:textId="77777777" w:rsidR="00EF7985" w:rsidRPr="002B4A57" w:rsidRDefault="00EF7985" w:rsidP="00EF7985">
      <w:pPr>
        <w:keepNext/>
        <w:jc w:val="both"/>
        <w:rPr>
          <w:rFonts w:cs="Times New Roman"/>
          <w:b/>
          <w:szCs w:val="24"/>
        </w:rPr>
      </w:pPr>
    </w:p>
    <w:p w14:paraId="7B65BC41" w14:textId="589E0679" w:rsidR="00DE23E8" w:rsidRDefault="00DE23E8" w:rsidP="00654E8F">
      <w:pPr>
        <w:spacing w:before="240"/>
      </w:pPr>
    </w:p>
    <w:p w14:paraId="25099819" w14:textId="2BC18C9B" w:rsidR="00EF7985" w:rsidRDefault="00EF7985" w:rsidP="00654E8F">
      <w:pPr>
        <w:spacing w:before="240"/>
      </w:pPr>
      <w:r>
        <w:rPr>
          <w:noProof/>
        </w:rPr>
        <w:lastRenderedPageBreak/>
        <w:drawing>
          <wp:anchor distT="0" distB="0" distL="114300" distR="114300" simplePos="0" relativeHeight="251659264" behindDoc="0" locked="0" layoutInCell="1" allowOverlap="1" wp14:anchorId="3D77B9BC" wp14:editId="2074D032">
            <wp:simplePos x="0" y="0"/>
            <wp:positionH relativeFrom="margin">
              <wp:align>right</wp:align>
            </wp:positionH>
            <wp:positionV relativeFrom="paragraph">
              <wp:posOffset>224790</wp:posOffset>
            </wp:positionV>
            <wp:extent cx="6265545" cy="453644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65545" cy="4536440"/>
                    </a:xfrm>
                    <a:prstGeom prst="rect">
                      <a:avLst/>
                    </a:prstGeom>
                  </pic:spPr>
                </pic:pic>
              </a:graphicData>
            </a:graphic>
            <wp14:sizeRelH relativeFrom="margin">
              <wp14:pctWidth>0</wp14:pctWidth>
            </wp14:sizeRelH>
            <wp14:sizeRelV relativeFrom="margin">
              <wp14:pctHeight>0</wp14:pctHeight>
            </wp14:sizeRelV>
          </wp:anchor>
        </w:drawing>
      </w:r>
    </w:p>
    <w:p w14:paraId="12EF337A" w14:textId="77777777" w:rsidR="00EF7985" w:rsidRDefault="00EF7985" w:rsidP="00EF7985">
      <w:pPr>
        <w:keepNext/>
        <w:jc w:val="both"/>
        <w:rPr>
          <w:rFonts w:cs="Times New Roman"/>
          <w:b/>
          <w:szCs w:val="24"/>
        </w:rPr>
      </w:pPr>
    </w:p>
    <w:p w14:paraId="547F1C8F" w14:textId="77777777" w:rsidR="00EF7985" w:rsidRDefault="00EF7985" w:rsidP="00EF7985">
      <w:pPr>
        <w:keepNext/>
        <w:jc w:val="both"/>
        <w:rPr>
          <w:rFonts w:cs="Times New Roman"/>
          <w:b/>
          <w:szCs w:val="24"/>
        </w:rPr>
      </w:pPr>
    </w:p>
    <w:p w14:paraId="7C1CC035" w14:textId="28C2CEAA" w:rsidR="00EF7985" w:rsidRDefault="00EF7985" w:rsidP="00EF7985">
      <w:pPr>
        <w:keepNext/>
        <w:jc w:val="both"/>
        <w:rPr>
          <w:rFonts w:eastAsia="Times New Roman" w:cstheme="minorHAnsi"/>
        </w:rPr>
      </w:pPr>
      <w:r w:rsidRPr="0001436A">
        <w:rPr>
          <w:rFonts w:cs="Times New Roman"/>
          <w:b/>
          <w:szCs w:val="24"/>
        </w:rPr>
        <w:t xml:space="preserve">Supplementary Figure </w:t>
      </w:r>
      <w:r>
        <w:rPr>
          <w:rFonts w:cs="Times New Roman"/>
          <w:b/>
          <w:szCs w:val="24"/>
        </w:rPr>
        <w:t>S2</w:t>
      </w:r>
      <w:r w:rsidRPr="0001436A">
        <w:rPr>
          <w:rFonts w:cs="Times New Roman"/>
          <w:b/>
          <w:szCs w:val="24"/>
        </w:rPr>
        <w:t>.</w:t>
      </w:r>
      <w:r w:rsidRPr="001549D3">
        <w:rPr>
          <w:rFonts w:cs="Times New Roman"/>
          <w:szCs w:val="24"/>
        </w:rPr>
        <w:t xml:space="preserve"> </w:t>
      </w:r>
      <w:r w:rsidRPr="003F2013">
        <w:rPr>
          <w:rFonts w:eastAsia="Times New Roman" w:cstheme="minorHAnsi"/>
        </w:rPr>
        <w:t xml:space="preserve">Dose-response curve obtained </w:t>
      </w:r>
      <w:r w:rsidRPr="003F2013">
        <w:rPr>
          <w:rFonts w:eastAsia="Times New Roman" w:cstheme="minorHAnsi"/>
          <w:i/>
          <w:iCs/>
        </w:rPr>
        <w:t>in vitro</w:t>
      </w:r>
      <w:r w:rsidRPr="003F2013">
        <w:rPr>
          <w:rFonts w:eastAsia="Times New Roman" w:cstheme="minorHAnsi"/>
        </w:rPr>
        <w:t xml:space="preserve"> for mycosubtilin towards </w:t>
      </w:r>
      <w:r w:rsidRPr="003F2013">
        <w:rPr>
          <w:rFonts w:eastAsia="Times New Roman" w:cstheme="minorHAnsi"/>
          <w:i/>
          <w:iCs/>
        </w:rPr>
        <w:t>Zymoseptoria tritici</w:t>
      </w:r>
      <w:r w:rsidRPr="003F2013">
        <w:rPr>
          <w:rFonts w:eastAsia="Times New Roman" w:cstheme="minorHAnsi"/>
        </w:rPr>
        <w:t xml:space="preserve"> strain T02596. The fungal growth was assessed on PDA medium amended or not with different concentrations of mycosubtilin and scored 10 days of incubation by measuring the perpendicular diameters of the fungal colonies (n=6 colonies)</w:t>
      </w:r>
      <w:r w:rsidRPr="003F2013">
        <w:rPr>
          <w:rFonts w:eastAsia="Times New Roman" w:cstheme="minorHAnsi"/>
          <w:b/>
          <w:bCs/>
        </w:rPr>
        <w:t xml:space="preserve">. </w:t>
      </w:r>
      <w:r w:rsidRPr="003F2013">
        <w:rPr>
          <w:rFonts w:eastAsia="Times New Roman" w:cstheme="minorHAnsi"/>
        </w:rPr>
        <w:t>Non-linear regression was performed and IC</w:t>
      </w:r>
      <w:r w:rsidRPr="003F2013">
        <w:rPr>
          <w:rFonts w:eastAsia="Times New Roman" w:cstheme="minorHAnsi"/>
          <w:vertAlign w:val="subscript"/>
        </w:rPr>
        <w:t xml:space="preserve">50 </w:t>
      </w:r>
      <w:r w:rsidRPr="003F2013">
        <w:rPr>
          <w:rFonts w:eastAsia="Times New Roman" w:cstheme="minorHAnsi"/>
        </w:rPr>
        <w:t xml:space="preserve">was determined at 0.57 </w:t>
      </w:r>
      <w:proofErr w:type="gramStart"/>
      <w:r w:rsidRPr="003F2013">
        <w:rPr>
          <w:rFonts w:eastAsia="Times New Roman" w:cstheme="minorHAnsi"/>
        </w:rPr>
        <w:t>mg.L</w:t>
      </w:r>
      <w:proofErr w:type="gramEnd"/>
      <w:r w:rsidRPr="003F2013">
        <w:rPr>
          <w:rFonts w:eastAsia="Times New Roman" w:cstheme="minorHAnsi"/>
          <w:vertAlign w:val="superscript"/>
        </w:rPr>
        <w:t xml:space="preserve">-1 </w:t>
      </w:r>
      <w:r w:rsidRPr="003F2013">
        <w:rPr>
          <w:rFonts w:eastAsia="Times New Roman" w:cstheme="minorHAnsi"/>
        </w:rPr>
        <w:t>using GraphPad Prism software version 9.</w:t>
      </w:r>
    </w:p>
    <w:p w14:paraId="416B3230" w14:textId="2B777AC2" w:rsidR="00EF7985" w:rsidRDefault="00EF7985" w:rsidP="00654E8F">
      <w:pPr>
        <w:spacing w:before="240"/>
      </w:pPr>
    </w:p>
    <w:p w14:paraId="21AD3208" w14:textId="0C65104F" w:rsidR="00EF7985" w:rsidRDefault="00EF7985" w:rsidP="00654E8F">
      <w:pPr>
        <w:spacing w:before="240"/>
      </w:pPr>
    </w:p>
    <w:p w14:paraId="1C2F7168" w14:textId="631E59ED" w:rsidR="00EF7985" w:rsidRDefault="00EF7985" w:rsidP="00654E8F">
      <w:pPr>
        <w:spacing w:before="240"/>
      </w:pPr>
    </w:p>
    <w:p w14:paraId="1E6CCD50" w14:textId="4F0D4556" w:rsidR="00EF7985" w:rsidRDefault="00EF7985" w:rsidP="00654E8F">
      <w:pPr>
        <w:spacing w:before="240"/>
      </w:pPr>
    </w:p>
    <w:p w14:paraId="4B29D4D3" w14:textId="1ED681AA" w:rsidR="00EF7985" w:rsidRDefault="00EF7985" w:rsidP="00654E8F">
      <w:pPr>
        <w:spacing w:before="240"/>
      </w:pPr>
    </w:p>
    <w:p w14:paraId="26391686" w14:textId="7721DC42" w:rsidR="00EF7985" w:rsidRDefault="00EF7985" w:rsidP="00654E8F">
      <w:pPr>
        <w:spacing w:before="240"/>
      </w:pPr>
    </w:p>
    <w:p w14:paraId="1243711E" w14:textId="73749FCB" w:rsidR="00EC00AC" w:rsidRDefault="00EC00AC" w:rsidP="00EC00AC">
      <w:pPr>
        <w:keepNext/>
        <w:jc w:val="both"/>
        <w:rPr>
          <w:rFonts w:cs="Times New Roman"/>
          <w:b/>
          <w:szCs w:val="24"/>
        </w:rPr>
      </w:pPr>
      <w:r>
        <w:rPr>
          <w:noProof/>
        </w:rPr>
        <w:lastRenderedPageBreak/>
        <w:drawing>
          <wp:anchor distT="0" distB="0" distL="114300" distR="114300" simplePos="0" relativeHeight="251660288" behindDoc="0" locked="0" layoutInCell="1" allowOverlap="1" wp14:anchorId="14F5E3D9" wp14:editId="633D0968">
            <wp:simplePos x="0" y="0"/>
            <wp:positionH relativeFrom="margin">
              <wp:align>right</wp:align>
            </wp:positionH>
            <wp:positionV relativeFrom="paragraph">
              <wp:posOffset>0</wp:posOffset>
            </wp:positionV>
            <wp:extent cx="6208395" cy="3644900"/>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3644900"/>
                    </a:xfrm>
                    <a:prstGeom prst="rect">
                      <a:avLst/>
                    </a:prstGeom>
                  </pic:spPr>
                </pic:pic>
              </a:graphicData>
            </a:graphic>
          </wp:anchor>
        </w:drawing>
      </w:r>
    </w:p>
    <w:p w14:paraId="7018612C" w14:textId="2757519D" w:rsidR="00EC00AC" w:rsidRDefault="00EC00AC" w:rsidP="00EC00AC">
      <w:pPr>
        <w:keepNext/>
        <w:jc w:val="both"/>
        <w:rPr>
          <w:rFonts w:cs="Times New Roman"/>
          <w:b/>
          <w:szCs w:val="24"/>
        </w:rPr>
      </w:pPr>
    </w:p>
    <w:p w14:paraId="3B2D2A80" w14:textId="157CBD8B" w:rsidR="00EC00AC" w:rsidRDefault="00EC00AC" w:rsidP="00EC00AC">
      <w:pPr>
        <w:keepNext/>
        <w:jc w:val="both"/>
        <w:rPr>
          <w:rFonts w:eastAsia="Times New Roman" w:cstheme="minorHAnsi"/>
        </w:rPr>
      </w:pPr>
      <w:r w:rsidRPr="0001436A">
        <w:rPr>
          <w:rFonts w:cs="Times New Roman"/>
          <w:b/>
          <w:szCs w:val="24"/>
        </w:rPr>
        <w:t xml:space="preserve">Supplementary Figure </w:t>
      </w:r>
      <w:r>
        <w:rPr>
          <w:rFonts w:cs="Times New Roman"/>
          <w:b/>
          <w:szCs w:val="24"/>
        </w:rPr>
        <w:t>S3</w:t>
      </w:r>
      <w:r w:rsidRPr="0001436A">
        <w:rPr>
          <w:rFonts w:cs="Times New Roman"/>
          <w:b/>
          <w:szCs w:val="24"/>
        </w:rPr>
        <w:t>.</w:t>
      </w:r>
      <w:r w:rsidRPr="001549D3">
        <w:rPr>
          <w:rFonts w:cs="Times New Roman"/>
          <w:szCs w:val="24"/>
        </w:rPr>
        <w:t xml:space="preserve"> </w:t>
      </w:r>
      <w:r w:rsidRPr="003F2013">
        <w:rPr>
          <w:rFonts w:eastAsia="Times New Roman" w:cstheme="minorHAnsi"/>
        </w:rPr>
        <w:t xml:space="preserve">Venn diagram of the number of differentially expressed genes observed when investigating the eliciting effect of mycosubtilin (M-D5-Ni </w:t>
      </w:r>
      <w:r w:rsidRPr="003F2013">
        <w:rPr>
          <w:rFonts w:eastAsia="Times New Roman" w:cstheme="minorHAnsi"/>
          <w:i/>
          <w:iCs/>
        </w:rPr>
        <w:t>vs</w:t>
      </w:r>
      <w:r w:rsidRPr="003F2013">
        <w:rPr>
          <w:rFonts w:eastAsia="Times New Roman" w:cstheme="minorHAnsi"/>
        </w:rPr>
        <w:t xml:space="preserve"> C-D5-Ni), </w:t>
      </w:r>
      <w:r w:rsidRPr="003F2013">
        <w:rPr>
          <w:rFonts w:eastAsia="Times New Roman" w:cstheme="minorHAnsi"/>
          <w:i/>
          <w:iCs/>
        </w:rPr>
        <w:t>Zymoseptoria tritici</w:t>
      </w:r>
      <w:r w:rsidRPr="003F2013">
        <w:rPr>
          <w:rFonts w:eastAsia="Times New Roman" w:cstheme="minorHAnsi"/>
        </w:rPr>
        <w:t xml:space="preserve"> effect (C-D5-i vs C-D5-Ni) and the combined effect of both mycosubtilin and </w:t>
      </w:r>
      <w:r w:rsidRPr="003F2013">
        <w:rPr>
          <w:rFonts w:eastAsia="Times New Roman" w:cstheme="minorHAnsi"/>
          <w:i/>
          <w:iCs/>
        </w:rPr>
        <w:t>Z. tritici</w:t>
      </w:r>
      <w:r w:rsidRPr="003F2013">
        <w:rPr>
          <w:rFonts w:eastAsia="Times New Roman" w:cstheme="minorHAnsi"/>
        </w:rPr>
        <w:t xml:space="preserve"> (M-D5-i vs M-D5-Ni) at five days after treatment with mycosubtilin (</w:t>
      </w:r>
      <w:proofErr w:type="gramStart"/>
      <w:r w:rsidRPr="003F2013">
        <w:rPr>
          <w:rFonts w:eastAsia="Times New Roman" w:cstheme="minorHAnsi"/>
          <w:i/>
          <w:iCs/>
        </w:rPr>
        <w:t>i.e.</w:t>
      </w:r>
      <w:proofErr w:type="gramEnd"/>
      <w:r w:rsidRPr="003F2013">
        <w:rPr>
          <w:rFonts w:eastAsia="Times New Roman" w:cstheme="minorHAnsi"/>
        </w:rPr>
        <w:t xml:space="preserve"> three days after wheat inoculation with </w:t>
      </w:r>
      <w:r w:rsidRPr="003F2013">
        <w:rPr>
          <w:rFonts w:eastAsia="Times New Roman" w:cstheme="minorHAnsi"/>
          <w:i/>
          <w:iCs/>
        </w:rPr>
        <w:t>Z. tritici</w:t>
      </w:r>
      <w:r w:rsidRPr="003F2013">
        <w:rPr>
          <w:rFonts w:eastAsia="Times New Roman" w:cstheme="minorHAnsi"/>
        </w:rPr>
        <w:t xml:space="preserve">). M means treated with mycosubtilin towards mock treated C. Ni stands for mock inoculated whereas </w:t>
      </w:r>
      <w:proofErr w:type="spellStart"/>
      <w:r w:rsidRPr="003F2013">
        <w:rPr>
          <w:rFonts w:eastAsia="Times New Roman" w:cstheme="minorHAnsi"/>
        </w:rPr>
        <w:t>i</w:t>
      </w:r>
      <w:proofErr w:type="spellEnd"/>
      <w:r w:rsidRPr="003F2013">
        <w:rPr>
          <w:rFonts w:eastAsia="Times New Roman" w:cstheme="minorHAnsi"/>
        </w:rPr>
        <w:t xml:space="preserve"> indicates that plants were infected with </w:t>
      </w:r>
      <w:r w:rsidRPr="003F2013">
        <w:rPr>
          <w:rFonts w:eastAsia="Times New Roman" w:cstheme="minorHAnsi"/>
          <w:i/>
          <w:iCs/>
        </w:rPr>
        <w:t>Z. tritici</w:t>
      </w:r>
      <w:r w:rsidRPr="003F2013">
        <w:rPr>
          <w:rFonts w:eastAsia="Times New Roman" w:cstheme="minorHAnsi"/>
        </w:rPr>
        <w:t>. D5 mean that leaves were sampled at five days after mycosubtilin treatment.</w:t>
      </w:r>
    </w:p>
    <w:p w14:paraId="690BB80D" w14:textId="6D803192" w:rsidR="00EF7985" w:rsidRDefault="00EF7985" w:rsidP="00654E8F">
      <w:pPr>
        <w:spacing w:before="240"/>
      </w:pPr>
    </w:p>
    <w:p w14:paraId="69FA9F76" w14:textId="4EC453CC" w:rsidR="00EC00AC" w:rsidRDefault="00EC00AC" w:rsidP="00654E8F">
      <w:pPr>
        <w:spacing w:before="240"/>
      </w:pPr>
    </w:p>
    <w:p w14:paraId="5CCFA275" w14:textId="24984B2E" w:rsidR="00EC00AC" w:rsidRDefault="00EC00AC" w:rsidP="00654E8F">
      <w:pPr>
        <w:spacing w:before="240"/>
      </w:pPr>
    </w:p>
    <w:p w14:paraId="0188F40A" w14:textId="7E06CC51" w:rsidR="00EC00AC" w:rsidRDefault="00EC00AC" w:rsidP="00654E8F">
      <w:pPr>
        <w:spacing w:before="240"/>
      </w:pPr>
    </w:p>
    <w:p w14:paraId="65D93177" w14:textId="584B9924" w:rsidR="00EC00AC" w:rsidRDefault="00EC00AC" w:rsidP="00654E8F">
      <w:pPr>
        <w:spacing w:before="240"/>
      </w:pPr>
    </w:p>
    <w:p w14:paraId="673EDE08" w14:textId="71D8BE95" w:rsidR="00EC00AC" w:rsidRDefault="00EC00AC" w:rsidP="00654E8F">
      <w:pPr>
        <w:spacing w:before="240"/>
      </w:pPr>
    </w:p>
    <w:p w14:paraId="231446A1" w14:textId="5BE64290" w:rsidR="00EC00AC" w:rsidRDefault="00EC00AC" w:rsidP="00654E8F">
      <w:pPr>
        <w:spacing w:before="240"/>
      </w:pPr>
    </w:p>
    <w:p w14:paraId="2B94715F" w14:textId="78CE01EE" w:rsidR="00EC00AC" w:rsidRDefault="00EC00AC" w:rsidP="00654E8F">
      <w:pPr>
        <w:spacing w:before="240"/>
      </w:pPr>
    </w:p>
    <w:p w14:paraId="122CFF0D" w14:textId="6341454D" w:rsidR="00EC00AC" w:rsidRDefault="00EC00AC" w:rsidP="00654E8F">
      <w:pPr>
        <w:spacing w:before="240"/>
      </w:pPr>
    </w:p>
    <w:p w14:paraId="1EACC44D" w14:textId="4E8462BC" w:rsidR="00EC00AC" w:rsidRDefault="00EC00AC" w:rsidP="00654E8F">
      <w:pPr>
        <w:spacing w:before="240"/>
      </w:pPr>
      <w:r>
        <w:rPr>
          <w:noProof/>
        </w:rPr>
        <w:lastRenderedPageBreak/>
        <w:drawing>
          <wp:anchor distT="0" distB="0" distL="114300" distR="114300" simplePos="0" relativeHeight="251661312" behindDoc="0" locked="0" layoutInCell="1" allowOverlap="1" wp14:anchorId="1C48D726" wp14:editId="2CA7F894">
            <wp:simplePos x="0" y="0"/>
            <wp:positionH relativeFrom="page">
              <wp:align>center</wp:align>
            </wp:positionH>
            <wp:positionV relativeFrom="paragraph">
              <wp:posOffset>190</wp:posOffset>
            </wp:positionV>
            <wp:extent cx="5238115" cy="8930640"/>
            <wp:effectExtent l="0" t="0" r="635" b="381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11" cstate="print">
                      <a:extLst>
                        <a:ext uri="{28A0092B-C50C-407E-A947-70E740481C1C}">
                          <a14:useLocalDpi xmlns:a14="http://schemas.microsoft.com/office/drawing/2010/main" val="0"/>
                        </a:ext>
                      </a:extLst>
                    </a:blip>
                    <a:srcRect t="4091"/>
                    <a:stretch/>
                  </pic:blipFill>
                  <pic:spPr bwMode="auto">
                    <a:xfrm>
                      <a:off x="0" y="0"/>
                      <a:ext cx="5238115" cy="893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76ED1" w14:textId="77777777" w:rsidR="007F0CC0" w:rsidRPr="00703980" w:rsidRDefault="00EC00AC" w:rsidP="007F0CC0">
      <w:pPr>
        <w:tabs>
          <w:tab w:val="left" w:pos="1041"/>
        </w:tabs>
        <w:spacing w:line="360" w:lineRule="auto"/>
        <w:jc w:val="both"/>
        <w:rPr>
          <w:rFonts w:cstheme="minorHAnsi"/>
        </w:rPr>
      </w:pPr>
      <w:r w:rsidRPr="0001436A">
        <w:rPr>
          <w:rFonts w:cs="Times New Roman"/>
          <w:b/>
          <w:szCs w:val="24"/>
        </w:rPr>
        <w:lastRenderedPageBreak/>
        <w:t xml:space="preserve">Supplementary Figure </w:t>
      </w:r>
      <w:r>
        <w:rPr>
          <w:rFonts w:cs="Times New Roman"/>
          <w:b/>
          <w:szCs w:val="24"/>
        </w:rPr>
        <w:t>S4</w:t>
      </w:r>
      <w:r w:rsidRPr="0001436A">
        <w:rPr>
          <w:rFonts w:cs="Times New Roman"/>
          <w:b/>
          <w:szCs w:val="24"/>
        </w:rPr>
        <w:t>.</w:t>
      </w:r>
      <w:r w:rsidRPr="001549D3">
        <w:rPr>
          <w:rFonts w:cs="Times New Roman"/>
          <w:szCs w:val="24"/>
        </w:rPr>
        <w:t xml:space="preserve"> </w:t>
      </w:r>
      <w:r w:rsidR="007F0CC0" w:rsidRPr="003F2013">
        <w:rPr>
          <w:rFonts w:eastAsia="Times New Roman" w:cstheme="minorHAnsi"/>
        </w:rPr>
        <w:t>Heatmap of differentially expressed genes in wheat leaves (</w:t>
      </w:r>
      <w:proofErr w:type="spellStart"/>
      <w:proofErr w:type="gramStart"/>
      <w:r w:rsidR="007F0CC0" w:rsidRPr="003F2013">
        <w:rPr>
          <w:rFonts w:eastAsia="Times New Roman" w:cstheme="minorHAnsi"/>
        </w:rPr>
        <w:t>Cv.Alixan</w:t>
      </w:r>
      <w:proofErr w:type="spellEnd"/>
      <w:proofErr w:type="gramEnd"/>
      <w:r w:rsidR="007F0CC0" w:rsidRPr="003F2013">
        <w:rPr>
          <w:rFonts w:eastAsia="Times New Roman" w:cstheme="minorHAnsi"/>
        </w:rPr>
        <w:t xml:space="preserve">) after </w:t>
      </w:r>
      <w:proofErr w:type="spellStart"/>
      <w:r w:rsidR="007F0CC0" w:rsidRPr="003F2013">
        <w:rPr>
          <w:rFonts w:eastAsia="Times New Roman" w:cstheme="minorHAnsi"/>
          <w:i/>
          <w:iCs/>
        </w:rPr>
        <w:t>Zymoseptoria</w:t>
      </w:r>
      <w:proofErr w:type="spellEnd"/>
      <w:r w:rsidR="007F0CC0" w:rsidRPr="003F2013">
        <w:rPr>
          <w:rFonts w:eastAsia="Times New Roman" w:cstheme="minorHAnsi"/>
          <w:i/>
          <w:iCs/>
        </w:rPr>
        <w:t xml:space="preserve"> </w:t>
      </w:r>
      <w:proofErr w:type="spellStart"/>
      <w:r w:rsidR="007F0CC0" w:rsidRPr="003F2013">
        <w:rPr>
          <w:rFonts w:eastAsia="Times New Roman" w:cstheme="minorHAnsi"/>
          <w:i/>
          <w:iCs/>
        </w:rPr>
        <w:t>tritici</w:t>
      </w:r>
      <w:proofErr w:type="spellEnd"/>
      <w:r w:rsidR="007F0CC0" w:rsidRPr="003F2013">
        <w:rPr>
          <w:rFonts w:eastAsia="Times New Roman" w:cstheme="minorHAnsi"/>
        </w:rPr>
        <w:t xml:space="preserve"> (T02596 strain) infection in presence of mycosubtilin, at five days after treatment (</w:t>
      </w:r>
      <w:r w:rsidR="007F0CC0" w:rsidRPr="003F2013">
        <w:rPr>
          <w:rFonts w:eastAsia="Times New Roman" w:cstheme="minorHAnsi"/>
          <w:i/>
          <w:iCs/>
        </w:rPr>
        <w:t>i.e.</w:t>
      </w:r>
      <w:r w:rsidR="007F0CC0" w:rsidRPr="003F2013">
        <w:rPr>
          <w:rFonts w:eastAsia="Times New Roman" w:cstheme="minorHAnsi"/>
        </w:rPr>
        <w:t xml:space="preserve"> three days after inoculation). (A) Comparison of gene expression between wheat leaves treated with mycosubtilin and inoculated with the fungus </w:t>
      </w:r>
      <w:r w:rsidR="007F0CC0" w:rsidRPr="003F2013">
        <w:rPr>
          <w:rFonts w:eastAsia="Times New Roman" w:cstheme="minorHAnsi"/>
          <w:i/>
          <w:iCs/>
        </w:rPr>
        <w:t>versus</w:t>
      </w:r>
      <w:r w:rsidR="007F0CC0" w:rsidRPr="003F2013">
        <w:rPr>
          <w:rFonts w:eastAsia="Times New Roman" w:cstheme="minorHAnsi"/>
        </w:rPr>
        <w:t xml:space="preserve"> leaves treated with mycosubtilin and non-inoculated (M-D5-i </w:t>
      </w:r>
      <w:r w:rsidR="007F0CC0" w:rsidRPr="003F2013">
        <w:rPr>
          <w:rFonts w:eastAsia="Times New Roman" w:cstheme="minorHAnsi"/>
          <w:i/>
          <w:iCs/>
        </w:rPr>
        <w:t xml:space="preserve">vs </w:t>
      </w:r>
      <w:r w:rsidR="007F0CC0" w:rsidRPr="003F2013">
        <w:rPr>
          <w:rFonts w:eastAsia="Times New Roman" w:cstheme="minorHAnsi"/>
        </w:rPr>
        <w:t xml:space="preserve">M-D5-Ni). (B) whole specter of gene regulation induced by the combined effect of both mycosubtilin and </w:t>
      </w:r>
      <w:r w:rsidR="007F0CC0" w:rsidRPr="003F2013">
        <w:rPr>
          <w:rFonts w:eastAsia="Times New Roman" w:cstheme="minorHAnsi"/>
          <w:i/>
          <w:iCs/>
        </w:rPr>
        <w:t>Z. tritici</w:t>
      </w:r>
      <w:r w:rsidR="007F0CC0" w:rsidRPr="003F2013">
        <w:rPr>
          <w:rFonts w:eastAsia="Times New Roman" w:cstheme="minorHAnsi"/>
        </w:rPr>
        <w:t xml:space="preserve"> (MD5i </w:t>
      </w:r>
      <w:r w:rsidR="007F0CC0" w:rsidRPr="003F2013">
        <w:rPr>
          <w:rFonts w:eastAsia="Times New Roman" w:cstheme="minorHAnsi"/>
          <w:i/>
          <w:iCs/>
        </w:rPr>
        <w:t>vs</w:t>
      </w:r>
      <w:r w:rsidR="007F0CC0" w:rsidRPr="003F2013">
        <w:rPr>
          <w:rFonts w:eastAsia="Times New Roman" w:cstheme="minorHAnsi"/>
        </w:rPr>
        <w:t xml:space="preserve"> CD5Ni). Gene-related physiological processes are represented on the right part of the graph and were determined using NCBI, </w:t>
      </w:r>
      <w:proofErr w:type="spellStart"/>
      <w:r w:rsidR="007F0CC0" w:rsidRPr="003F2013">
        <w:rPr>
          <w:rFonts w:eastAsia="Times New Roman" w:cstheme="minorHAnsi"/>
        </w:rPr>
        <w:t>AmiGO</w:t>
      </w:r>
      <w:proofErr w:type="spellEnd"/>
      <w:r w:rsidR="007F0CC0" w:rsidRPr="003F2013">
        <w:rPr>
          <w:rFonts w:eastAsia="Times New Roman" w:cstheme="minorHAnsi"/>
        </w:rPr>
        <w:t xml:space="preserve"> 2 Gene Ontology, KEGG and </w:t>
      </w:r>
      <w:proofErr w:type="spellStart"/>
      <w:r w:rsidR="007F0CC0" w:rsidRPr="003F2013">
        <w:rPr>
          <w:rFonts w:eastAsia="Times New Roman" w:cstheme="minorHAnsi"/>
        </w:rPr>
        <w:t>UniProt</w:t>
      </w:r>
      <w:proofErr w:type="spellEnd"/>
      <w:r w:rsidR="007F0CC0" w:rsidRPr="003F2013">
        <w:rPr>
          <w:rFonts w:eastAsia="Times New Roman" w:cstheme="minorHAnsi"/>
        </w:rPr>
        <w:t xml:space="preserve">. Significant relative changes in gene expression are presented in Log2 ratio, according to the corresponding color scale, using the </w:t>
      </w:r>
      <w:proofErr w:type="spellStart"/>
      <w:r w:rsidR="007F0CC0" w:rsidRPr="003F2013">
        <w:rPr>
          <w:rFonts w:eastAsia="Times New Roman" w:cstheme="minorHAnsi"/>
        </w:rPr>
        <w:t>WebMev</w:t>
      </w:r>
      <w:proofErr w:type="spellEnd"/>
      <w:r w:rsidR="007F0CC0" w:rsidRPr="003F2013">
        <w:rPr>
          <w:rFonts w:eastAsia="Times New Roman" w:cstheme="minorHAnsi"/>
        </w:rPr>
        <w:t xml:space="preserve"> software. M means treated with mycosubtilin towards mock treated C. Ni stands for mock inoculated whereas </w:t>
      </w:r>
      <w:proofErr w:type="spellStart"/>
      <w:r w:rsidR="007F0CC0" w:rsidRPr="003F2013">
        <w:rPr>
          <w:rFonts w:eastAsia="Times New Roman" w:cstheme="minorHAnsi"/>
        </w:rPr>
        <w:t>i</w:t>
      </w:r>
      <w:proofErr w:type="spellEnd"/>
      <w:r w:rsidR="007F0CC0" w:rsidRPr="003F2013">
        <w:rPr>
          <w:rFonts w:eastAsia="Times New Roman" w:cstheme="minorHAnsi"/>
        </w:rPr>
        <w:t xml:space="preserve"> indicates that plants were infected with </w:t>
      </w:r>
      <w:r w:rsidR="007F0CC0" w:rsidRPr="003F2013">
        <w:rPr>
          <w:rFonts w:eastAsia="Times New Roman" w:cstheme="minorHAnsi"/>
          <w:i/>
          <w:iCs/>
        </w:rPr>
        <w:t>Z. tritici</w:t>
      </w:r>
      <w:r w:rsidR="007F0CC0" w:rsidRPr="003F2013">
        <w:rPr>
          <w:rFonts w:eastAsia="Times New Roman" w:cstheme="minorHAnsi"/>
        </w:rPr>
        <w:t>. D5 means that leaves were sampled at five days after mycosubtilin treatment.</w:t>
      </w:r>
    </w:p>
    <w:p w14:paraId="7DCDF1C6" w14:textId="6780BFF8" w:rsidR="00EC00AC" w:rsidRDefault="00EC00AC" w:rsidP="00EC00AC">
      <w:pPr>
        <w:keepNext/>
        <w:jc w:val="both"/>
        <w:rPr>
          <w:rFonts w:eastAsia="Times New Roman" w:cstheme="minorHAnsi"/>
        </w:rPr>
      </w:pPr>
    </w:p>
    <w:p w14:paraId="515177CA" w14:textId="3D6D7366" w:rsidR="00B30F4E" w:rsidRDefault="00B30F4E" w:rsidP="00EC00AC">
      <w:pPr>
        <w:keepNext/>
        <w:jc w:val="both"/>
        <w:rPr>
          <w:rFonts w:eastAsia="Times New Roman" w:cstheme="minorHAnsi"/>
        </w:rPr>
      </w:pPr>
    </w:p>
    <w:p w14:paraId="2AF0E2ED" w14:textId="763E73E3" w:rsidR="00B30F4E" w:rsidRDefault="00B30F4E" w:rsidP="00EC00AC">
      <w:pPr>
        <w:keepNext/>
        <w:jc w:val="both"/>
        <w:rPr>
          <w:rFonts w:eastAsia="Times New Roman" w:cstheme="minorHAnsi"/>
        </w:rPr>
      </w:pPr>
    </w:p>
    <w:p w14:paraId="54F0CAD8" w14:textId="34A29237" w:rsidR="00B30F4E" w:rsidRDefault="00B30F4E" w:rsidP="00EC00AC">
      <w:pPr>
        <w:keepNext/>
        <w:jc w:val="both"/>
        <w:rPr>
          <w:rFonts w:eastAsia="Times New Roman" w:cstheme="minorHAnsi"/>
        </w:rPr>
      </w:pPr>
    </w:p>
    <w:p w14:paraId="5BD02856" w14:textId="5BA85BB5" w:rsidR="00B30F4E" w:rsidRDefault="00B30F4E" w:rsidP="00EC00AC">
      <w:pPr>
        <w:keepNext/>
        <w:jc w:val="both"/>
        <w:rPr>
          <w:rFonts w:eastAsia="Times New Roman" w:cstheme="minorHAnsi"/>
        </w:rPr>
      </w:pPr>
    </w:p>
    <w:p w14:paraId="64D3213E" w14:textId="12AF3658" w:rsidR="00B30F4E" w:rsidRDefault="00B30F4E" w:rsidP="00EC00AC">
      <w:pPr>
        <w:keepNext/>
        <w:jc w:val="both"/>
        <w:rPr>
          <w:rFonts w:eastAsia="Times New Roman" w:cstheme="minorHAnsi"/>
        </w:rPr>
      </w:pPr>
    </w:p>
    <w:p w14:paraId="66C49A3E" w14:textId="1F5E3948" w:rsidR="00B30F4E" w:rsidRDefault="00B30F4E" w:rsidP="00EC00AC">
      <w:pPr>
        <w:keepNext/>
        <w:jc w:val="both"/>
        <w:rPr>
          <w:rFonts w:eastAsia="Times New Roman" w:cstheme="minorHAnsi"/>
        </w:rPr>
      </w:pPr>
    </w:p>
    <w:p w14:paraId="7CC84330" w14:textId="29C685F2" w:rsidR="00B30F4E" w:rsidRDefault="00B30F4E" w:rsidP="00EC00AC">
      <w:pPr>
        <w:keepNext/>
        <w:jc w:val="both"/>
        <w:rPr>
          <w:rFonts w:eastAsia="Times New Roman" w:cstheme="minorHAnsi"/>
        </w:rPr>
      </w:pPr>
    </w:p>
    <w:p w14:paraId="400D51FB" w14:textId="5A0EE572" w:rsidR="00B30F4E" w:rsidRDefault="00B30F4E" w:rsidP="00EC00AC">
      <w:pPr>
        <w:keepNext/>
        <w:jc w:val="both"/>
        <w:rPr>
          <w:rFonts w:eastAsia="Times New Roman" w:cstheme="minorHAnsi"/>
        </w:rPr>
      </w:pPr>
    </w:p>
    <w:p w14:paraId="08852966" w14:textId="7791DF81" w:rsidR="00B30F4E" w:rsidRDefault="00B30F4E" w:rsidP="00EC00AC">
      <w:pPr>
        <w:keepNext/>
        <w:jc w:val="both"/>
        <w:rPr>
          <w:rFonts w:eastAsia="Times New Roman" w:cstheme="minorHAnsi"/>
        </w:rPr>
      </w:pPr>
    </w:p>
    <w:p w14:paraId="32385392" w14:textId="35EADDAF" w:rsidR="00B30F4E" w:rsidRDefault="00B30F4E" w:rsidP="00EC00AC">
      <w:pPr>
        <w:keepNext/>
        <w:jc w:val="both"/>
        <w:rPr>
          <w:rFonts w:eastAsia="Times New Roman" w:cstheme="minorHAnsi"/>
        </w:rPr>
      </w:pPr>
    </w:p>
    <w:p w14:paraId="0E474DA8" w14:textId="607AD9A8" w:rsidR="00B30F4E" w:rsidRDefault="00B30F4E" w:rsidP="00EC00AC">
      <w:pPr>
        <w:keepNext/>
        <w:jc w:val="both"/>
        <w:rPr>
          <w:rFonts w:eastAsia="Times New Roman" w:cstheme="minorHAnsi"/>
        </w:rPr>
      </w:pPr>
    </w:p>
    <w:p w14:paraId="63FCE1A3" w14:textId="776921B9" w:rsidR="00B30F4E" w:rsidRDefault="00B30F4E" w:rsidP="00EC00AC">
      <w:pPr>
        <w:keepNext/>
        <w:jc w:val="both"/>
        <w:rPr>
          <w:rFonts w:eastAsia="Times New Roman" w:cstheme="minorHAnsi"/>
        </w:rPr>
      </w:pPr>
    </w:p>
    <w:p w14:paraId="173FAB8C" w14:textId="00A4DEB9" w:rsidR="00B30F4E" w:rsidRDefault="00B30F4E" w:rsidP="00EC00AC">
      <w:pPr>
        <w:keepNext/>
        <w:jc w:val="both"/>
        <w:rPr>
          <w:rFonts w:eastAsia="Times New Roman" w:cstheme="minorHAnsi"/>
        </w:rPr>
      </w:pPr>
    </w:p>
    <w:p w14:paraId="50010FE9" w14:textId="77777777" w:rsidR="00B30F4E" w:rsidRDefault="00B30F4E" w:rsidP="00EC00AC">
      <w:pPr>
        <w:keepNext/>
        <w:jc w:val="both"/>
        <w:rPr>
          <w:rFonts w:eastAsia="Times New Roman" w:cstheme="minorHAnsi"/>
        </w:rPr>
      </w:pPr>
    </w:p>
    <w:p w14:paraId="6D76165D" w14:textId="52A9175E" w:rsidR="00EC00AC" w:rsidRDefault="00EC00AC" w:rsidP="00654E8F">
      <w:pPr>
        <w:spacing w:before="240"/>
      </w:pPr>
    </w:p>
    <w:p w14:paraId="1536A78B" w14:textId="104758E8" w:rsidR="00B30F4E" w:rsidRDefault="00B30F4E" w:rsidP="00654E8F">
      <w:pPr>
        <w:spacing w:before="240"/>
      </w:pPr>
      <w:r>
        <w:rPr>
          <w:noProof/>
        </w:rPr>
        <w:lastRenderedPageBreak/>
        <w:drawing>
          <wp:anchor distT="0" distB="0" distL="114300" distR="114300" simplePos="0" relativeHeight="251662336" behindDoc="0" locked="0" layoutInCell="1" allowOverlap="1" wp14:anchorId="5EB885BA" wp14:editId="6F6890CD">
            <wp:simplePos x="0" y="0"/>
            <wp:positionH relativeFrom="page">
              <wp:posOffset>688224</wp:posOffset>
            </wp:positionH>
            <wp:positionV relativeFrom="paragraph">
              <wp:posOffset>453</wp:posOffset>
            </wp:positionV>
            <wp:extent cx="5985164" cy="8977746"/>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85164" cy="8977746"/>
                    </a:xfrm>
                    <a:prstGeom prst="rect">
                      <a:avLst/>
                    </a:prstGeom>
                  </pic:spPr>
                </pic:pic>
              </a:graphicData>
            </a:graphic>
            <wp14:sizeRelH relativeFrom="margin">
              <wp14:pctWidth>0</wp14:pctWidth>
            </wp14:sizeRelH>
            <wp14:sizeRelV relativeFrom="margin">
              <wp14:pctHeight>0</wp14:pctHeight>
            </wp14:sizeRelV>
          </wp:anchor>
        </w:drawing>
      </w:r>
    </w:p>
    <w:p w14:paraId="0E7D57BE" w14:textId="324BB075" w:rsidR="00B30F4E" w:rsidRPr="00703980" w:rsidRDefault="00B30F4E" w:rsidP="00B30F4E">
      <w:pPr>
        <w:tabs>
          <w:tab w:val="left" w:pos="1041"/>
        </w:tabs>
        <w:spacing w:line="360" w:lineRule="auto"/>
        <w:jc w:val="both"/>
        <w:rPr>
          <w:rFonts w:cstheme="minorHAnsi"/>
        </w:rPr>
      </w:pPr>
      <w:r w:rsidRPr="0001436A">
        <w:rPr>
          <w:rFonts w:cs="Times New Roman"/>
          <w:b/>
          <w:szCs w:val="24"/>
        </w:rPr>
        <w:lastRenderedPageBreak/>
        <w:t xml:space="preserve">Supplementary Figure </w:t>
      </w:r>
      <w:r>
        <w:rPr>
          <w:rFonts w:cs="Times New Roman"/>
          <w:b/>
          <w:szCs w:val="24"/>
        </w:rPr>
        <w:t>S5</w:t>
      </w:r>
      <w:r w:rsidRPr="0001436A">
        <w:rPr>
          <w:rFonts w:cs="Times New Roman"/>
          <w:b/>
          <w:szCs w:val="24"/>
        </w:rPr>
        <w:t>.</w:t>
      </w:r>
      <w:r w:rsidRPr="001549D3">
        <w:rPr>
          <w:rFonts w:cs="Times New Roman"/>
          <w:szCs w:val="24"/>
        </w:rPr>
        <w:t xml:space="preserve"> </w:t>
      </w:r>
      <w:r w:rsidRPr="003F2013">
        <w:rPr>
          <w:rFonts w:eastAsia="Times New Roman" w:cstheme="minorHAnsi"/>
        </w:rPr>
        <w:t xml:space="preserve">Heatmap of significant relative changes in metabolite pattern accumulation within wheat </w:t>
      </w:r>
      <w:proofErr w:type="gramStart"/>
      <w:r w:rsidRPr="003F2013">
        <w:rPr>
          <w:rFonts w:eastAsia="Times New Roman" w:cstheme="minorHAnsi"/>
        </w:rPr>
        <w:t>third-leaves</w:t>
      </w:r>
      <w:proofErr w:type="gramEnd"/>
      <w:r w:rsidRPr="003F2013">
        <w:rPr>
          <w:rFonts w:eastAsia="Times New Roman" w:cstheme="minorHAnsi"/>
        </w:rPr>
        <w:t xml:space="preserve"> (Cv. </w:t>
      </w:r>
      <w:proofErr w:type="spellStart"/>
      <w:r w:rsidRPr="003F2013">
        <w:rPr>
          <w:rFonts w:eastAsia="Times New Roman" w:cstheme="minorHAnsi"/>
        </w:rPr>
        <w:t>Alixan</w:t>
      </w:r>
      <w:proofErr w:type="spellEnd"/>
      <w:r w:rsidRPr="003F2013">
        <w:rPr>
          <w:rFonts w:eastAsia="Times New Roman" w:cstheme="minorHAnsi"/>
        </w:rPr>
        <w:t xml:space="preserve">) following </w:t>
      </w:r>
      <w:proofErr w:type="spellStart"/>
      <w:r w:rsidRPr="003F2013">
        <w:rPr>
          <w:rFonts w:eastAsia="Times New Roman" w:cstheme="minorHAnsi"/>
        </w:rPr>
        <w:t>mycosubtilin</w:t>
      </w:r>
      <w:proofErr w:type="spellEnd"/>
      <w:r w:rsidRPr="003F2013">
        <w:rPr>
          <w:rFonts w:eastAsia="Times New Roman" w:cstheme="minorHAnsi"/>
        </w:rPr>
        <w:t xml:space="preserve"> application and/or </w:t>
      </w:r>
      <w:r w:rsidRPr="003F2013">
        <w:rPr>
          <w:rFonts w:eastAsia="Times New Roman" w:cstheme="minorHAnsi"/>
          <w:i/>
          <w:iCs/>
        </w:rPr>
        <w:t>Zymoseptoria tritici</w:t>
      </w:r>
      <w:r w:rsidRPr="003F2013">
        <w:rPr>
          <w:rFonts w:eastAsia="Times New Roman" w:cstheme="minorHAnsi"/>
        </w:rPr>
        <w:t xml:space="preserve"> (T02596 strain) infection, at different time points (n=9 plants). (A) From the left to the right, the following conditions are presented, M-D5-i </w:t>
      </w:r>
      <w:r w:rsidRPr="003F2013">
        <w:rPr>
          <w:rFonts w:eastAsia="Times New Roman" w:cstheme="minorHAnsi"/>
          <w:i/>
          <w:iCs/>
        </w:rPr>
        <w:t xml:space="preserve">vs </w:t>
      </w:r>
      <w:r w:rsidRPr="003F2013">
        <w:rPr>
          <w:rFonts w:eastAsia="Times New Roman" w:cstheme="minorHAnsi"/>
        </w:rPr>
        <w:t xml:space="preserve">M-D5-Ni and M-D15-i </w:t>
      </w:r>
      <w:r w:rsidRPr="003F2013">
        <w:rPr>
          <w:rFonts w:eastAsia="Times New Roman" w:cstheme="minorHAnsi"/>
          <w:i/>
          <w:iCs/>
        </w:rPr>
        <w:t xml:space="preserve">vs </w:t>
      </w:r>
      <w:r w:rsidRPr="003F2013">
        <w:rPr>
          <w:rFonts w:eastAsia="Times New Roman" w:cstheme="minorHAnsi"/>
        </w:rPr>
        <w:t xml:space="preserve">M-D15-Ni. (B) Whole specter of metabolite accumulation modifications induced by the combined effect of mycosubtilin treatment and </w:t>
      </w:r>
      <w:r w:rsidRPr="003F2013">
        <w:rPr>
          <w:rFonts w:eastAsia="Times New Roman" w:cstheme="minorHAnsi"/>
          <w:i/>
          <w:iCs/>
        </w:rPr>
        <w:t>Z. tritici</w:t>
      </w:r>
      <w:r w:rsidRPr="003F2013">
        <w:rPr>
          <w:rFonts w:eastAsia="Times New Roman" w:cstheme="minorHAnsi"/>
        </w:rPr>
        <w:t xml:space="preserve"> infection (from the left to the right M-D5-i </w:t>
      </w:r>
      <w:r w:rsidRPr="003F2013">
        <w:rPr>
          <w:rFonts w:eastAsia="Times New Roman" w:cstheme="minorHAnsi"/>
          <w:i/>
          <w:iCs/>
        </w:rPr>
        <w:t xml:space="preserve">vs </w:t>
      </w:r>
      <w:r w:rsidRPr="003F2013">
        <w:rPr>
          <w:rFonts w:eastAsia="Times New Roman" w:cstheme="minorHAnsi"/>
        </w:rPr>
        <w:t xml:space="preserve">C-D5-Ni and M-D15-i </w:t>
      </w:r>
      <w:r w:rsidRPr="003F2013">
        <w:rPr>
          <w:rFonts w:eastAsia="Times New Roman" w:cstheme="minorHAnsi"/>
          <w:i/>
          <w:iCs/>
        </w:rPr>
        <w:t xml:space="preserve">vs </w:t>
      </w:r>
      <w:r w:rsidRPr="003F2013">
        <w:rPr>
          <w:rFonts w:eastAsia="Times New Roman" w:cstheme="minorHAnsi"/>
        </w:rPr>
        <w:t xml:space="preserve">C-D15-Ni). M means treated with mycosubtilin towards mock treated C. Ni stands for mock inoculated whereas </w:t>
      </w:r>
      <w:proofErr w:type="spellStart"/>
      <w:r w:rsidRPr="003F2013">
        <w:rPr>
          <w:rFonts w:eastAsia="Times New Roman" w:cstheme="minorHAnsi"/>
        </w:rPr>
        <w:t>i</w:t>
      </w:r>
      <w:proofErr w:type="spellEnd"/>
      <w:r w:rsidRPr="003F2013">
        <w:rPr>
          <w:rFonts w:eastAsia="Times New Roman" w:cstheme="minorHAnsi"/>
        </w:rPr>
        <w:t xml:space="preserve"> indicates that plants were infected with </w:t>
      </w:r>
      <w:r w:rsidRPr="003F2013">
        <w:rPr>
          <w:rFonts w:eastAsia="Times New Roman" w:cstheme="minorHAnsi"/>
          <w:i/>
          <w:iCs/>
        </w:rPr>
        <w:t>Z. tritici</w:t>
      </w:r>
      <w:r w:rsidRPr="003F2013">
        <w:rPr>
          <w:rFonts w:eastAsia="Times New Roman" w:cstheme="minorHAnsi"/>
        </w:rPr>
        <w:t>. D5 and D15 mean that leaves were sampled respectively at five and fifteen days after mycosubtilin treatment. Log2 of significant metabolite fold changes for indicated pairwise comparisons are given by shades of red or blue colors according to the scale bar. Metabolites were grouped according to their functional or chemical family as amino acids, benzoxazinoids, flavonoids, hormones and hydroxycinnamic acid amides. Data represent mean values of nine biological replicates for each condition and time point. Statistical analyses were performed using the Tukey's Honest Significant Difference method followed by a false discovery rate (FDR) correction, with FDR &lt; 0.05. For FDR ≥ 0.05, Log2 fold changes were set to 0.</w:t>
      </w:r>
    </w:p>
    <w:p w14:paraId="0ACF29EF" w14:textId="3560A59D" w:rsidR="00B30F4E" w:rsidRDefault="00B30F4E" w:rsidP="00654E8F">
      <w:pPr>
        <w:spacing w:before="240"/>
      </w:pPr>
    </w:p>
    <w:p w14:paraId="352DF5C8" w14:textId="60323B73" w:rsidR="00B30F4E" w:rsidRDefault="00B30F4E" w:rsidP="00654E8F">
      <w:pPr>
        <w:spacing w:before="240"/>
      </w:pPr>
    </w:p>
    <w:p w14:paraId="5A0C81EC" w14:textId="52EF0E20" w:rsidR="00EC00AC" w:rsidRDefault="00EC00AC" w:rsidP="00654E8F">
      <w:pPr>
        <w:spacing w:before="240"/>
      </w:pPr>
    </w:p>
    <w:p w14:paraId="37FDC4FB" w14:textId="1D7AA57B" w:rsidR="00B30F4E" w:rsidRDefault="00B30F4E" w:rsidP="00654E8F">
      <w:pPr>
        <w:spacing w:before="240"/>
      </w:pPr>
    </w:p>
    <w:p w14:paraId="052B206D" w14:textId="6287A6AD" w:rsidR="00B30F4E" w:rsidRDefault="00B30F4E" w:rsidP="00654E8F">
      <w:pPr>
        <w:spacing w:before="240"/>
      </w:pPr>
    </w:p>
    <w:p w14:paraId="091213B7" w14:textId="158B174B" w:rsidR="00B30F4E" w:rsidRDefault="00B30F4E" w:rsidP="00654E8F">
      <w:pPr>
        <w:spacing w:before="240"/>
      </w:pPr>
    </w:p>
    <w:p w14:paraId="14095A7C" w14:textId="45E11067" w:rsidR="00B30F4E" w:rsidRDefault="00B30F4E" w:rsidP="00654E8F">
      <w:pPr>
        <w:spacing w:before="240"/>
      </w:pPr>
    </w:p>
    <w:p w14:paraId="663F1296" w14:textId="1CB8F629" w:rsidR="00B30F4E" w:rsidRDefault="00B30F4E" w:rsidP="00654E8F">
      <w:pPr>
        <w:spacing w:before="240"/>
      </w:pPr>
    </w:p>
    <w:p w14:paraId="7EC84B6C" w14:textId="650267D7" w:rsidR="00B30F4E" w:rsidRDefault="00B30F4E" w:rsidP="00654E8F">
      <w:pPr>
        <w:spacing w:before="240"/>
      </w:pPr>
    </w:p>
    <w:p w14:paraId="28569BD1" w14:textId="1DA46C4E" w:rsidR="00B30F4E" w:rsidRDefault="00B30F4E" w:rsidP="00654E8F">
      <w:pPr>
        <w:spacing w:before="240"/>
      </w:pPr>
    </w:p>
    <w:p w14:paraId="47DBBBD6" w14:textId="53C1CFDE" w:rsidR="00B30F4E" w:rsidRDefault="00B30F4E" w:rsidP="00654E8F">
      <w:pPr>
        <w:spacing w:before="240"/>
      </w:pPr>
    </w:p>
    <w:p w14:paraId="4D504A4B" w14:textId="1C3F0680" w:rsidR="00B30F4E" w:rsidRDefault="00B30F4E" w:rsidP="00654E8F">
      <w:pPr>
        <w:spacing w:before="240"/>
      </w:pPr>
    </w:p>
    <w:p w14:paraId="38E91B84" w14:textId="61D16793" w:rsidR="00B30F4E" w:rsidRDefault="00B30F4E" w:rsidP="00654E8F">
      <w:pPr>
        <w:spacing w:before="240"/>
      </w:pPr>
    </w:p>
    <w:p w14:paraId="397F5D53" w14:textId="3D43636A" w:rsidR="00B30F4E" w:rsidRDefault="00B30F4E" w:rsidP="00654E8F">
      <w:pPr>
        <w:spacing w:before="240"/>
      </w:pPr>
      <w:r>
        <w:rPr>
          <w:noProof/>
        </w:rPr>
        <w:lastRenderedPageBreak/>
        <w:drawing>
          <wp:anchor distT="0" distB="0" distL="114300" distR="114300" simplePos="0" relativeHeight="251663360" behindDoc="0" locked="0" layoutInCell="1" allowOverlap="1" wp14:anchorId="5D49ABA1" wp14:editId="5B81B9C2">
            <wp:simplePos x="0" y="0"/>
            <wp:positionH relativeFrom="margin">
              <wp:align>center</wp:align>
            </wp:positionH>
            <wp:positionV relativeFrom="paragraph">
              <wp:posOffset>127221</wp:posOffset>
            </wp:positionV>
            <wp:extent cx="4941570" cy="4953635"/>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13" cstate="print">
                      <a:extLst>
                        <a:ext uri="{28A0092B-C50C-407E-A947-70E740481C1C}">
                          <a14:useLocalDpi xmlns:a14="http://schemas.microsoft.com/office/drawing/2010/main" val="0"/>
                        </a:ext>
                      </a:extLst>
                    </a:blip>
                    <a:srcRect l="26397" t="6645" r="25017" b="6766"/>
                    <a:stretch/>
                  </pic:blipFill>
                  <pic:spPr bwMode="auto">
                    <a:xfrm>
                      <a:off x="0" y="0"/>
                      <a:ext cx="4941570" cy="4953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097EA0" w14:textId="184B970B" w:rsidR="00B30F4E" w:rsidRDefault="00B30F4E" w:rsidP="00654E8F">
      <w:pPr>
        <w:spacing w:before="240"/>
      </w:pPr>
    </w:p>
    <w:p w14:paraId="0D129E24" w14:textId="6C072A49" w:rsidR="00B30F4E" w:rsidRDefault="00B30F4E" w:rsidP="00B30F4E">
      <w:pPr>
        <w:autoSpaceDE w:val="0"/>
        <w:autoSpaceDN w:val="0"/>
        <w:adjustRightInd w:val="0"/>
        <w:spacing w:after="120" w:line="360" w:lineRule="auto"/>
        <w:jc w:val="both"/>
        <w:rPr>
          <w:rFonts w:eastAsia="Times New Roman" w:cstheme="minorHAnsi"/>
        </w:rPr>
      </w:pPr>
      <w:r w:rsidRPr="0001436A">
        <w:rPr>
          <w:rFonts w:cs="Times New Roman"/>
          <w:b/>
          <w:szCs w:val="24"/>
        </w:rPr>
        <w:t xml:space="preserve">Supplementary Figure </w:t>
      </w:r>
      <w:r>
        <w:rPr>
          <w:rFonts w:cs="Times New Roman"/>
          <w:b/>
          <w:szCs w:val="24"/>
        </w:rPr>
        <w:t>S6</w:t>
      </w:r>
      <w:r w:rsidRPr="0001436A">
        <w:rPr>
          <w:rFonts w:cs="Times New Roman"/>
          <w:b/>
          <w:szCs w:val="24"/>
        </w:rPr>
        <w:t>.</w:t>
      </w:r>
      <w:r w:rsidRPr="001549D3">
        <w:rPr>
          <w:rFonts w:cs="Times New Roman"/>
          <w:szCs w:val="24"/>
        </w:rPr>
        <w:t xml:space="preserve"> </w:t>
      </w:r>
      <w:r w:rsidRPr="003F2013">
        <w:rPr>
          <w:rFonts w:eastAsia="Times New Roman" w:cstheme="minorHAnsi"/>
          <w:bCs/>
        </w:rPr>
        <w:t xml:space="preserve">Principal component analysis (PCA) displaying the global impact of mycosubtilin treatment and infection with </w:t>
      </w:r>
      <w:r w:rsidRPr="003F2013">
        <w:rPr>
          <w:rFonts w:eastAsia="Times New Roman" w:cstheme="minorHAnsi"/>
          <w:bCs/>
          <w:i/>
        </w:rPr>
        <w:t>Zymoseptoria tritici</w:t>
      </w:r>
      <w:r w:rsidRPr="003F2013">
        <w:rPr>
          <w:rFonts w:eastAsia="Times New Roman" w:cstheme="minorHAnsi"/>
          <w:bCs/>
        </w:rPr>
        <w:t xml:space="preserve"> on wheat leaf metabolome. PCA was performed on relative amounts of all analyzed compounds in the different groups of samples. For each group, nine biological replicates were used. The first two principal components explain 24.4% and 15.1% of the variance separating the groups of samples, respectively.</w:t>
      </w:r>
    </w:p>
    <w:p w14:paraId="723D6A4E" w14:textId="77777777" w:rsidR="00B30F4E" w:rsidRPr="001549D3" w:rsidRDefault="00B30F4E" w:rsidP="00654E8F">
      <w:pPr>
        <w:spacing w:before="240"/>
      </w:pPr>
    </w:p>
    <w:sectPr w:rsidR="00B30F4E" w:rsidRPr="001549D3"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7581D" w14:textId="77777777" w:rsidR="00D51375" w:rsidRDefault="00D51375" w:rsidP="00117666">
      <w:pPr>
        <w:spacing w:after="0"/>
      </w:pPr>
      <w:r>
        <w:separator/>
      </w:r>
    </w:p>
  </w:endnote>
  <w:endnote w:type="continuationSeparator" w:id="0">
    <w:p w14:paraId="0556BCE7" w14:textId="77777777" w:rsidR="00D51375" w:rsidRDefault="00D5137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783DC" w14:textId="77777777" w:rsidR="00D51375" w:rsidRDefault="00D51375" w:rsidP="00117666">
      <w:pPr>
        <w:spacing w:after="0"/>
      </w:pPr>
      <w:r>
        <w:separator/>
      </w:r>
    </w:p>
  </w:footnote>
  <w:footnote w:type="continuationSeparator" w:id="0">
    <w:p w14:paraId="663A572A" w14:textId="77777777" w:rsidR="00D51375" w:rsidRDefault="00D5137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613093562">
    <w:abstractNumId w:val="0"/>
  </w:num>
  <w:num w:numId="2" w16cid:durableId="2070692278">
    <w:abstractNumId w:val="4"/>
  </w:num>
  <w:num w:numId="3" w16cid:durableId="1666350250">
    <w:abstractNumId w:val="1"/>
  </w:num>
  <w:num w:numId="4" w16cid:durableId="1802336744">
    <w:abstractNumId w:val="5"/>
  </w:num>
  <w:num w:numId="5" w16cid:durableId="8765474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6411290">
    <w:abstractNumId w:val="3"/>
  </w:num>
  <w:num w:numId="7" w16cid:durableId="744031684">
    <w:abstractNumId w:val="6"/>
  </w:num>
  <w:num w:numId="8" w16cid:durableId="479739114">
    <w:abstractNumId w:val="6"/>
  </w:num>
  <w:num w:numId="9" w16cid:durableId="1373118020">
    <w:abstractNumId w:val="6"/>
  </w:num>
  <w:num w:numId="10" w16cid:durableId="841745785">
    <w:abstractNumId w:val="6"/>
  </w:num>
  <w:num w:numId="11" w16cid:durableId="1501383442">
    <w:abstractNumId w:val="6"/>
  </w:num>
  <w:num w:numId="12" w16cid:durableId="1539975704">
    <w:abstractNumId w:val="6"/>
  </w:num>
  <w:num w:numId="13" w16cid:durableId="974023543">
    <w:abstractNumId w:val="3"/>
  </w:num>
  <w:num w:numId="14" w16cid:durableId="594561152">
    <w:abstractNumId w:val="2"/>
  </w:num>
  <w:num w:numId="15" w16cid:durableId="845553327">
    <w:abstractNumId w:val="2"/>
  </w:num>
  <w:num w:numId="16" w16cid:durableId="375350401">
    <w:abstractNumId w:val="2"/>
  </w:num>
  <w:num w:numId="17" w16cid:durableId="1574660760">
    <w:abstractNumId w:val="2"/>
  </w:num>
  <w:num w:numId="18" w16cid:durableId="1198542764">
    <w:abstractNumId w:val="2"/>
  </w:num>
  <w:num w:numId="19" w16cid:durableId="6751135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5384"/>
    <w:rsid w:val="0001436A"/>
    <w:rsid w:val="00034304"/>
    <w:rsid w:val="00035434"/>
    <w:rsid w:val="00052A14"/>
    <w:rsid w:val="00077D53"/>
    <w:rsid w:val="000A2BB6"/>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A63C0"/>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7D3190"/>
    <w:rsid w:val="007F0CC0"/>
    <w:rsid w:val="00817DD6"/>
    <w:rsid w:val="0083759F"/>
    <w:rsid w:val="008813B6"/>
    <w:rsid w:val="00885156"/>
    <w:rsid w:val="009151AA"/>
    <w:rsid w:val="0093429D"/>
    <w:rsid w:val="00943573"/>
    <w:rsid w:val="00964134"/>
    <w:rsid w:val="00970F7D"/>
    <w:rsid w:val="00994A3D"/>
    <w:rsid w:val="009C2B12"/>
    <w:rsid w:val="00A174D9"/>
    <w:rsid w:val="00AA4D24"/>
    <w:rsid w:val="00AB6715"/>
    <w:rsid w:val="00B1671E"/>
    <w:rsid w:val="00B25EB8"/>
    <w:rsid w:val="00B30F4E"/>
    <w:rsid w:val="00B37F4D"/>
    <w:rsid w:val="00C52A7B"/>
    <w:rsid w:val="00C56BAF"/>
    <w:rsid w:val="00C679AA"/>
    <w:rsid w:val="00C75972"/>
    <w:rsid w:val="00CD066B"/>
    <w:rsid w:val="00CE4FEE"/>
    <w:rsid w:val="00D060CF"/>
    <w:rsid w:val="00D51375"/>
    <w:rsid w:val="00DB59C3"/>
    <w:rsid w:val="00DC259A"/>
    <w:rsid w:val="00DE23E8"/>
    <w:rsid w:val="00E52377"/>
    <w:rsid w:val="00E537AD"/>
    <w:rsid w:val="00E64E17"/>
    <w:rsid w:val="00E866C9"/>
    <w:rsid w:val="00EA3D3C"/>
    <w:rsid w:val="00EC00AC"/>
    <w:rsid w:val="00EC090A"/>
    <w:rsid w:val="00ED20B5"/>
    <w:rsid w:val="00EF798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8</Pages>
  <Words>830</Words>
  <Characters>4733</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Palmira Seixas</cp:lastModifiedBy>
  <cp:revision>2</cp:revision>
  <cp:lastPrinted>2013-10-03T12:51:00Z</cp:lastPrinted>
  <dcterms:created xsi:type="dcterms:W3CDTF">2022-12-27T10:35:00Z</dcterms:created>
  <dcterms:modified xsi:type="dcterms:W3CDTF">2022-12-27T10:35:00Z</dcterms:modified>
</cp:coreProperties>
</file>