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2702E4D" w14:textId="77777777" w:rsidR="00C87094" w:rsidRDefault="00C87094" w:rsidP="00C87094">
      <w:pPr>
        <w:pStyle w:val="AuthorList"/>
        <w:rPr>
          <w:sz w:val="32"/>
          <w:szCs w:val="32"/>
        </w:rPr>
      </w:pPr>
      <w:r w:rsidRPr="00FA2058">
        <w:rPr>
          <w:sz w:val="32"/>
          <w:szCs w:val="32"/>
        </w:rPr>
        <w:t xml:space="preserve">Mapping of tilapia lake virus entry pathways with inhibitors reveals dependence on dynamin activity and cholesterol but not endosomal acidification </w:t>
      </w:r>
    </w:p>
    <w:p w14:paraId="00D6488F" w14:textId="673BBEAC" w:rsidR="00C87094" w:rsidRDefault="00C87094" w:rsidP="00C87094">
      <w:pPr>
        <w:pStyle w:val="AuthorList"/>
      </w:pPr>
      <w:r>
        <w:rPr>
          <w:lang w:val="en-GB"/>
        </w:rPr>
        <w:t>Reem Abu Rass</w:t>
      </w:r>
      <w:r w:rsidRPr="00A545C6">
        <w:rPr>
          <w:vertAlign w:val="superscript"/>
        </w:rPr>
        <w:t>1</w:t>
      </w:r>
      <w:r w:rsidRPr="00376CC5">
        <w:t xml:space="preserve">, </w:t>
      </w:r>
      <w:r w:rsidRPr="00FA2058">
        <w:t>Japhette Esther Kembou-Ringert</w:t>
      </w:r>
      <w:r w:rsidRPr="00FA2058">
        <w:rPr>
          <w:vertAlign w:val="superscript"/>
        </w:rPr>
        <w:t>1</w:t>
      </w:r>
      <w:r>
        <w:t xml:space="preserve">, </w:t>
      </w:r>
      <w:r w:rsidRPr="00FA2058">
        <w:t>Rachel Zamostiano</w:t>
      </w:r>
      <w:r w:rsidRPr="00FA2058">
        <w:rPr>
          <w:vertAlign w:val="superscript"/>
        </w:rPr>
        <w:t>1</w:t>
      </w:r>
      <w:r>
        <w:t xml:space="preserve">, </w:t>
      </w:r>
      <w:r w:rsidRPr="00FA2058">
        <w:t>Avi Eldar</w:t>
      </w:r>
      <w:r w:rsidRPr="00FA2058">
        <w:rPr>
          <w:vertAlign w:val="superscript"/>
        </w:rPr>
        <w:t>2</w:t>
      </w:r>
      <w:r w:rsidRPr="00FA2058">
        <w:t>, Marcelo Ehrlich</w:t>
      </w:r>
      <w:r w:rsidRPr="00FA2058">
        <w:rPr>
          <w:vertAlign w:val="superscript"/>
        </w:rPr>
        <w:t>1</w:t>
      </w:r>
      <w:r w:rsidRPr="00FA2058">
        <w:t>* and Eran Bacharach</w:t>
      </w:r>
      <w:r w:rsidRPr="00FA2058">
        <w:rPr>
          <w:vertAlign w:val="superscript"/>
        </w:rPr>
        <w:t>1</w:t>
      </w:r>
      <w:r w:rsidRPr="00FA2058">
        <w:t>*</w:t>
      </w:r>
    </w:p>
    <w:p w14:paraId="20A1FDB9" w14:textId="77777777" w:rsidR="00C87094" w:rsidRPr="0095530B" w:rsidRDefault="00C87094" w:rsidP="00C87094">
      <w:pPr>
        <w:spacing w:before="240" w:after="0"/>
        <w:rPr>
          <w:rFonts w:cs="Times New Roman"/>
          <w:szCs w:val="24"/>
        </w:rPr>
      </w:pPr>
      <w:r w:rsidRPr="00376CC5">
        <w:rPr>
          <w:rFonts w:cs="Times New Roman"/>
          <w:szCs w:val="24"/>
          <w:vertAlign w:val="superscript"/>
        </w:rPr>
        <w:t>1</w:t>
      </w:r>
      <w:r w:rsidRPr="0095530B">
        <w:rPr>
          <w:rFonts w:cs="Times New Roman"/>
          <w:szCs w:val="24"/>
        </w:rPr>
        <w:t>Tel Aviv University</w:t>
      </w:r>
      <w:r>
        <w:rPr>
          <w:rFonts w:cs="Times New Roman"/>
          <w:szCs w:val="24"/>
        </w:rPr>
        <w:t>,</w:t>
      </w:r>
      <w:r w:rsidRPr="0095530B">
        <w:rPr>
          <w:rFonts w:cs="Times New Roman"/>
          <w:szCs w:val="24"/>
        </w:rPr>
        <w:t xml:space="preserve"> The </w:t>
      </w:r>
      <w:proofErr w:type="spellStart"/>
      <w:r w:rsidRPr="0095530B">
        <w:rPr>
          <w:rFonts w:cs="Times New Roman"/>
          <w:szCs w:val="24"/>
        </w:rPr>
        <w:t>Shmunis</w:t>
      </w:r>
      <w:proofErr w:type="spellEnd"/>
      <w:r w:rsidRPr="0095530B">
        <w:rPr>
          <w:rFonts w:cs="Times New Roman"/>
          <w:szCs w:val="24"/>
        </w:rPr>
        <w:t xml:space="preserve"> School of Biomedicine and Cancer Research, George S. Wise Faculty of Life Sciences, Tel Aviv, Israel</w:t>
      </w:r>
    </w:p>
    <w:p w14:paraId="7A0EB0CF" w14:textId="1BA7F4F3" w:rsidR="00C87094" w:rsidRDefault="00C87094" w:rsidP="00C87094">
      <w:pPr>
        <w:spacing w:after="0"/>
        <w:rPr>
          <w:rFonts w:cs="Times New Roman"/>
          <w:b/>
          <w:szCs w:val="24"/>
        </w:rPr>
      </w:pPr>
      <w:r w:rsidRPr="006A25FB">
        <w:rPr>
          <w:rFonts w:cs="Times New Roman"/>
          <w:szCs w:val="24"/>
          <w:vertAlign w:val="superscript"/>
        </w:rPr>
        <w:t>2</w:t>
      </w:r>
      <w:r w:rsidRPr="0095530B">
        <w:rPr>
          <w:rFonts w:cs="Times New Roman"/>
          <w:szCs w:val="24"/>
        </w:rPr>
        <w:t xml:space="preserve">The </w:t>
      </w:r>
      <w:proofErr w:type="spellStart"/>
      <w:r w:rsidRPr="0095530B">
        <w:rPr>
          <w:rFonts w:cs="Times New Roman"/>
          <w:szCs w:val="24"/>
        </w:rPr>
        <w:t>Kimron</w:t>
      </w:r>
      <w:proofErr w:type="spellEnd"/>
      <w:r w:rsidRPr="0095530B">
        <w:rPr>
          <w:rFonts w:cs="Times New Roman"/>
          <w:szCs w:val="24"/>
        </w:rPr>
        <w:t xml:space="preserve"> Veterinary Institute</w:t>
      </w:r>
      <w:r>
        <w:rPr>
          <w:rFonts w:cs="Times New Roman"/>
          <w:szCs w:val="24"/>
        </w:rPr>
        <w:t>,</w:t>
      </w:r>
      <w:r w:rsidRPr="0095530B">
        <w:rPr>
          <w:rFonts w:cs="Times New Roman"/>
          <w:szCs w:val="24"/>
        </w:rPr>
        <w:t xml:space="preserve"> Department of Virology, Bet Dagan, Israel</w:t>
      </w:r>
    </w:p>
    <w:p w14:paraId="156CD038" w14:textId="77777777" w:rsidR="00C87094" w:rsidRPr="00C87094" w:rsidRDefault="00C87094" w:rsidP="00C87094">
      <w:pPr>
        <w:spacing w:after="0"/>
        <w:rPr>
          <w:rFonts w:cs="Times New Roman"/>
          <w:b/>
          <w:szCs w:val="24"/>
        </w:rPr>
      </w:pPr>
    </w:p>
    <w:p w14:paraId="5525480D" w14:textId="77777777" w:rsidR="00C87094" w:rsidRPr="00017319" w:rsidRDefault="00C87094" w:rsidP="00C87094">
      <w:pPr>
        <w:spacing w:before="240" w:after="0"/>
      </w:pPr>
      <w:r w:rsidRPr="00376CC5">
        <w:rPr>
          <w:rFonts w:cs="Times New Roman"/>
          <w:b/>
          <w:szCs w:val="24"/>
        </w:rPr>
        <w:t xml:space="preserve">* Correspondence: </w:t>
      </w:r>
      <w:r w:rsidRPr="00376CC5">
        <w:rPr>
          <w:rFonts w:cs="Times New Roman"/>
          <w:b/>
          <w:szCs w:val="24"/>
        </w:rPr>
        <w:br/>
      </w:r>
      <w:r w:rsidRPr="00EA66A1">
        <w:rPr>
          <w:rFonts w:cs="Times New Roman"/>
          <w:szCs w:val="24"/>
        </w:rPr>
        <w:t>Marcelo Ehrlich and Eran Bacharach</w:t>
      </w:r>
      <w:r w:rsidRPr="00376CC5">
        <w:rPr>
          <w:rFonts w:cs="Times New Roman"/>
          <w:szCs w:val="24"/>
        </w:rPr>
        <w:br/>
      </w:r>
      <w:r>
        <w:t>marceloe@tauex.tau.ac.il</w:t>
      </w:r>
      <w:r>
        <w:br/>
      </w:r>
      <w:r w:rsidRPr="00017319">
        <w:t>eranba@tauex.tau.ac.il</w:t>
      </w:r>
    </w:p>
    <w:p w14:paraId="29026311" w14:textId="77777777" w:rsidR="00EA3D3C" w:rsidRPr="00994A3D" w:rsidRDefault="00654E8F" w:rsidP="0001436A">
      <w:pPr>
        <w:pStyle w:val="Heading1"/>
      </w:pPr>
      <w:r w:rsidRPr="00994A3D">
        <w:t>Supplementary Data</w:t>
      </w:r>
    </w:p>
    <w:p w14:paraId="5B9F45C9" w14:textId="77777777"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p>
    <w:p w14:paraId="08451C38" w14:textId="77777777"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5E584EE8" w14:textId="77777777" w:rsidR="00994A3D" w:rsidRPr="00994A3D" w:rsidRDefault="00654E8F" w:rsidP="0001436A">
      <w:pPr>
        <w:pStyle w:val="Heading1"/>
      </w:pPr>
      <w:r w:rsidRPr="00994A3D">
        <w:t>Supplementary Figures and Tables</w:t>
      </w:r>
    </w:p>
    <w:p w14:paraId="7CD80DD1" w14:textId="4E7E194D"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12" w:anchor="supplementary-material" w:history="1">
        <w:r w:rsidRPr="002B4A57">
          <w:rPr>
            <w:rStyle w:val="Hyperlink"/>
          </w:rPr>
          <w:t>here</w:t>
        </w:r>
      </w:hyperlink>
      <w:r>
        <w:t>.</w:t>
      </w:r>
    </w:p>
    <w:p w14:paraId="07970E94" w14:textId="10AC9EB9" w:rsidR="00994A3D" w:rsidRDefault="00994A3D" w:rsidP="0001436A">
      <w:pPr>
        <w:pStyle w:val="Heading2"/>
      </w:pPr>
      <w:r w:rsidRPr="0001436A">
        <w:t>Supplementary</w:t>
      </w:r>
      <w:r w:rsidRPr="001549D3">
        <w:t xml:space="preserve"> Figures</w:t>
      </w:r>
    </w:p>
    <w:p w14:paraId="668A4D06" w14:textId="1CAD2327" w:rsidR="006A16EB" w:rsidRPr="001549D3" w:rsidRDefault="00755E48" w:rsidP="006A16EB">
      <w:pPr>
        <w:keepNext/>
        <w:jc w:val="center"/>
        <w:rPr>
          <w:rFonts w:cs="Times New Roman"/>
          <w:szCs w:val="24"/>
        </w:rPr>
      </w:pPr>
      <w:r>
        <w:rPr>
          <w:rFonts w:cs="Times New Roman"/>
          <w:noProof/>
          <w:szCs w:val="24"/>
        </w:rPr>
        <w:lastRenderedPageBreak/>
        <w:drawing>
          <wp:inline distT="0" distB="0" distL="0" distR="0" wp14:anchorId="392A438B" wp14:editId="49A43341">
            <wp:extent cx="3060197" cy="2125983"/>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197" cy="2125983"/>
                    </a:xfrm>
                    <a:prstGeom prst="rect">
                      <a:avLst/>
                    </a:prstGeom>
                  </pic:spPr>
                </pic:pic>
              </a:graphicData>
            </a:graphic>
          </wp:inline>
        </w:drawing>
      </w:r>
    </w:p>
    <w:p w14:paraId="62B9CF45" w14:textId="417A0E83" w:rsidR="006A16EB" w:rsidRPr="00561326" w:rsidRDefault="006A16EB" w:rsidP="006A16EB">
      <w:pPr>
        <w:keepNext/>
        <w:rPr>
          <w:rFonts w:cs="Times New Roman"/>
          <w:b/>
          <w:szCs w:val="24"/>
          <w:rtl/>
          <w:lang w:val="en-GB" w:bidi="he-IL"/>
        </w:rPr>
      </w:pPr>
      <w:r w:rsidRPr="0001436A">
        <w:rPr>
          <w:rFonts w:cs="Times New Roman"/>
          <w:b/>
          <w:szCs w:val="24"/>
        </w:rPr>
        <w:t xml:space="preserve">Supplementary Figure </w:t>
      </w:r>
      <w:r>
        <w:rPr>
          <w:rFonts w:cs="Times New Roman"/>
          <w:b/>
          <w:szCs w:val="24"/>
        </w:rPr>
        <w:t>1</w:t>
      </w:r>
      <w:r w:rsidRPr="0001436A">
        <w:rPr>
          <w:rFonts w:cs="Times New Roman"/>
          <w:b/>
          <w:szCs w:val="24"/>
        </w:rPr>
        <w:t>.</w:t>
      </w:r>
      <w:r>
        <w:rPr>
          <w:rFonts w:cs="Times New Roman"/>
          <w:b/>
          <w:szCs w:val="24"/>
        </w:rPr>
        <w:t xml:space="preserve"> </w:t>
      </w:r>
      <w:r w:rsidRPr="00A575C9">
        <w:rPr>
          <w:rFonts w:cs="Times New Roman"/>
          <w:szCs w:val="24"/>
        </w:rPr>
        <w:t xml:space="preserve">Viability of </w:t>
      </w:r>
      <w:proofErr w:type="spellStart"/>
      <w:r w:rsidRPr="00A575C9">
        <w:rPr>
          <w:rFonts w:cs="Times New Roman"/>
          <w:szCs w:val="24"/>
        </w:rPr>
        <w:t>TmB</w:t>
      </w:r>
      <w:proofErr w:type="spellEnd"/>
      <w:r w:rsidRPr="00A575C9">
        <w:rPr>
          <w:rFonts w:cs="Times New Roman"/>
          <w:szCs w:val="24"/>
        </w:rPr>
        <w:t xml:space="preserve"> cells upon MβCD treatment.</w:t>
      </w:r>
      <w:r w:rsidR="00C56555">
        <w:rPr>
          <w:rFonts w:cs="Times New Roman"/>
          <w:szCs w:val="24"/>
        </w:rPr>
        <w:t xml:space="preserve"> </w:t>
      </w:r>
      <w:r w:rsidR="00C56555">
        <w:rPr>
          <w:rFonts w:cs="Times New Roman"/>
          <w:b/>
          <w:bCs/>
          <w:szCs w:val="24"/>
        </w:rPr>
        <w:t>(A)</w:t>
      </w:r>
      <w:r>
        <w:rPr>
          <w:rFonts w:cs="Times New Roman"/>
          <w:szCs w:val="24"/>
        </w:rPr>
        <w:t xml:space="preserve"> </w:t>
      </w:r>
      <w:proofErr w:type="spellStart"/>
      <w:r>
        <w:rPr>
          <w:rFonts w:cs="Times New Roman"/>
          <w:szCs w:val="24"/>
        </w:rPr>
        <w:t>TmB</w:t>
      </w:r>
      <w:proofErr w:type="spellEnd"/>
      <w:r>
        <w:rPr>
          <w:rFonts w:cs="Times New Roman"/>
          <w:szCs w:val="24"/>
        </w:rPr>
        <w:t xml:space="preserve"> cells were treated, or not</w:t>
      </w:r>
      <w:r w:rsidR="00C56555">
        <w:rPr>
          <w:rFonts w:cs="Times New Roman"/>
          <w:szCs w:val="24"/>
        </w:rPr>
        <w:t xml:space="preserve"> (UT)</w:t>
      </w:r>
      <w:r>
        <w:rPr>
          <w:rFonts w:cs="Times New Roman"/>
          <w:szCs w:val="24"/>
        </w:rPr>
        <w:t xml:space="preserve">, with </w:t>
      </w:r>
      <w:r w:rsidRPr="00A575C9">
        <w:rPr>
          <w:rFonts w:cs="Times New Roman"/>
          <w:szCs w:val="24"/>
        </w:rPr>
        <w:t>MβCD</w:t>
      </w:r>
      <w:r>
        <w:rPr>
          <w:rFonts w:cs="Times New Roman"/>
          <w:szCs w:val="24"/>
        </w:rPr>
        <w:t xml:space="preserve">, according to the timeline described in Figure 2A (without infection). </w:t>
      </w:r>
      <w:r w:rsidR="00C56555">
        <w:rPr>
          <w:rFonts w:cs="Times New Roman"/>
          <w:szCs w:val="24"/>
        </w:rPr>
        <w:t xml:space="preserve">At </w:t>
      </w:r>
      <w:r>
        <w:rPr>
          <w:rFonts w:cs="Times New Roman"/>
          <w:szCs w:val="24"/>
        </w:rPr>
        <w:t>24 hours post-</w:t>
      </w:r>
      <w:r w:rsidR="00E17558">
        <w:rPr>
          <w:rFonts w:cs="Times New Roman"/>
          <w:szCs w:val="24"/>
        </w:rPr>
        <w:t>replating,</w:t>
      </w:r>
      <w:r w:rsidR="00E17558">
        <w:rPr>
          <w:rFonts w:cs="Times New Roman"/>
          <w:szCs w:val="24"/>
        </w:rPr>
        <w:t xml:space="preserve"> </w:t>
      </w:r>
      <w:r w:rsidR="00C56555">
        <w:rPr>
          <w:rFonts w:cs="Times New Roman"/>
          <w:szCs w:val="24"/>
        </w:rPr>
        <w:t xml:space="preserve">the cultures were imaged by a </w:t>
      </w:r>
      <w:proofErr w:type="gramStart"/>
      <w:r w:rsidR="00C56555">
        <w:rPr>
          <w:rFonts w:cs="Times New Roman"/>
          <w:szCs w:val="24"/>
        </w:rPr>
        <w:t xml:space="preserve">microscope </w:t>
      </w:r>
      <w:r w:rsidR="00C56555">
        <w:rPr>
          <w:rFonts w:cs="Times New Roman" w:hint="cs"/>
          <w:szCs w:val="24"/>
          <w:rtl/>
          <w:lang w:bidi="he-IL"/>
        </w:rPr>
        <w:t>)</w:t>
      </w:r>
      <w:proofErr w:type="gramEnd"/>
      <w:r w:rsidR="00C56555" w:rsidRPr="00C56555">
        <w:rPr>
          <w:rFonts w:cs="Times New Roman"/>
          <w:szCs w:val="24"/>
        </w:rPr>
        <w:t xml:space="preserve"> </w:t>
      </w:r>
      <w:r w:rsidR="00C56555" w:rsidRPr="00C56555">
        <w:rPr>
          <w:rFonts w:cs="Times New Roman"/>
          <w:szCs w:val="24"/>
        </w:rPr>
        <w:t>EVOS Fl</w:t>
      </w:r>
      <w:r w:rsidR="00C56555">
        <w:rPr>
          <w:rFonts w:cs="Times New Roman"/>
          <w:szCs w:val="24"/>
        </w:rPr>
        <w:t>), and the number of cells per field was counted.</w:t>
      </w:r>
      <w:r w:rsidR="00C56555">
        <w:rPr>
          <w:rFonts w:cs="Times New Roman"/>
          <w:szCs w:val="24"/>
          <w:lang w:bidi="he-IL"/>
        </w:rPr>
        <w:t xml:space="preserve"> </w:t>
      </w:r>
      <w:r w:rsidR="00794095">
        <w:rPr>
          <w:rFonts w:cs="Times New Roman"/>
          <w:b/>
          <w:bCs/>
          <w:szCs w:val="24"/>
          <w:lang w:bidi="he-IL"/>
        </w:rPr>
        <w:t xml:space="preserve">(B) </w:t>
      </w:r>
      <w:r w:rsidR="00C56555">
        <w:rPr>
          <w:rFonts w:cs="Times New Roman"/>
          <w:szCs w:val="24"/>
          <w:lang w:bidi="he-IL"/>
        </w:rPr>
        <w:t xml:space="preserve">The </w:t>
      </w:r>
      <w:r>
        <w:rPr>
          <w:rFonts w:cs="Times New Roman"/>
          <w:szCs w:val="24"/>
        </w:rPr>
        <w:t xml:space="preserve">cells </w:t>
      </w:r>
      <w:r w:rsidR="00794095">
        <w:rPr>
          <w:rFonts w:cs="Times New Roman"/>
          <w:szCs w:val="24"/>
        </w:rPr>
        <w:t xml:space="preserve">from (A) </w:t>
      </w:r>
      <w:r w:rsidR="0032225C">
        <w:rPr>
          <w:rFonts w:cs="Times New Roman"/>
          <w:szCs w:val="24"/>
        </w:rPr>
        <w:t xml:space="preserve">were </w:t>
      </w:r>
      <w:r>
        <w:rPr>
          <w:rFonts w:cs="Times New Roman"/>
          <w:szCs w:val="24"/>
        </w:rPr>
        <w:t>harvested</w:t>
      </w:r>
      <w:r w:rsidR="00C56555">
        <w:rPr>
          <w:rFonts w:cs="Times New Roman"/>
          <w:szCs w:val="24"/>
        </w:rPr>
        <w:t xml:space="preserve">, subjected to </w:t>
      </w:r>
      <w:r>
        <w:rPr>
          <w:rFonts w:cs="Times New Roman"/>
          <w:szCs w:val="24"/>
        </w:rPr>
        <w:t>a live/dead assay</w:t>
      </w:r>
      <w:r w:rsidR="00C56555">
        <w:rPr>
          <w:rFonts w:cs="Times New Roman"/>
          <w:szCs w:val="24"/>
        </w:rPr>
        <w:t xml:space="preserve">, </w:t>
      </w:r>
      <w:r>
        <w:rPr>
          <w:rFonts w:cs="Times New Roman"/>
          <w:szCs w:val="24"/>
        </w:rPr>
        <w:t xml:space="preserve">and analyzed by FACS and the </w:t>
      </w:r>
      <w:proofErr w:type="spellStart"/>
      <w:r>
        <w:rPr>
          <w:rFonts w:cs="Times New Roman"/>
          <w:szCs w:val="24"/>
        </w:rPr>
        <w:t>FlowJo</w:t>
      </w:r>
      <w:proofErr w:type="spellEnd"/>
      <w:r>
        <w:rPr>
          <w:rFonts w:cs="Times New Roman"/>
          <w:szCs w:val="24"/>
        </w:rPr>
        <w:t xml:space="preserve"> software.</w:t>
      </w:r>
      <w:r w:rsidR="00770D73">
        <w:rPr>
          <w:rFonts w:cs="Times New Roman"/>
          <w:szCs w:val="24"/>
        </w:rPr>
        <w:t xml:space="preserve"> Boxplot </w:t>
      </w:r>
      <w:r w:rsidR="00E17558">
        <w:rPr>
          <w:rFonts w:cs="Times New Roman"/>
          <w:szCs w:val="24"/>
        </w:rPr>
        <w:t>depicts</w:t>
      </w:r>
      <w:r w:rsidR="00E17558">
        <w:rPr>
          <w:rFonts w:cs="Times New Roman"/>
          <w:szCs w:val="24"/>
        </w:rPr>
        <w:t xml:space="preserve"> </w:t>
      </w:r>
      <w:r w:rsidR="00770D73">
        <w:rPr>
          <w:rFonts w:cs="Times New Roman"/>
          <w:szCs w:val="24"/>
        </w:rPr>
        <w:t>the percentage of live cells</w:t>
      </w:r>
      <w:r w:rsidR="00E17558">
        <w:rPr>
          <w:rFonts w:cs="Times New Roman"/>
          <w:szCs w:val="24"/>
        </w:rPr>
        <w:t xml:space="preserve"> in each condition (n=3)</w:t>
      </w:r>
      <w:r w:rsidR="00770D73">
        <w:rPr>
          <w:rFonts w:cs="Times New Roman"/>
          <w:szCs w:val="24"/>
        </w:rPr>
        <w:t>.</w:t>
      </w:r>
      <w:r w:rsidR="00561326">
        <w:rPr>
          <w:rFonts w:cs="Times New Roman"/>
          <w:szCs w:val="24"/>
          <w:lang w:val="en-GB"/>
        </w:rPr>
        <w:t xml:space="preserve"> NS., non-significant.</w:t>
      </w:r>
    </w:p>
    <w:p w14:paraId="4916FCC9" w14:textId="77777777" w:rsidR="00994A3D" w:rsidRPr="001549D3" w:rsidRDefault="00994A3D" w:rsidP="00994A3D">
      <w:pPr>
        <w:keepNext/>
        <w:rPr>
          <w:rFonts w:cs="Times New Roman"/>
          <w:szCs w:val="24"/>
        </w:rPr>
      </w:pPr>
    </w:p>
    <w:p w14:paraId="11EC8DA1" w14:textId="10505EAC" w:rsidR="00994A3D" w:rsidRPr="001549D3" w:rsidRDefault="000A2917" w:rsidP="00994A3D">
      <w:pPr>
        <w:keepNext/>
        <w:jc w:val="center"/>
        <w:rPr>
          <w:rFonts w:cs="Times New Roman"/>
          <w:szCs w:val="24"/>
        </w:rPr>
      </w:pPr>
      <w:r>
        <w:rPr>
          <w:rFonts w:cs="Times New Roman"/>
          <w:noProof/>
          <w:szCs w:val="24"/>
        </w:rPr>
        <w:drawing>
          <wp:inline distT="0" distB="0" distL="0" distR="0" wp14:anchorId="764CA128" wp14:editId="17314E78">
            <wp:extent cx="3058673" cy="343510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8673" cy="3435102"/>
                    </a:xfrm>
                    <a:prstGeom prst="rect">
                      <a:avLst/>
                    </a:prstGeom>
                  </pic:spPr>
                </pic:pic>
              </a:graphicData>
            </a:graphic>
          </wp:inline>
        </w:drawing>
      </w:r>
    </w:p>
    <w:p w14:paraId="3B020E77" w14:textId="5ADF906C" w:rsidR="00994A3D" w:rsidRDefault="00994A3D" w:rsidP="002B4A57">
      <w:pPr>
        <w:keepNext/>
        <w:rPr>
          <w:rFonts w:cs="Times New Roman"/>
          <w:szCs w:val="24"/>
        </w:rPr>
      </w:pPr>
      <w:r w:rsidRPr="0001436A">
        <w:rPr>
          <w:rFonts w:cs="Times New Roman"/>
          <w:b/>
          <w:szCs w:val="24"/>
        </w:rPr>
        <w:t xml:space="preserve">Supplementary Figure </w:t>
      </w:r>
      <w:r w:rsidR="006A16EB">
        <w:rPr>
          <w:rFonts w:cs="Times New Roman"/>
          <w:b/>
          <w:szCs w:val="24"/>
        </w:rPr>
        <w:t>2</w:t>
      </w:r>
      <w:r w:rsidRPr="0001436A">
        <w:rPr>
          <w:rFonts w:cs="Times New Roman"/>
          <w:b/>
          <w:szCs w:val="24"/>
        </w:rPr>
        <w:t>.</w:t>
      </w:r>
      <w:r w:rsidRPr="001549D3">
        <w:rPr>
          <w:rFonts w:cs="Times New Roman"/>
          <w:szCs w:val="24"/>
        </w:rPr>
        <w:t xml:space="preserve"> </w:t>
      </w:r>
      <w:r w:rsidR="007452FC">
        <w:rPr>
          <w:rFonts w:cs="Times New Roman"/>
          <w:szCs w:val="24"/>
        </w:rPr>
        <w:t>NNV infection in E-11 cells is inhibited by erlotinib (</w:t>
      </w:r>
      <w:proofErr w:type="spellStart"/>
      <w:r w:rsidR="007452FC">
        <w:rPr>
          <w:rFonts w:cs="Times New Roman"/>
          <w:szCs w:val="24"/>
        </w:rPr>
        <w:t>Erl</w:t>
      </w:r>
      <w:proofErr w:type="spellEnd"/>
      <w:r w:rsidR="007452FC">
        <w:rPr>
          <w:rFonts w:cs="Times New Roman"/>
          <w:szCs w:val="24"/>
        </w:rPr>
        <w:t>). E-11 cells were treated, or not</w:t>
      </w:r>
      <w:r w:rsidR="00556786">
        <w:rPr>
          <w:rFonts w:cs="Times New Roman" w:hint="cs"/>
          <w:szCs w:val="24"/>
        </w:rPr>
        <w:t xml:space="preserve"> </w:t>
      </w:r>
      <w:r w:rsidR="00556786">
        <w:rPr>
          <w:rFonts w:cs="Times New Roman"/>
          <w:szCs w:val="24"/>
        </w:rPr>
        <w:t>(UT)</w:t>
      </w:r>
      <w:r w:rsidR="007452FC">
        <w:rPr>
          <w:rFonts w:cs="Times New Roman"/>
          <w:szCs w:val="24"/>
        </w:rPr>
        <w:t xml:space="preserve">, with </w:t>
      </w:r>
      <w:proofErr w:type="spellStart"/>
      <w:r w:rsidR="00556786">
        <w:rPr>
          <w:rFonts w:cs="Times New Roman"/>
          <w:szCs w:val="24"/>
        </w:rPr>
        <w:t>Erl</w:t>
      </w:r>
      <w:proofErr w:type="spellEnd"/>
      <w:r w:rsidR="00556786">
        <w:rPr>
          <w:rFonts w:cs="Times New Roman"/>
          <w:szCs w:val="24"/>
        </w:rPr>
        <w:t xml:space="preserve"> </w:t>
      </w:r>
      <w:r w:rsidR="007452FC">
        <w:rPr>
          <w:rFonts w:cs="Times New Roman"/>
          <w:szCs w:val="24"/>
        </w:rPr>
        <w:t>and infected</w:t>
      </w:r>
      <w:r w:rsidR="00556786">
        <w:rPr>
          <w:rFonts w:cs="Times New Roman"/>
          <w:szCs w:val="24"/>
        </w:rPr>
        <w:t xml:space="preserve"> with NNV</w:t>
      </w:r>
      <w:r w:rsidR="007452FC">
        <w:rPr>
          <w:rFonts w:cs="Times New Roman"/>
          <w:szCs w:val="24"/>
        </w:rPr>
        <w:t xml:space="preserve"> (MOI=0.15). </w:t>
      </w:r>
      <w:r w:rsidR="00556786">
        <w:rPr>
          <w:rFonts w:cs="Times New Roman"/>
          <w:szCs w:val="24"/>
        </w:rPr>
        <w:t xml:space="preserve">NNV </w:t>
      </w:r>
      <w:r w:rsidR="00556786">
        <w:rPr>
          <w:rFonts w:cs="Times New Roman"/>
          <w:szCs w:val="24"/>
        </w:rPr>
        <w:t>infection</w:t>
      </w:r>
      <w:r w:rsidR="00556786">
        <w:rPr>
          <w:rFonts w:cs="Times New Roman"/>
          <w:szCs w:val="24"/>
        </w:rPr>
        <w:t xml:space="preserve"> was quantified at </w:t>
      </w:r>
      <w:r w:rsidR="007452FC">
        <w:rPr>
          <w:rFonts w:cs="Times New Roman"/>
          <w:szCs w:val="24"/>
        </w:rPr>
        <w:t xml:space="preserve">24 </w:t>
      </w:r>
      <w:proofErr w:type="spellStart"/>
      <w:r w:rsidR="007452FC">
        <w:rPr>
          <w:rFonts w:cs="Times New Roman"/>
          <w:szCs w:val="24"/>
        </w:rPr>
        <w:t>hpi</w:t>
      </w:r>
      <w:proofErr w:type="spellEnd"/>
      <w:r w:rsidR="00556786">
        <w:rPr>
          <w:rFonts w:cs="Times New Roman"/>
          <w:szCs w:val="24"/>
        </w:rPr>
        <w:t>,</w:t>
      </w:r>
      <w:r w:rsidR="007452FC">
        <w:rPr>
          <w:rFonts w:cs="Times New Roman"/>
          <w:szCs w:val="24"/>
        </w:rPr>
        <w:t xml:space="preserve"> </w:t>
      </w:r>
      <w:r w:rsidR="00556786">
        <w:rPr>
          <w:rFonts w:cs="Times New Roman"/>
          <w:szCs w:val="24"/>
        </w:rPr>
        <w:t>by</w:t>
      </w:r>
      <w:r w:rsidR="00556786">
        <w:rPr>
          <w:rFonts w:cs="Times New Roman"/>
          <w:szCs w:val="24"/>
        </w:rPr>
        <w:t xml:space="preserve"> </w:t>
      </w:r>
      <w:proofErr w:type="spellStart"/>
      <w:r w:rsidR="007452FC">
        <w:rPr>
          <w:rFonts w:cs="Times New Roman"/>
          <w:szCs w:val="24"/>
        </w:rPr>
        <w:t>qRT</w:t>
      </w:r>
      <w:proofErr w:type="spellEnd"/>
      <w:r w:rsidR="007452FC">
        <w:rPr>
          <w:rFonts w:cs="Times New Roman"/>
          <w:szCs w:val="24"/>
        </w:rPr>
        <w:t xml:space="preserve">-PCR </w:t>
      </w:r>
      <w:r w:rsidR="00556786">
        <w:rPr>
          <w:rFonts w:cs="Times New Roman"/>
          <w:szCs w:val="24"/>
        </w:rPr>
        <w:t>using total cellular RNA and</w:t>
      </w:r>
      <w:r w:rsidR="007452FC">
        <w:rPr>
          <w:rFonts w:cs="Times New Roman"/>
          <w:szCs w:val="24"/>
        </w:rPr>
        <w:t xml:space="preserve"> primers </w:t>
      </w:r>
      <w:r w:rsidR="00556786">
        <w:rPr>
          <w:rFonts w:cs="Times New Roman"/>
          <w:szCs w:val="24"/>
        </w:rPr>
        <w:t xml:space="preserve">specific </w:t>
      </w:r>
      <w:r w:rsidR="007452FC">
        <w:rPr>
          <w:rFonts w:cs="Times New Roman"/>
          <w:szCs w:val="24"/>
        </w:rPr>
        <w:t xml:space="preserve">for the NNV coat protein </w:t>
      </w:r>
      <w:r w:rsidR="00556786">
        <w:rPr>
          <w:rFonts w:cs="Times New Roman"/>
          <w:szCs w:val="24"/>
        </w:rPr>
        <w:t>or</w:t>
      </w:r>
      <w:r w:rsidR="00556786">
        <w:rPr>
          <w:rFonts w:cs="Times New Roman"/>
          <w:szCs w:val="24"/>
        </w:rPr>
        <w:t xml:space="preserve"> </w:t>
      </w:r>
      <w:r w:rsidR="007452FC">
        <w:rPr>
          <w:rFonts w:cs="Times New Roman"/>
          <w:szCs w:val="24"/>
        </w:rPr>
        <w:t>actin.</w:t>
      </w:r>
      <w:r w:rsidR="009F7A98">
        <w:rPr>
          <w:rFonts w:cs="Times New Roman"/>
          <w:szCs w:val="24"/>
        </w:rPr>
        <w:t xml:space="preserve"> </w:t>
      </w:r>
      <w:r w:rsidR="009F7A98">
        <w:rPr>
          <w:rFonts w:cs="Times New Roman"/>
          <w:szCs w:val="24"/>
        </w:rPr>
        <w:lastRenderedPageBreak/>
        <w:t>The boxplot represents relative</w:t>
      </w:r>
      <w:r w:rsidR="00556786">
        <w:rPr>
          <w:rFonts w:cs="Times New Roman"/>
          <w:szCs w:val="24"/>
        </w:rPr>
        <w:t xml:space="preserve"> </w:t>
      </w:r>
      <w:r w:rsidR="009F7A98">
        <w:rPr>
          <w:rFonts w:cs="Times New Roman"/>
          <w:szCs w:val="24"/>
        </w:rPr>
        <w:t>NNV</w:t>
      </w:r>
      <w:r w:rsidR="00556786">
        <w:rPr>
          <w:rFonts w:cs="Times New Roman"/>
          <w:szCs w:val="24"/>
        </w:rPr>
        <w:t xml:space="preserve"> RNA</w:t>
      </w:r>
      <w:r w:rsidR="009F7A98">
        <w:rPr>
          <w:rFonts w:cs="Times New Roman"/>
          <w:szCs w:val="24"/>
        </w:rPr>
        <w:t xml:space="preserve"> cellular levels</w:t>
      </w:r>
      <w:r w:rsidR="00556786">
        <w:rPr>
          <w:rFonts w:cs="Times New Roman"/>
          <w:szCs w:val="24"/>
        </w:rPr>
        <w:t xml:space="preserve">. </w:t>
      </w:r>
      <w:r w:rsidR="00AA3466">
        <w:rPr>
          <w:rFonts w:cs="Times New Roman"/>
          <w:szCs w:val="24"/>
        </w:rPr>
        <w:t>The d</w:t>
      </w:r>
      <w:r w:rsidR="00556786">
        <w:rPr>
          <w:rFonts w:cs="Times New Roman"/>
          <w:szCs w:val="24"/>
        </w:rPr>
        <w:t>ot represents</w:t>
      </w:r>
      <w:r w:rsidR="009F7A98">
        <w:rPr>
          <w:rFonts w:cs="Times New Roman"/>
          <w:szCs w:val="24"/>
        </w:rPr>
        <w:t xml:space="preserve"> the mean value.</w:t>
      </w:r>
      <w:r w:rsidR="00C60986">
        <w:rPr>
          <w:rFonts w:cs="Times New Roman"/>
          <w:szCs w:val="24"/>
        </w:rPr>
        <w:t xml:space="preserve"> </w:t>
      </w:r>
      <w:r w:rsidR="00C60986" w:rsidRPr="00D81855">
        <w:rPr>
          <w:rFonts w:cs="Times New Roman"/>
          <w:szCs w:val="24"/>
        </w:rPr>
        <w:t>*, P ≤ 0.05</w:t>
      </w:r>
      <w:r w:rsidR="00C60986">
        <w:rPr>
          <w:rFonts w:cs="Times New Roman"/>
          <w:szCs w:val="24"/>
        </w:rPr>
        <w:t>.</w:t>
      </w:r>
    </w:p>
    <w:p w14:paraId="5F800D2B" w14:textId="77777777" w:rsidR="0094126E" w:rsidRPr="002B4A57" w:rsidRDefault="0094126E" w:rsidP="002B4A57">
      <w:pPr>
        <w:keepNext/>
        <w:rPr>
          <w:rFonts w:cs="Times New Roman"/>
          <w:b/>
          <w:szCs w:val="24"/>
        </w:rPr>
      </w:pPr>
    </w:p>
    <w:p w14:paraId="58F1AED1" w14:textId="77777777" w:rsidR="00DE23E8" w:rsidRPr="001549D3" w:rsidRDefault="00DE23E8" w:rsidP="00654E8F">
      <w:pPr>
        <w:spacing w:before="240"/>
      </w:pPr>
    </w:p>
    <w:sectPr w:rsidR="00DE23E8" w:rsidRPr="001549D3"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1946" w14:textId="77777777" w:rsidR="00663F02" w:rsidRDefault="00663F02" w:rsidP="00117666">
      <w:pPr>
        <w:spacing w:after="0"/>
      </w:pPr>
      <w:r>
        <w:separator/>
      </w:r>
    </w:p>
  </w:endnote>
  <w:endnote w:type="continuationSeparator" w:id="0">
    <w:p w14:paraId="79FF3A42" w14:textId="77777777" w:rsidR="00663F02" w:rsidRDefault="00663F0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0250" w14:textId="77777777" w:rsidR="00663F02" w:rsidRDefault="00663F02" w:rsidP="00117666">
      <w:pPr>
        <w:spacing w:after="0"/>
      </w:pPr>
      <w:r>
        <w:separator/>
      </w:r>
    </w:p>
  </w:footnote>
  <w:footnote w:type="continuationSeparator" w:id="0">
    <w:p w14:paraId="4797CD36" w14:textId="77777777" w:rsidR="00663F02" w:rsidRDefault="00663F0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szSzMDY2NzQxMTdW0lEKTi0uzszPAykwrQUAejgwHCwAAAA="/>
  </w:docVars>
  <w:rsids>
    <w:rsidRoot w:val="00803D24"/>
    <w:rsid w:val="0001436A"/>
    <w:rsid w:val="00034304"/>
    <w:rsid w:val="00035434"/>
    <w:rsid w:val="00052A14"/>
    <w:rsid w:val="00077D53"/>
    <w:rsid w:val="000A2917"/>
    <w:rsid w:val="000C6E86"/>
    <w:rsid w:val="000E12D4"/>
    <w:rsid w:val="00100F16"/>
    <w:rsid w:val="00105FD9"/>
    <w:rsid w:val="001134B8"/>
    <w:rsid w:val="00117666"/>
    <w:rsid w:val="001549D3"/>
    <w:rsid w:val="00160065"/>
    <w:rsid w:val="00177D84"/>
    <w:rsid w:val="002176EA"/>
    <w:rsid w:val="00267D18"/>
    <w:rsid w:val="002868E2"/>
    <w:rsid w:val="002869C3"/>
    <w:rsid w:val="002936E4"/>
    <w:rsid w:val="002A1DB7"/>
    <w:rsid w:val="002A52C1"/>
    <w:rsid w:val="002B4A57"/>
    <w:rsid w:val="002C74CA"/>
    <w:rsid w:val="0032225C"/>
    <w:rsid w:val="003544FB"/>
    <w:rsid w:val="003D2F2D"/>
    <w:rsid w:val="00401590"/>
    <w:rsid w:val="00447801"/>
    <w:rsid w:val="00452E9C"/>
    <w:rsid w:val="004735C8"/>
    <w:rsid w:val="004961FF"/>
    <w:rsid w:val="00517A89"/>
    <w:rsid w:val="005250F2"/>
    <w:rsid w:val="00556786"/>
    <w:rsid w:val="00561326"/>
    <w:rsid w:val="00593EEA"/>
    <w:rsid w:val="005A5EEE"/>
    <w:rsid w:val="005B1768"/>
    <w:rsid w:val="005B3D56"/>
    <w:rsid w:val="0061057D"/>
    <w:rsid w:val="006375C7"/>
    <w:rsid w:val="00654E8F"/>
    <w:rsid w:val="00660D05"/>
    <w:rsid w:val="00663F02"/>
    <w:rsid w:val="006820B1"/>
    <w:rsid w:val="006A16EB"/>
    <w:rsid w:val="006B7D14"/>
    <w:rsid w:val="00701727"/>
    <w:rsid w:val="0070566C"/>
    <w:rsid w:val="00711C0D"/>
    <w:rsid w:val="00714C50"/>
    <w:rsid w:val="00725A7D"/>
    <w:rsid w:val="007452FC"/>
    <w:rsid w:val="007501BE"/>
    <w:rsid w:val="00755E48"/>
    <w:rsid w:val="00770D73"/>
    <w:rsid w:val="00790BB3"/>
    <w:rsid w:val="00794095"/>
    <w:rsid w:val="007C206C"/>
    <w:rsid w:val="00803D24"/>
    <w:rsid w:val="00817DD6"/>
    <w:rsid w:val="00885156"/>
    <w:rsid w:val="00891554"/>
    <w:rsid w:val="009151AA"/>
    <w:rsid w:val="0093429D"/>
    <w:rsid w:val="0094126E"/>
    <w:rsid w:val="00943573"/>
    <w:rsid w:val="00970F7D"/>
    <w:rsid w:val="009811E9"/>
    <w:rsid w:val="00994A3D"/>
    <w:rsid w:val="009C2B12"/>
    <w:rsid w:val="009C70F3"/>
    <w:rsid w:val="009F7A98"/>
    <w:rsid w:val="00A174D9"/>
    <w:rsid w:val="00A569CD"/>
    <w:rsid w:val="00A575C9"/>
    <w:rsid w:val="00AA3466"/>
    <w:rsid w:val="00AB6715"/>
    <w:rsid w:val="00AE26F8"/>
    <w:rsid w:val="00B1671E"/>
    <w:rsid w:val="00B25EB8"/>
    <w:rsid w:val="00B354E1"/>
    <w:rsid w:val="00B37F4D"/>
    <w:rsid w:val="00B51CFF"/>
    <w:rsid w:val="00B54D41"/>
    <w:rsid w:val="00C52A7B"/>
    <w:rsid w:val="00C56555"/>
    <w:rsid w:val="00C56BAF"/>
    <w:rsid w:val="00C60986"/>
    <w:rsid w:val="00C679AA"/>
    <w:rsid w:val="00C75972"/>
    <w:rsid w:val="00C87094"/>
    <w:rsid w:val="00CC0A3A"/>
    <w:rsid w:val="00CD066B"/>
    <w:rsid w:val="00CE4FEE"/>
    <w:rsid w:val="00D567D7"/>
    <w:rsid w:val="00DB59C3"/>
    <w:rsid w:val="00DC259A"/>
    <w:rsid w:val="00DE23E8"/>
    <w:rsid w:val="00E17558"/>
    <w:rsid w:val="00E52377"/>
    <w:rsid w:val="00E57DC6"/>
    <w:rsid w:val="00E64E17"/>
    <w:rsid w:val="00E866C9"/>
    <w:rsid w:val="00EA3D3C"/>
    <w:rsid w:val="00F2634F"/>
    <w:rsid w:val="00F46900"/>
    <w:rsid w:val="00F61D89"/>
    <w:rsid w:val="00FB1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33518606">
      <w:bodyDiv w:val="1"/>
      <w:marLeft w:val="0"/>
      <w:marRight w:val="0"/>
      <w:marTop w:val="0"/>
      <w:marBottom w:val="0"/>
      <w:divBdr>
        <w:top w:val="none" w:sz="0" w:space="0" w:color="auto"/>
        <w:left w:val="none" w:sz="0" w:space="0" w:color="auto"/>
        <w:bottom w:val="none" w:sz="0" w:space="0" w:color="auto"/>
        <w:right w:val="none" w:sz="0" w:space="0" w:color="auto"/>
      </w:divBdr>
      <w:divsChild>
        <w:div w:id="1151294282">
          <w:marLeft w:val="0"/>
          <w:marRight w:val="0"/>
          <w:marTop w:val="0"/>
          <w:marBottom w:val="0"/>
          <w:divBdr>
            <w:top w:val="none" w:sz="0" w:space="0" w:color="auto"/>
            <w:left w:val="none" w:sz="0" w:space="0" w:color="auto"/>
            <w:bottom w:val="none" w:sz="0" w:space="0" w:color="auto"/>
            <w:right w:val="none" w:sz="0" w:space="0" w:color="auto"/>
          </w:divBdr>
          <w:divsChild>
            <w:div w:id="9042915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if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rontiersin.org/guidelines/author-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27</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Eran Bacharach</cp:lastModifiedBy>
  <cp:revision>8</cp:revision>
  <cp:lastPrinted>2013-10-03T12:51:00Z</cp:lastPrinted>
  <dcterms:created xsi:type="dcterms:W3CDTF">2022-12-01T17:35:00Z</dcterms:created>
  <dcterms:modified xsi:type="dcterms:W3CDTF">2022-12-01T18:01:00Z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