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5AFE" w14:textId="77777777" w:rsidR="00C377A9" w:rsidRDefault="003F4F0C">
      <w:pPr>
        <w:pStyle w:val="SupplementaryMaterial"/>
      </w:pPr>
      <w:r>
        <w:t>Supplementary Material</w:t>
      </w:r>
    </w:p>
    <w:p w14:paraId="1022A39C" w14:textId="77777777" w:rsidR="00C377A9" w:rsidRDefault="003F4F0C">
      <w:pPr>
        <w:pStyle w:val="Heading1"/>
        <w:numPr>
          <w:ilvl w:val="0"/>
          <w:numId w:val="2"/>
        </w:numPr>
        <w:jc w:val="both"/>
      </w:pPr>
      <w:r>
        <w:t>Supplementary Figures and Tables</w:t>
      </w:r>
    </w:p>
    <w:p w14:paraId="1BEB4947" w14:textId="77777777" w:rsidR="00C377A9" w:rsidRDefault="003F4F0C">
      <w:pPr>
        <w:pStyle w:val="Heading2"/>
        <w:numPr>
          <w:ilvl w:val="1"/>
          <w:numId w:val="2"/>
        </w:numPr>
        <w:jc w:val="both"/>
      </w:pPr>
      <w:r>
        <w:t>Supplementary Figures</w:t>
      </w:r>
    </w:p>
    <w:p w14:paraId="2C66E5B6" w14:textId="77777777" w:rsidR="00C377A9" w:rsidRDefault="003F4F0C">
      <w:pPr>
        <w:keepNext/>
        <w:jc w:val="both"/>
        <w:rPr>
          <w:rFonts w:cs="Times New Roman"/>
          <w:szCs w:val="24"/>
        </w:rPr>
      </w:pPr>
      <w:r>
        <w:rPr>
          <w:rFonts w:cs="Times New Roman"/>
          <w:noProof/>
          <w:szCs w:val="24"/>
        </w:rPr>
        <w:drawing>
          <wp:anchor distT="0" distB="0" distL="0" distR="0" simplePos="0" relativeHeight="7" behindDoc="0" locked="0" layoutInCell="1" allowOverlap="1" wp14:anchorId="202178D6" wp14:editId="3F256E9A">
            <wp:simplePos x="0" y="0"/>
            <wp:positionH relativeFrom="column">
              <wp:align>center</wp:align>
            </wp:positionH>
            <wp:positionV relativeFrom="paragraph">
              <wp:posOffset>635</wp:posOffset>
            </wp:positionV>
            <wp:extent cx="6208395" cy="372872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6208395" cy="3728720"/>
                    </a:xfrm>
                    <a:prstGeom prst="rect">
                      <a:avLst/>
                    </a:prstGeom>
                  </pic:spPr>
                </pic:pic>
              </a:graphicData>
            </a:graphic>
          </wp:anchor>
        </w:drawing>
      </w:r>
    </w:p>
    <w:p w14:paraId="02874472" w14:textId="77777777" w:rsidR="00C377A9" w:rsidRDefault="003F4F0C">
      <w:pPr>
        <w:keepNext/>
        <w:jc w:val="both"/>
      </w:pPr>
      <w:r>
        <w:rPr>
          <w:rFonts w:cs="Times New Roman"/>
          <w:b/>
          <w:szCs w:val="24"/>
        </w:rPr>
        <w:t>Supplementary Figure 1.</w:t>
      </w:r>
      <w:r>
        <w:rPr>
          <w:rFonts w:cs="Times New Roman"/>
          <w:szCs w:val="24"/>
        </w:rPr>
        <w:t xml:space="preserve"> </w:t>
      </w:r>
      <w:r>
        <w:rPr>
          <w:rFonts w:cs="Times New Roman"/>
          <w:szCs w:val="24"/>
        </w:rPr>
        <w:t>Effect of gassing on batch cultures. NH</w:t>
      </w:r>
      <w:r>
        <w:rPr>
          <w:rFonts w:cs="Times New Roman"/>
          <w:szCs w:val="24"/>
          <w:vertAlign w:val="subscript"/>
        </w:rPr>
        <w:t>4</w:t>
      </w:r>
      <w:r>
        <w:rPr>
          <w:rFonts w:cs="Times New Roman"/>
          <w:szCs w:val="24"/>
          <w:vertAlign w:val="superscript"/>
        </w:rPr>
        <w:t>+</w:t>
      </w:r>
      <w:r>
        <w:rPr>
          <w:rFonts w:cs="Times New Roman"/>
          <w:szCs w:val="24"/>
        </w:rPr>
        <w:t>, NO</w:t>
      </w:r>
      <w:r>
        <w:rPr>
          <w:rFonts w:cs="Times New Roman"/>
          <w:szCs w:val="24"/>
          <w:vertAlign w:val="subscript"/>
        </w:rPr>
        <w:t>2</w:t>
      </w:r>
      <w:r>
        <w:rPr>
          <w:rFonts w:cs="Times New Roman"/>
          <w:szCs w:val="24"/>
          <w:vertAlign w:val="superscript"/>
        </w:rPr>
        <w:t>-</w:t>
      </w:r>
      <w:r>
        <w:rPr>
          <w:rFonts w:cs="Times New Roman"/>
          <w:szCs w:val="24"/>
        </w:rPr>
        <w:t xml:space="preserve"> and dO</w:t>
      </w:r>
      <w:r>
        <w:rPr>
          <w:rFonts w:cs="Times New Roman"/>
          <w:szCs w:val="24"/>
          <w:vertAlign w:val="subscript"/>
        </w:rPr>
        <w:t>2</w:t>
      </w:r>
      <w:r>
        <w:rPr>
          <w:rFonts w:cs="Times New Roman"/>
          <w:szCs w:val="24"/>
        </w:rPr>
        <w:t xml:space="preserve"> concentrations of open batch cultures gassed </w:t>
      </w:r>
      <w:proofErr w:type="gramStart"/>
      <w:r>
        <w:rPr>
          <w:rFonts w:cs="Times New Roman"/>
          <w:szCs w:val="24"/>
        </w:rPr>
        <w:t>with  2</w:t>
      </w:r>
      <w:proofErr w:type="gramEnd"/>
      <w:r>
        <w:rPr>
          <w:rFonts w:cs="Times New Roman"/>
          <w:szCs w:val="24"/>
        </w:rPr>
        <w:t xml:space="preserve"> </w:t>
      </w:r>
      <w:proofErr w:type="spellStart"/>
      <w:r>
        <w:rPr>
          <w:rFonts w:cs="Times New Roman"/>
          <w:szCs w:val="24"/>
        </w:rPr>
        <w:t>sL</w:t>
      </w:r>
      <w:proofErr w:type="spellEnd"/>
      <w:r>
        <w:rPr>
          <w:rFonts w:cs="Times New Roman"/>
          <w:szCs w:val="24"/>
        </w:rPr>
        <w:t xml:space="preserve"> L</w:t>
      </w:r>
      <w:r>
        <w:rPr>
          <w:rFonts w:cs="Times New Roman"/>
          <w:szCs w:val="24"/>
          <w:vertAlign w:val="superscript"/>
        </w:rPr>
        <w:t>-1</w:t>
      </w:r>
      <w:r>
        <w:rPr>
          <w:rFonts w:cs="Times New Roman"/>
          <w:szCs w:val="24"/>
        </w:rPr>
        <w:t xml:space="preserve"> h</w:t>
      </w:r>
      <w:r>
        <w:rPr>
          <w:rFonts w:cs="Times New Roman"/>
          <w:szCs w:val="24"/>
          <w:vertAlign w:val="superscript"/>
        </w:rPr>
        <w:t>-1</w:t>
      </w:r>
      <w:r>
        <w:rPr>
          <w:rFonts w:cs="Times New Roman"/>
          <w:szCs w:val="24"/>
        </w:rPr>
        <w:t xml:space="preserve"> air (gas) or closed batch cultures (w/o gas) all containing 2 mmol L</w:t>
      </w:r>
      <w:r>
        <w:rPr>
          <w:rFonts w:cs="Times New Roman"/>
          <w:szCs w:val="24"/>
          <w:vertAlign w:val="superscript"/>
        </w:rPr>
        <w:t>-1</w:t>
      </w:r>
      <w:r>
        <w:rPr>
          <w:rFonts w:cs="Times New Roman"/>
          <w:szCs w:val="24"/>
        </w:rPr>
        <w:t xml:space="preserve"> NaHCO</w:t>
      </w:r>
      <w:r>
        <w:rPr>
          <w:rFonts w:cs="Times New Roman"/>
          <w:szCs w:val="24"/>
          <w:vertAlign w:val="subscript"/>
        </w:rPr>
        <w:t>3</w:t>
      </w:r>
      <w:r>
        <w:rPr>
          <w:rFonts w:cs="Times New Roman"/>
          <w:szCs w:val="24"/>
        </w:rPr>
        <w:t xml:space="preserve"> as C-source. Cultures gassed with air had decreased µ of 0.0276 ±0.0001 h</w:t>
      </w:r>
      <w:r>
        <w:rPr>
          <w:rFonts w:cs="Times New Roman"/>
          <w:szCs w:val="24"/>
          <w:vertAlign w:val="superscript"/>
        </w:rPr>
        <w:t>-1</w:t>
      </w:r>
      <w:r>
        <w:rPr>
          <w:rFonts w:cs="Times New Roman"/>
          <w:szCs w:val="24"/>
        </w:rPr>
        <w:t xml:space="preserve"> compared to closed batch cultures wit</w:t>
      </w:r>
      <w:r>
        <w:rPr>
          <w:rFonts w:cs="Times New Roman"/>
          <w:szCs w:val="24"/>
        </w:rPr>
        <w:t>h µ 0.0445 ±0.0004 h</w:t>
      </w:r>
      <w:r>
        <w:rPr>
          <w:rFonts w:cs="Times New Roman"/>
          <w:szCs w:val="24"/>
          <w:vertAlign w:val="superscript"/>
        </w:rPr>
        <w:t>-1</w:t>
      </w:r>
      <w:r>
        <w:rPr>
          <w:rFonts w:cs="Times New Roman"/>
          <w:szCs w:val="24"/>
        </w:rPr>
        <w:t>. NH</w:t>
      </w:r>
      <w:r>
        <w:rPr>
          <w:rFonts w:cs="Times New Roman"/>
          <w:szCs w:val="24"/>
          <w:vertAlign w:val="subscript"/>
        </w:rPr>
        <w:t>4</w:t>
      </w:r>
      <w:r>
        <w:rPr>
          <w:rFonts w:cs="Times New Roman"/>
          <w:szCs w:val="24"/>
          <w:vertAlign w:val="superscript"/>
        </w:rPr>
        <w:t>+</w:t>
      </w:r>
      <w:r>
        <w:rPr>
          <w:rFonts w:cs="Times New Roman"/>
          <w:szCs w:val="24"/>
        </w:rPr>
        <w:t>, NO</w:t>
      </w:r>
      <w:r>
        <w:rPr>
          <w:rFonts w:cs="Times New Roman"/>
          <w:szCs w:val="24"/>
          <w:vertAlign w:val="subscript"/>
        </w:rPr>
        <w:t>2</w:t>
      </w:r>
      <w:r>
        <w:rPr>
          <w:rFonts w:cs="Times New Roman"/>
          <w:szCs w:val="24"/>
          <w:vertAlign w:val="superscript"/>
        </w:rPr>
        <w:t>-</w:t>
      </w:r>
      <w:r>
        <w:rPr>
          <w:rFonts w:cs="Times New Roman"/>
          <w:szCs w:val="24"/>
        </w:rPr>
        <w:t xml:space="preserve"> and dO2 curves show mean values of biological duplicates and error bars represent the standard deviation of the mean.</w:t>
      </w:r>
      <w:r>
        <w:br w:type="page"/>
      </w:r>
    </w:p>
    <w:p w14:paraId="1A598E47" w14:textId="77777777" w:rsidR="00C377A9" w:rsidRDefault="003F4F0C">
      <w:pPr>
        <w:jc w:val="both"/>
      </w:pPr>
      <w:r>
        <w:rPr>
          <w:rFonts w:cs="Times New Roman"/>
          <w:b/>
          <w:szCs w:val="24"/>
        </w:rPr>
        <w:lastRenderedPageBreak/>
        <w:t>S</w:t>
      </w:r>
      <w:r>
        <w:rPr>
          <w:noProof/>
        </w:rPr>
        <w:drawing>
          <wp:anchor distT="0" distB="0" distL="0" distR="0" simplePos="0" relativeHeight="8" behindDoc="0" locked="0" layoutInCell="1" allowOverlap="1" wp14:anchorId="1A10E104" wp14:editId="14950C7B">
            <wp:simplePos x="0" y="0"/>
            <wp:positionH relativeFrom="column">
              <wp:align>center</wp:align>
            </wp:positionH>
            <wp:positionV relativeFrom="paragraph">
              <wp:posOffset>635</wp:posOffset>
            </wp:positionV>
            <wp:extent cx="6208395" cy="396303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6208395" cy="3963035"/>
                    </a:xfrm>
                    <a:prstGeom prst="rect">
                      <a:avLst/>
                    </a:prstGeom>
                  </pic:spPr>
                </pic:pic>
              </a:graphicData>
            </a:graphic>
          </wp:anchor>
        </w:drawing>
      </w:r>
      <w:r>
        <w:rPr>
          <w:rFonts w:cs="Times New Roman"/>
          <w:b/>
          <w:szCs w:val="24"/>
        </w:rPr>
        <w:t xml:space="preserve">upplementary </w:t>
      </w:r>
      <w:proofErr w:type="gramStart"/>
      <w:r>
        <w:rPr>
          <w:rFonts w:cs="Times New Roman"/>
          <w:b/>
          <w:szCs w:val="24"/>
        </w:rPr>
        <w:t>Figure  2</w:t>
      </w:r>
      <w:proofErr w:type="gramEnd"/>
      <w:r>
        <w:rPr>
          <w:rFonts w:cs="Times New Roman"/>
          <w:b/>
          <w:szCs w:val="24"/>
        </w:rPr>
        <w:t>.</w:t>
      </w:r>
      <w:r>
        <w:rPr>
          <w:rFonts w:cs="Times New Roman"/>
          <w:szCs w:val="24"/>
        </w:rPr>
        <w:t xml:space="preserve"> </w:t>
      </w:r>
      <w:r>
        <w:rPr>
          <w:rFonts w:cs="Times New Roman"/>
          <w:szCs w:val="24"/>
        </w:rPr>
        <w:t>Effect of gassing rate and in-gas flow composition on batch cultures. NH</w:t>
      </w:r>
      <w:r>
        <w:rPr>
          <w:rFonts w:cs="Times New Roman"/>
          <w:szCs w:val="24"/>
          <w:vertAlign w:val="subscript"/>
        </w:rPr>
        <w:t>4</w:t>
      </w:r>
      <w:r>
        <w:rPr>
          <w:rFonts w:cs="Times New Roman"/>
          <w:szCs w:val="24"/>
          <w:vertAlign w:val="superscript"/>
        </w:rPr>
        <w:t>+</w:t>
      </w:r>
      <w:r>
        <w:rPr>
          <w:rFonts w:cs="Times New Roman"/>
          <w:szCs w:val="24"/>
        </w:rPr>
        <w:t xml:space="preserve">, </w:t>
      </w:r>
      <w:r>
        <w:rPr>
          <w:rFonts w:cs="Times New Roman"/>
          <w:szCs w:val="24"/>
        </w:rPr>
        <w:t>NO</w:t>
      </w:r>
      <w:r>
        <w:rPr>
          <w:rFonts w:cs="Times New Roman"/>
          <w:szCs w:val="24"/>
          <w:vertAlign w:val="subscript"/>
        </w:rPr>
        <w:t>2</w:t>
      </w:r>
      <w:r>
        <w:rPr>
          <w:rFonts w:cs="Times New Roman"/>
          <w:szCs w:val="24"/>
          <w:vertAlign w:val="superscript"/>
        </w:rPr>
        <w:t>-</w:t>
      </w:r>
      <w:r>
        <w:rPr>
          <w:rFonts w:cs="Times New Roman"/>
          <w:szCs w:val="24"/>
        </w:rPr>
        <w:t xml:space="preserve"> and dO</w:t>
      </w:r>
      <w:r>
        <w:rPr>
          <w:rFonts w:cs="Times New Roman"/>
          <w:szCs w:val="24"/>
          <w:vertAlign w:val="subscript"/>
        </w:rPr>
        <w:t>2</w:t>
      </w:r>
      <w:r>
        <w:rPr>
          <w:rFonts w:cs="Times New Roman"/>
          <w:szCs w:val="24"/>
        </w:rPr>
        <w:t xml:space="preserve"> concentrations of open batch cultures gassed </w:t>
      </w:r>
      <w:proofErr w:type="gramStart"/>
      <w:r>
        <w:rPr>
          <w:rFonts w:cs="Times New Roman"/>
          <w:szCs w:val="24"/>
        </w:rPr>
        <w:t>with  1</w:t>
      </w:r>
      <w:proofErr w:type="gramEnd"/>
      <w:r>
        <w:rPr>
          <w:rFonts w:cs="Times New Roman"/>
          <w:szCs w:val="24"/>
        </w:rPr>
        <w:t xml:space="preserve"> </w:t>
      </w:r>
      <w:proofErr w:type="spellStart"/>
      <w:r>
        <w:rPr>
          <w:rFonts w:cs="Times New Roman"/>
          <w:szCs w:val="24"/>
        </w:rPr>
        <w:t>sL</w:t>
      </w:r>
      <w:proofErr w:type="spellEnd"/>
      <w:r>
        <w:rPr>
          <w:rFonts w:cs="Times New Roman"/>
          <w:szCs w:val="24"/>
        </w:rPr>
        <w:t xml:space="preserve"> L</w:t>
      </w:r>
      <w:r>
        <w:rPr>
          <w:rFonts w:cs="Times New Roman"/>
          <w:szCs w:val="24"/>
          <w:vertAlign w:val="superscript"/>
        </w:rPr>
        <w:t>-1</w:t>
      </w:r>
      <w:r>
        <w:rPr>
          <w:rFonts w:cs="Times New Roman"/>
          <w:szCs w:val="24"/>
        </w:rPr>
        <w:t xml:space="preserve"> h</w:t>
      </w:r>
      <w:r>
        <w:rPr>
          <w:rFonts w:cs="Times New Roman"/>
          <w:szCs w:val="24"/>
          <w:vertAlign w:val="superscript"/>
        </w:rPr>
        <w:t>-1</w:t>
      </w:r>
      <w:r>
        <w:rPr>
          <w:rFonts w:cs="Times New Roman"/>
          <w:szCs w:val="24"/>
        </w:rPr>
        <w:t xml:space="preserve"> air (21% O</w:t>
      </w:r>
      <w:r>
        <w:rPr>
          <w:rFonts w:cs="Times New Roman"/>
          <w:szCs w:val="24"/>
          <w:vertAlign w:val="subscript"/>
        </w:rPr>
        <w:t>2</w:t>
      </w:r>
      <w:r>
        <w:rPr>
          <w:rFonts w:cs="Times New Roman"/>
          <w:szCs w:val="24"/>
        </w:rPr>
        <w:t>) or air/N</w:t>
      </w:r>
      <w:r>
        <w:rPr>
          <w:rFonts w:cs="Times New Roman"/>
          <w:szCs w:val="24"/>
          <w:vertAlign w:val="subscript"/>
        </w:rPr>
        <w:t>2</w:t>
      </w:r>
      <w:r>
        <w:rPr>
          <w:rFonts w:cs="Times New Roman"/>
          <w:szCs w:val="24"/>
        </w:rPr>
        <w:t xml:space="preserve"> mix (12.6% O</w:t>
      </w:r>
      <w:r>
        <w:rPr>
          <w:rFonts w:cs="Times New Roman"/>
          <w:szCs w:val="24"/>
          <w:vertAlign w:val="subscript"/>
        </w:rPr>
        <w:t>2</w:t>
      </w:r>
      <w:r>
        <w:rPr>
          <w:rFonts w:cs="Times New Roman"/>
          <w:szCs w:val="24"/>
        </w:rPr>
        <w:t>) to reduce the dO</w:t>
      </w:r>
      <w:r>
        <w:rPr>
          <w:rFonts w:cs="Times New Roman"/>
          <w:szCs w:val="24"/>
          <w:vertAlign w:val="subscript"/>
        </w:rPr>
        <w:t>2</w:t>
      </w:r>
      <w:r>
        <w:rPr>
          <w:rFonts w:cs="Times New Roman"/>
          <w:szCs w:val="24"/>
        </w:rPr>
        <w:t xml:space="preserve"> concentration. NO</w:t>
      </w:r>
      <w:r>
        <w:rPr>
          <w:rFonts w:cs="Times New Roman"/>
          <w:szCs w:val="24"/>
          <w:vertAlign w:val="subscript"/>
        </w:rPr>
        <w:t>2</w:t>
      </w:r>
      <w:r>
        <w:rPr>
          <w:rFonts w:cs="Times New Roman"/>
          <w:szCs w:val="24"/>
          <w:vertAlign w:val="superscript"/>
        </w:rPr>
        <w:t>-</w:t>
      </w:r>
      <w:r>
        <w:rPr>
          <w:rFonts w:cs="Times New Roman"/>
          <w:szCs w:val="24"/>
        </w:rPr>
        <w:t xml:space="preserve"> curves of closed batch (w/o gas) and open batch cultures gassed with 2 </w:t>
      </w:r>
      <w:proofErr w:type="spellStart"/>
      <w:r>
        <w:rPr>
          <w:rFonts w:cs="Times New Roman"/>
          <w:szCs w:val="24"/>
        </w:rPr>
        <w:t>sL</w:t>
      </w:r>
      <w:proofErr w:type="spellEnd"/>
      <w:r>
        <w:rPr>
          <w:rFonts w:cs="Times New Roman"/>
          <w:szCs w:val="24"/>
        </w:rPr>
        <w:t xml:space="preserve"> L</w:t>
      </w:r>
      <w:r>
        <w:rPr>
          <w:rFonts w:cs="Times New Roman"/>
          <w:szCs w:val="24"/>
          <w:vertAlign w:val="superscript"/>
        </w:rPr>
        <w:t>-1</w:t>
      </w:r>
      <w:r>
        <w:rPr>
          <w:rFonts w:cs="Times New Roman"/>
          <w:szCs w:val="24"/>
        </w:rPr>
        <w:t xml:space="preserve"> h</w:t>
      </w:r>
      <w:r>
        <w:rPr>
          <w:rFonts w:cs="Times New Roman"/>
          <w:szCs w:val="24"/>
          <w:vertAlign w:val="superscript"/>
        </w:rPr>
        <w:t>-1</w:t>
      </w:r>
      <w:r>
        <w:rPr>
          <w:rFonts w:cs="Times New Roman"/>
          <w:szCs w:val="24"/>
        </w:rPr>
        <w:t xml:space="preserve"> air (gas) are shown as comparison. Reducing the gassing rate did only marginally effect µ (0.0268 ±0.0001 h</w:t>
      </w:r>
      <w:r>
        <w:rPr>
          <w:rFonts w:cs="Times New Roman"/>
          <w:szCs w:val="24"/>
          <w:vertAlign w:val="superscript"/>
        </w:rPr>
        <w:t>-1</w:t>
      </w:r>
      <w:r>
        <w:rPr>
          <w:rFonts w:cs="Times New Roman"/>
          <w:szCs w:val="24"/>
        </w:rPr>
        <w:t>) while decreasing dO</w:t>
      </w:r>
      <w:r>
        <w:rPr>
          <w:rFonts w:cs="Times New Roman"/>
          <w:szCs w:val="24"/>
          <w:vertAlign w:val="subscript"/>
        </w:rPr>
        <w:t>2</w:t>
      </w:r>
      <w:r>
        <w:rPr>
          <w:rFonts w:cs="Times New Roman"/>
          <w:szCs w:val="24"/>
        </w:rPr>
        <w:t xml:space="preserve"> concentration did decrease µ to 0.0206 ±0</w:t>
      </w:r>
      <w:r>
        <w:rPr>
          <w:rFonts w:cs="Times New Roman"/>
          <w:szCs w:val="24"/>
        </w:rPr>
        <w:t>.0001 h</w:t>
      </w:r>
      <w:r>
        <w:rPr>
          <w:rFonts w:cs="Times New Roman"/>
          <w:szCs w:val="24"/>
          <w:vertAlign w:val="superscript"/>
        </w:rPr>
        <w:t>-1</w:t>
      </w:r>
      <w:r>
        <w:rPr>
          <w:rFonts w:cs="Times New Roman"/>
          <w:szCs w:val="24"/>
        </w:rPr>
        <w:t xml:space="preserve">. The increase </w:t>
      </w:r>
      <w:proofErr w:type="gramStart"/>
      <w:r>
        <w:rPr>
          <w:rFonts w:cs="Times New Roman"/>
          <w:szCs w:val="24"/>
        </w:rPr>
        <w:t>of  dO</w:t>
      </w:r>
      <w:proofErr w:type="gramEnd"/>
      <w:r>
        <w:rPr>
          <w:rFonts w:cs="Times New Roman"/>
          <w:szCs w:val="24"/>
          <w:vertAlign w:val="subscript"/>
        </w:rPr>
        <w:t>2</w:t>
      </w:r>
      <w:r>
        <w:rPr>
          <w:rFonts w:cs="Times New Roman"/>
          <w:szCs w:val="24"/>
        </w:rPr>
        <w:t xml:space="preserve"> at 135 h was due to technical issues. NH</w:t>
      </w:r>
      <w:r>
        <w:rPr>
          <w:rFonts w:cs="Times New Roman"/>
          <w:szCs w:val="24"/>
          <w:vertAlign w:val="subscript"/>
        </w:rPr>
        <w:t>4</w:t>
      </w:r>
      <w:r>
        <w:rPr>
          <w:rFonts w:cs="Times New Roman"/>
          <w:szCs w:val="24"/>
          <w:vertAlign w:val="superscript"/>
        </w:rPr>
        <w:t>+</w:t>
      </w:r>
      <w:r>
        <w:rPr>
          <w:rFonts w:cs="Times New Roman"/>
          <w:szCs w:val="24"/>
        </w:rPr>
        <w:t>, NO</w:t>
      </w:r>
      <w:r>
        <w:rPr>
          <w:rFonts w:cs="Times New Roman"/>
          <w:szCs w:val="24"/>
          <w:vertAlign w:val="subscript"/>
        </w:rPr>
        <w:t>2</w:t>
      </w:r>
      <w:r>
        <w:rPr>
          <w:rFonts w:cs="Times New Roman"/>
          <w:szCs w:val="24"/>
          <w:vertAlign w:val="superscript"/>
        </w:rPr>
        <w:t>-</w:t>
      </w:r>
      <w:r>
        <w:rPr>
          <w:rFonts w:cs="Times New Roman"/>
          <w:szCs w:val="24"/>
        </w:rPr>
        <w:t xml:space="preserve"> and dO</w:t>
      </w:r>
      <w:r>
        <w:rPr>
          <w:rFonts w:cs="Times New Roman"/>
          <w:szCs w:val="24"/>
          <w:vertAlign w:val="subscript"/>
        </w:rPr>
        <w:t>2</w:t>
      </w:r>
      <w:r>
        <w:rPr>
          <w:rFonts w:cs="Times New Roman"/>
          <w:szCs w:val="24"/>
        </w:rPr>
        <w:t xml:space="preserve"> curves show mean values of biological duplicates and error bars represent the standard deviation of the mean.</w:t>
      </w:r>
      <w:r>
        <w:br w:type="page"/>
      </w:r>
    </w:p>
    <w:p w14:paraId="78B3EA7F" w14:textId="77777777" w:rsidR="00C377A9" w:rsidRDefault="00C377A9">
      <w:pPr>
        <w:jc w:val="both"/>
      </w:pPr>
    </w:p>
    <w:p w14:paraId="2937FD87" w14:textId="77777777" w:rsidR="00C377A9" w:rsidRDefault="00C377A9">
      <w:pPr>
        <w:jc w:val="both"/>
        <w:rPr>
          <w:rFonts w:cs="Times New Roman"/>
          <w:b/>
          <w:szCs w:val="24"/>
        </w:rPr>
      </w:pPr>
    </w:p>
    <w:p w14:paraId="6405F364" w14:textId="77777777" w:rsidR="00C377A9" w:rsidRDefault="00C377A9">
      <w:pPr>
        <w:jc w:val="both"/>
        <w:rPr>
          <w:rFonts w:cs="Times New Roman"/>
          <w:b/>
          <w:szCs w:val="24"/>
        </w:rPr>
      </w:pPr>
    </w:p>
    <w:p w14:paraId="53572AE1" w14:textId="77777777" w:rsidR="00C377A9" w:rsidRDefault="003F4F0C">
      <w:pPr>
        <w:jc w:val="both"/>
        <w:rPr>
          <w:rFonts w:cs="Times New Roman"/>
          <w:b/>
          <w:szCs w:val="24"/>
        </w:rPr>
      </w:pPr>
      <w:r>
        <w:rPr>
          <w:rFonts w:cs="Times New Roman"/>
          <w:b/>
          <w:noProof/>
          <w:szCs w:val="24"/>
        </w:rPr>
        <w:drawing>
          <wp:anchor distT="0" distB="0" distL="0" distR="0" simplePos="0" relativeHeight="9" behindDoc="0" locked="0" layoutInCell="1" allowOverlap="1" wp14:anchorId="350C7CBD" wp14:editId="3B1A1F06">
            <wp:simplePos x="0" y="0"/>
            <wp:positionH relativeFrom="column">
              <wp:align>center</wp:align>
            </wp:positionH>
            <wp:positionV relativeFrom="paragraph">
              <wp:posOffset>635</wp:posOffset>
            </wp:positionV>
            <wp:extent cx="4489450" cy="4489450"/>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a:stretch>
                      <a:fillRect/>
                    </a:stretch>
                  </pic:blipFill>
                  <pic:spPr bwMode="auto">
                    <a:xfrm>
                      <a:off x="0" y="0"/>
                      <a:ext cx="4489450" cy="4489450"/>
                    </a:xfrm>
                    <a:prstGeom prst="rect">
                      <a:avLst/>
                    </a:prstGeom>
                  </pic:spPr>
                </pic:pic>
              </a:graphicData>
            </a:graphic>
          </wp:anchor>
        </w:drawing>
      </w:r>
    </w:p>
    <w:p w14:paraId="5214D4A0" w14:textId="77777777" w:rsidR="00C377A9" w:rsidRDefault="00C377A9">
      <w:pPr>
        <w:jc w:val="both"/>
        <w:rPr>
          <w:rFonts w:cs="Times New Roman"/>
          <w:b/>
          <w:szCs w:val="24"/>
        </w:rPr>
      </w:pPr>
    </w:p>
    <w:p w14:paraId="042DE4A2" w14:textId="77777777" w:rsidR="00C377A9" w:rsidRDefault="003F4F0C">
      <w:pPr>
        <w:jc w:val="both"/>
      </w:pPr>
      <w:r>
        <w:rPr>
          <w:rFonts w:cs="Times New Roman"/>
          <w:b/>
          <w:szCs w:val="24"/>
        </w:rPr>
        <w:t xml:space="preserve">Supplementary </w:t>
      </w:r>
      <w:proofErr w:type="gramStart"/>
      <w:r>
        <w:rPr>
          <w:rFonts w:cs="Times New Roman"/>
          <w:b/>
          <w:szCs w:val="24"/>
        </w:rPr>
        <w:t>Figure  3</w:t>
      </w:r>
      <w:proofErr w:type="gramEnd"/>
      <w:r>
        <w:rPr>
          <w:rFonts w:cs="Times New Roman"/>
          <w:b/>
          <w:szCs w:val="24"/>
        </w:rPr>
        <w:t>.</w:t>
      </w:r>
      <w:r>
        <w:rPr>
          <w:rFonts w:cs="Times New Roman"/>
          <w:szCs w:val="24"/>
        </w:rPr>
        <w:t xml:space="preserve"> </w:t>
      </w:r>
      <w:r>
        <w:rPr>
          <w:rFonts w:cs="Times New Roman"/>
          <w:szCs w:val="24"/>
        </w:rPr>
        <w:t>Maximum specific growth r</w:t>
      </w:r>
      <w:r>
        <w:rPr>
          <w:rFonts w:cs="Times New Roman"/>
          <w:szCs w:val="24"/>
        </w:rPr>
        <w:t>ate (µ</w:t>
      </w:r>
      <w:r>
        <w:rPr>
          <w:rFonts w:cs="Times New Roman"/>
          <w:szCs w:val="24"/>
          <w:vertAlign w:val="subscript"/>
        </w:rPr>
        <w:t>max</w:t>
      </w:r>
      <w:r>
        <w:rPr>
          <w:rFonts w:cs="Times New Roman"/>
          <w:szCs w:val="24"/>
        </w:rPr>
        <w:t xml:space="preserve">) of </w:t>
      </w:r>
      <w:r>
        <w:rPr>
          <w:rFonts w:cs="Times New Roman"/>
          <w:i/>
          <w:iCs/>
          <w:szCs w:val="24"/>
        </w:rPr>
        <w:t xml:space="preserve">N. </w:t>
      </w:r>
      <w:proofErr w:type="spellStart"/>
      <w:r>
        <w:rPr>
          <w:rFonts w:cs="Times New Roman"/>
          <w:i/>
          <w:iCs/>
          <w:szCs w:val="24"/>
        </w:rPr>
        <w:t>viennensis</w:t>
      </w:r>
      <w:proofErr w:type="spellEnd"/>
      <w:r>
        <w:rPr>
          <w:rFonts w:cs="Times New Roman"/>
          <w:szCs w:val="24"/>
        </w:rPr>
        <w:t>. µ of closed batch cultures grown at different dO</w:t>
      </w:r>
      <w:r>
        <w:rPr>
          <w:rFonts w:cs="Times New Roman"/>
          <w:szCs w:val="24"/>
          <w:vertAlign w:val="subscript"/>
        </w:rPr>
        <w:t>2</w:t>
      </w:r>
      <w:r>
        <w:rPr>
          <w:rFonts w:cs="Times New Roman"/>
          <w:szCs w:val="24"/>
        </w:rPr>
        <w:t xml:space="preserve"> concentrations in serum flasks with 0.5% CO</w:t>
      </w:r>
      <w:r>
        <w:rPr>
          <w:rFonts w:cs="Times New Roman"/>
          <w:szCs w:val="24"/>
          <w:vertAlign w:val="subscript"/>
        </w:rPr>
        <w:t>2</w:t>
      </w:r>
      <w:r>
        <w:rPr>
          <w:rFonts w:cs="Times New Roman"/>
          <w:szCs w:val="24"/>
        </w:rPr>
        <w:t xml:space="preserve"> in the atmosphere. Highest µ of 0.0508 ±0.0005 h</w:t>
      </w:r>
      <w:r>
        <w:rPr>
          <w:rFonts w:cs="Times New Roman"/>
          <w:szCs w:val="24"/>
          <w:vertAlign w:val="superscript"/>
        </w:rPr>
        <w:t>-1</w:t>
      </w:r>
      <w:r>
        <w:rPr>
          <w:rFonts w:cs="Times New Roman"/>
          <w:szCs w:val="24"/>
        </w:rPr>
        <w:t xml:space="preserve"> was achieved at 53.5 µmol L</w:t>
      </w:r>
      <w:r>
        <w:rPr>
          <w:rFonts w:cs="Times New Roman"/>
          <w:szCs w:val="24"/>
          <w:vertAlign w:val="superscript"/>
        </w:rPr>
        <w:t>-1</w:t>
      </w:r>
      <w:r>
        <w:rPr>
          <w:rFonts w:cs="Times New Roman"/>
          <w:szCs w:val="24"/>
        </w:rPr>
        <w:t xml:space="preserve"> dO</w:t>
      </w:r>
      <w:r>
        <w:rPr>
          <w:rFonts w:cs="Times New Roman"/>
          <w:szCs w:val="24"/>
          <w:vertAlign w:val="subscript"/>
        </w:rPr>
        <w:t>2</w:t>
      </w:r>
      <w:r>
        <w:rPr>
          <w:rFonts w:cs="Times New Roman"/>
          <w:szCs w:val="24"/>
        </w:rPr>
        <w:t xml:space="preserve"> (5% O</w:t>
      </w:r>
      <w:r>
        <w:rPr>
          <w:rFonts w:cs="Times New Roman"/>
          <w:szCs w:val="24"/>
          <w:vertAlign w:val="subscript"/>
        </w:rPr>
        <w:t>2</w:t>
      </w:r>
      <w:r>
        <w:rPr>
          <w:rFonts w:cs="Times New Roman"/>
          <w:szCs w:val="24"/>
        </w:rPr>
        <w:t xml:space="preserve"> in the gas phase) compared to </w:t>
      </w:r>
      <w:proofErr w:type="gramStart"/>
      <w:r>
        <w:rPr>
          <w:rFonts w:cs="Times New Roman"/>
          <w:szCs w:val="24"/>
        </w:rPr>
        <w:t>0.0484  ±</w:t>
      </w:r>
      <w:proofErr w:type="gramEnd"/>
      <w:r>
        <w:rPr>
          <w:rFonts w:cs="Times New Roman"/>
          <w:szCs w:val="24"/>
        </w:rPr>
        <w:t>0.0004 h</w:t>
      </w:r>
      <w:r>
        <w:rPr>
          <w:rFonts w:cs="Times New Roman"/>
          <w:szCs w:val="24"/>
          <w:vertAlign w:val="superscript"/>
        </w:rPr>
        <w:t>-1</w:t>
      </w:r>
      <w:r>
        <w:rPr>
          <w:rFonts w:cs="Times New Roman"/>
          <w:szCs w:val="24"/>
        </w:rPr>
        <w:t xml:space="preserve"> at 224.7 µmol L</w:t>
      </w:r>
      <w:r>
        <w:rPr>
          <w:rFonts w:cs="Times New Roman"/>
          <w:szCs w:val="24"/>
          <w:vertAlign w:val="superscript"/>
        </w:rPr>
        <w:t>-1</w:t>
      </w:r>
      <w:r>
        <w:rPr>
          <w:rFonts w:cs="Times New Roman"/>
          <w:szCs w:val="24"/>
        </w:rPr>
        <w:t xml:space="preserve"> (21% O</w:t>
      </w:r>
      <w:r>
        <w:rPr>
          <w:rFonts w:cs="Times New Roman"/>
          <w:szCs w:val="24"/>
          <w:vertAlign w:val="subscript"/>
        </w:rPr>
        <w:t>2</w:t>
      </w:r>
      <w:r>
        <w:rPr>
          <w:rFonts w:cs="Times New Roman"/>
          <w:szCs w:val="24"/>
        </w:rPr>
        <w:t xml:space="preserve"> in the gas phase). Due to the remarkable little effect of dO</w:t>
      </w:r>
      <w:r>
        <w:rPr>
          <w:rFonts w:cs="Times New Roman"/>
          <w:szCs w:val="24"/>
          <w:vertAlign w:val="subscript"/>
        </w:rPr>
        <w:t>2</w:t>
      </w:r>
      <w:r>
        <w:rPr>
          <w:rFonts w:cs="Times New Roman"/>
          <w:szCs w:val="24"/>
        </w:rPr>
        <w:t xml:space="preserve"> on µ, 21% O</w:t>
      </w:r>
      <w:r>
        <w:rPr>
          <w:rFonts w:cs="Times New Roman"/>
          <w:szCs w:val="24"/>
          <w:vertAlign w:val="subscript"/>
        </w:rPr>
        <w:t>2</w:t>
      </w:r>
      <w:r>
        <w:rPr>
          <w:rFonts w:cs="Times New Roman"/>
          <w:szCs w:val="24"/>
        </w:rPr>
        <w:t xml:space="preserve"> were used for continuous cultures and a µ</w:t>
      </w:r>
      <w:r>
        <w:rPr>
          <w:rFonts w:cs="Times New Roman"/>
          <w:szCs w:val="24"/>
          <w:vertAlign w:val="subscript"/>
        </w:rPr>
        <w:t>max</w:t>
      </w:r>
      <w:r>
        <w:rPr>
          <w:rFonts w:cs="Times New Roman"/>
          <w:szCs w:val="24"/>
        </w:rPr>
        <w:t xml:space="preserve"> of 0.0484 h</w:t>
      </w:r>
      <w:r>
        <w:rPr>
          <w:rFonts w:cs="Times New Roman"/>
          <w:szCs w:val="24"/>
          <w:vertAlign w:val="superscript"/>
        </w:rPr>
        <w:t>-1</w:t>
      </w:r>
      <w:r>
        <w:rPr>
          <w:rFonts w:cs="Times New Roman"/>
          <w:szCs w:val="24"/>
        </w:rPr>
        <w:t xml:space="preserve"> was therefore assumed. µ values show the mean</w:t>
      </w:r>
      <w:r>
        <w:rPr>
          <w:rFonts w:cs="Times New Roman"/>
          <w:szCs w:val="24"/>
        </w:rPr>
        <w:t xml:space="preserve"> of quadruplets and error bars represent the standard deviation of the mean.</w:t>
      </w:r>
      <w:r>
        <w:br w:type="page"/>
      </w:r>
    </w:p>
    <w:p w14:paraId="6FA8BA8B" w14:textId="77777777" w:rsidR="00C377A9" w:rsidRDefault="00C377A9">
      <w:pPr>
        <w:jc w:val="both"/>
      </w:pPr>
    </w:p>
    <w:p w14:paraId="37096055" w14:textId="77777777" w:rsidR="00C377A9" w:rsidRDefault="00C377A9">
      <w:pPr>
        <w:jc w:val="both"/>
        <w:rPr>
          <w:rFonts w:cs="Times New Roman"/>
          <w:b/>
          <w:szCs w:val="24"/>
        </w:rPr>
      </w:pPr>
    </w:p>
    <w:p w14:paraId="7DC15DD7" w14:textId="77777777" w:rsidR="00C377A9" w:rsidRDefault="003F4F0C">
      <w:pPr>
        <w:keepNext/>
        <w:jc w:val="both"/>
      </w:pPr>
      <w:r>
        <w:rPr>
          <w:noProof/>
        </w:rPr>
        <w:drawing>
          <wp:anchor distT="0" distB="0" distL="0" distR="0" simplePos="0" relativeHeight="10" behindDoc="0" locked="0" layoutInCell="1" allowOverlap="1" wp14:anchorId="74250424" wp14:editId="4B1CC68C">
            <wp:simplePos x="0" y="0"/>
            <wp:positionH relativeFrom="column">
              <wp:align>center</wp:align>
            </wp:positionH>
            <wp:positionV relativeFrom="paragraph">
              <wp:posOffset>635</wp:posOffset>
            </wp:positionV>
            <wp:extent cx="6208395" cy="3595370"/>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1"/>
                    <a:stretch>
                      <a:fillRect/>
                    </a:stretch>
                  </pic:blipFill>
                  <pic:spPr bwMode="auto">
                    <a:xfrm>
                      <a:off x="0" y="0"/>
                      <a:ext cx="6208395" cy="3595370"/>
                    </a:xfrm>
                    <a:prstGeom prst="rect">
                      <a:avLst/>
                    </a:prstGeom>
                  </pic:spPr>
                </pic:pic>
              </a:graphicData>
            </a:graphic>
          </wp:anchor>
        </w:drawing>
      </w:r>
      <w:r>
        <w:rPr>
          <w:rFonts w:cs="Times New Roman"/>
          <w:b/>
          <w:szCs w:val="24"/>
        </w:rPr>
        <w:t xml:space="preserve">Supplementary </w:t>
      </w:r>
      <w:proofErr w:type="gramStart"/>
      <w:r>
        <w:rPr>
          <w:rFonts w:cs="Times New Roman"/>
          <w:b/>
          <w:szCs w:val="24"/>
        </w:rPr>
        <w:t>Figure  4</w:t>
      </w:r>
      <w:proofErr w:type="gramEnd"/>
      <w:r>
        <w:rPr>
          <w:rFonts w:cs="Times New Roman"/>
          <w:b/>
          <w:szCs w:val="24"/>
        </w:rPr>
        <w:t>.</w:t>
      </w:r>
      <w:r>
        <w:rPr>
          <w:rFonts w:cs="Times New Roman"/>
          <w:szCs w:val="24"/>
        </w:rPr>
        <w:t xml:space="preserve"> </w:t>
      </w:r>
      <w:r>
        <w:rPr>
          <w:rFonts w:cs="Times New Roman"/>
          <w:szCs w:val="24"/>
        </w:rPr>
        <w:t xml:space="preserve">Increase of cell </w:t>
      </w:r>
      <w:proofErr w:type="gramStart"/>
      <w:r>
        <w:rPr>
          <w:rFonts w:cs="Times New Roman"/>
          <w:szCs w:val="24"/>
        </w:rPr>
        <w:t>number based</w:t>
      </w:r>
      <w:proofErr w:type="gramEnd"/>
      <w:r>
        <w:rPr>
          <w:rFonts w:cs="Times New Roman"/>
          <w:szCs w:val="24"/>
        </w:rPr>
        <w:t xml:space="preserve"> growth rate in continuous cultures. µ of BR1 and BR2 based on cell concentration from D 0.035 h</w:t>
      </w:r>
      <w:r>
        <w:rPr>
          <w:rFonts w:cs="Times New Roman"/>
          <w:szCs w:val="24"/>
          <w:vertAlign w:val="superscript"/>
        </w:rPr>
        <w:t>-1</w:t>
      </w:r>
      <w:r>
        <w:rPr>
          <w:rFonts w:cs="Times New Roman"/>
          <w:szCs w:val="24"/>
        </w:rPr>
        <w:t xml:space="preserve"> to 0.060 h</w:t>
      </w:r>
      <w:r>
        <w:rPr>
          <w:rFonts w:cs="Times New Roman"/>
          <w:szCs w:val="24"/>
          <w:vertAlign w:val="superscript"/>
        </w:rPr>
        <w:t>-1</w:t>
      </w:r>
      <w:r>
        <w:rPr>
          <w:rFonts w:cs="Times New Roman"/>
          <w:szCs w:val="24"/>
        </w:rPr>
        <w:t>. Even tho</w:t>
      </w:r>
      <w:r>
        <w:rPr>
          <w:rFonts w:cs="Times New Roman"/>
          <w:szCs w:val="24"/>
        </w:rPr>
        <w:t>ugh the cell concentration decreased from D 0.035 h</w:t>
      </w:r>
      <w:r>
        <w:rPr>
          <w:rFonts w:cs="Times New Roman"/>
          <w:szCs w:val="24"/>
          <w:vertAlign w:val="superscript"/>
        </w:rPr>
        <w:t>-1</w:t>
      </w:r>
      <w:r>
        <w:rPr>
          <w:rFonts w:cs="Times New Roman"/>
          <w:szCs w:val="24"/>
        </w:rPr>
        <w:t xml:space="preserve"> to D 0.050 h</w:t>
      </w:r>
      <w:r>
        <w:rPr>
          <w:rFonts w:cs="Times New Roman"/>
          <w:szCs w:val="24"/>
          <w:vertAlign w:val="superscript"/>
        </w:rPr>
        <w:t>-1</w:t>
      </w:r>
      <w:r>
        <w:rPr>
          <w:rFonts w:cs="Times New Roman"/>
          <w:szCs w:val="24"/>
        </w:rPr>
        <w:t>, µ increased with D but remained slightly below the set value until D 0.050 h</w:t>
      </w:r>
      <w:r>
        <w:rPr>
          <w:rFonts w:cs="Times New Roman"/>
          <w:szCs w:val="24"/>
          <w:vertAlign w:val="superscript"/>
        </w:rPr>
        <w:t>-1</w:t>
      </w:r>
      <w:r>
        <w:rPr>
          <w:rFonts w:cs="Times New Roman"/>
          <w:szCs w:val="24"/>
        </w:rPr>
        <w:t xml:space="preserve"> where it started to surpass D leading to an increase in cell concentration.</w:t>
      </w:r>
      <w:r>
        <w:br w:type="page"/>
      </w:r>
    </w:p>
    <w:p w14:paraId="7E39ED73" w14:textId="77777777" w:rsidR="00C377A9" w:rsidRDefault="00C377A9">
      <w:pPr>
        <w:jc w:val="both"/>
      </w:pPr>
    </w:p>
    <w:p w14:paraId="0F5747CC" w14:textId="77777777" w:rsidR="00C377A9" w:rsidRDefault="003F4F0C">
      <w:pPr>
        <w:jc w:val="both"/>
      </w:pPr>
      <w:r>
        <w:rPr>
          <w:noProof/>
        </w:rPr>
        <w:drawing>
          <wp:anchor distT="0" distB="0" distL="0" distR="0" simplePos="0" relativeHeight="11" behindDoc="0" locked="0" layoutInCell="1" allowOverlap="1" wp14:anchorId="29F9D13C" wp14:editId="6FDCC59B">
            <wp:simplePos x="0" y="0"/>
            <wp:positionH relativeFrom="column">
              <wp:align>center</wp:align>
            </wp:positionH>
            <wp:positionV relativeFrom="paragraph">
              <wp:posOffset>635</wp:posOffset>
            </wp:positionV>
            <wp:extent cx="6208395" cy="3041650"/>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2"/>
                    <a:stretch>
                      <a:fillRect/>
                    </a:stretch>
                  </pic:blipFill>
                  <pic:spPr bwMode="auto">
                    <a:xfrm>
                      <a:off x="0" y="0"/>
                      <a:ext cx="6208395" cy="3041650"/>
                    </a:xfrm>
                    <a:prstGeom prst="rect">
                      <a:avLst/>
                    </a:prstGeom>
                  </pic:spPr>
                </pic:pic>
              </a:graphicData>
            </a:graphic>
          </wp:anchor>
        </w:drawing>
      </w:r>
      <w:r>
        <w:rPr>
          <w:rFonts w:cs="Times New Roman"/>
          <w:b/>
          <w:szCs w:val="24"/>
        </w:rPr>
        <w:t>Supplementary Figure 5.</w:t>
      </w:r>
      <w:r>
        <w:rPr>
          <w:rFonts w:cs="Times New Roman"/>
          <w:szCs w:val="24"/>
        </w:rPr>
        <w:t xml:space="preserve"> </w:t>
      </w:r>
      <w:r>
        <w:rPr>
          <w:rFonts w:cs="Times New Roman"/>
          <w:szCs w:val="24"/>
        </w:rPr>
        <w:t>Boxp</w:t>
      </w:r>
      <w:r>
        <w:rPr>
          <w:rFonts w:cs="Times New Roman"/>
          <w:szCs w:val="24"/>
        </w:rPr>
        <w:t>lots of NH</w:t>
      </w:r>
      <w:r>
        <w:rPr>
          <w:rFonts w:cs="Times New Roman"/>
          <w:szCs w:val="24"/>
          <w:vertAlign w:val="subscript"/>
        </w:rPr>
        <w:t>4</w:t>
      </w:r>
      <w:r>
        <w:rPr>
          <w:rFonts w:cs="Times New Roman"/>
          <w:szCs w:val="24"/>
          <w:vertAlign w:val="superscript"/>
        </w:rPr>
        <w:t>+</w:t>
      </w:r>
      <w:r>
        <w:rPr>
          <w:rFonts w:cs="Times New Roman"/>
          <w:szCs w:val="24"/>
        </w:rPr>
        <w:t xml:space="preserve"> and cell number of continuous cultures at high dilution rates. (A) NH</w:t>
      </w:r>
      <w:r>
        <w:rPr>
          <w:rFonts w:cs="Times New Roman"/>
          <w:szCs w:val="24"/>
          <w:vertAlign w:val="subscript"/>
        </w:rPr>
        <w:t>4</w:t>
      </w:r>
      <w:r>
        <w:rPr>
          <w:rFonts w:cs="Times New Roman"/>
          <w:szCs w:val="24"/>
          <w:vertAlign w:val="superscript"/>
        </w:rPr>
        <w:t>+</w:t>
      </w:r>
      <w:r>
        <w:rPr>
          <w:rFonts w:cs="Times New Roman"/>
          <w:szCs w:val="24"/>
        </w:rPr>
        <w:t xml:space="preserve"> concentrations of sections A (382 to 990 h), B (1032 to 1654 h), C (1796 to 2035 h) and D (2062 to 2402 h). Different steady states of BR1 and BR2 in sections C and D are </w:t>
      </w:r>
      <w:r>
        <w:rPr>
          <w:rFonts w:cs="Times New Roman"/>
          <w:szCs w:val="24"/>
        </w:rPr>
        <w:t xml:space="preserve">signified by the corresponding number. Outliers known to be caused by technical issues (1271, 1295, 1343 and 1346 h) were removed from the dataset. (B) Cell number of BR1 and BR2 of sections A to D, the different steady states of BR1 and BR2 in sections C </w:t>
      </w:r>
      <w:r>
        <w:rPr>
          <w:rFonts w:cs="Times New Roman"/>
          <w:szCs w:val="24"/>
        </w:rPr>
        <w:t>and D are signified by the corresponding number.</w:t>
      </w:r>
      <w:r>
        <w:br w:type="page"/>
      </w:r>
    </w:p>
    <w:p w14:paraId="226A09B2" w14:textId="77777777" w:rsidR="00C377A9" w:rsidRDefault="00C377A9">
      <w:pPr>
        <w:jc w:val="both"/>
      </w:pPr>
    </w:p>
    <w:p w14:paraId="5902A810" w14:textId="77777777" w:rsidR="00C377A9" w:rsidRDefault="00C377A9">
      <w:pPr>
        <w:jc w:val="both"/>
        <w:rPr>
          <w:rFonts w:cs="Times New Roman"/>
          <w:b/>
          <w:szCs w:val="24"/>
        </w:rPr>
      </w:pPr>
    </w:p>
    <w:p w14:paraId="55F642B5" w14:textId="77777777" w:rsidR="00C377A9" w:rsidRDefault="00C377A9">
      <w:pPr>
        <w:jc w:val="both"/>
        <w:rPr>
          <w:rFonts w:cs="Times New Roman"/>
          <w:b/>
          <w:szCs w:val="24"/>
        </w:rPr>
      </w:pPr>
    </w:p>
    <w:p w14:paraId="6369EBE0" w14:textId="77777777" w:rsidR="00C377A9" w:rsidRDefault="003F4F0C">
      <w:pPr>
        <w:jc w:val="both"/>
        <w:rPr>
          <w:rFonts w:cs="Times New Roman"/>
          <w:b/>
          <w:szCs w:val="24"/>
        </w:rPr>
      </w:pPr>
      <w:r>
        <w:rPr>
          <w:rFonts w:cs="Times New Roman"/>
          <w:b/>
          <w:noProof/>
          <w:szCs w:val="24"/>
        </w:rPr>
        <w:drawing>
          <wp:anchor distT="0" distB="0" distL="0" distR="0" simplePos="0" relativeHeight="12" behindDoc="0" locked="0" layoutInCell="1" allowOverlap="1" wp14:anchorId="0395D136" wp14:editId="2587A883">
            <wp:simplePos x="0" y="0"/>
            <wp:positionH relativeFrom="column">
              <wp:align>center</wp:align>
            </wp:positionH>
            <wp:positionV relativeFrom="paragraph">
              <wp:posOffset>635</wp:posOffset>
            </wp:positionV>
            <wp:extent cx="4489450" cy="4489450"/>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3"/>
                    <a:stretch>
                      <a:fillRect/>
                    </a:stretch>
                  </pic:blipFill>
                  <pic:spPr bwMode="auto">
                    <a:xfrm>
                      <a:off x="0" y="0"/>
                      <a:ext cx="4489450" cy="4489450"/>
                    </a:xfrm>
                    <a:prstGeom prst="rect">
                      <a:avLst/>
                    </a:prstGeom>
                  </pic:spPr>
                </pic:pic>
              </a:graphicData>
            </a:graphic>
          </wp:anchor>
        </w:drawing>
      </w:r>
    </w:p>
    <w:p w14:paraId="718ACD35" w14:textId="77777777" w:rsidR="00C377A9" w:rsidRDefault="00C377A9">
      <w:pPr>
        <w:jc w:val="both"/>
        <w:rPr>
          <w:rFonts w:cs="Times New Roman"/>
          <w:b/>
          <w:szCs w:val="24"/>
        </w:rPr>
      </w:pPr>
    </w:p>
    <w:p w14:paraId="74EF6C7A" w14:textId="77777777" w:rsidR="00C377A9" w:rsidRDefault="003F4F0C">
      <w:pPr>
        <w:keepNext/>
        <w:jc w:val="both"/>
      </w:pPr>
      <w:r>
        <w:rPr>
          <w:rFonts w:cs="Times New Roman"/>
          <w:b/>
          <w:szCs w:val="24"/>
        </w:rPr>
        <w:t xml:space="preserve">Supplementary </w:t>
      </w:r>
      <w:proofErr w:type="gramStart"/>
      <w:r>
        <w:rPr>
          <w:rFonts w:cs="Times New Roman"/>
          <w:b/>
          <w:szCs w:val="24"/>
        </w:rPr>
        <w:t>Figure  6</w:t>
      </w:r>
      <w:proofErr w:type="gramEnd"/>
      <w:r>
        <w:rPr>
          <w:rFonts w:cs="Times New Roman"/>
          <w:b/>
          <w:szCs w:val="24"/>
        </w:rPr>
        <w:t>.</w:t>
      </w:r>
      <w:r>
        <w:rPr>
          <w:rFonts w:cs="Times New Roman"/>
          <w:szCs w:val="24"/>
        </w:rPr>
        <w:t xml:space="preserve"> </w:t>
      </w:r>
      <w:r>
        <w:rPr>
          <w:rFonts w:cs="Times New Roman"/>
          <w:szCs w:val="24"/>
        </w:rPr>
        <w:t>Inhibitory effect of nitrite on the growth rate. 20 mL batch cultures grown in 30 mL polystyrene tubes with 1 mmol L</w:t>
      </w:r>
      <w:r>
        <w:rPr>
          <w:rFonts w:cs="Times New Roman"/>
          <w:szCs w:val="24"/>
          <w:vertAlign w:val="superscript"/>
        </w:rPr>
        <w:t>-1</w:t>
      </w:r>
      <w:r>
        <w:rPr>
          <w:rFonts w:cs="Times New Roman"/>
          <w:szCs w:val="24"/>
        </w:rPr>
        <w:t xml:space="preserve"> NH</w:t>
      </w:r>
      <w:r>
        <w:rPr>
          <w:rFonts w:cs="Times New Roman"/>
          <w:szCs w:val="24"/>
          <w:vertAlign w:val="subscript"/>
        </w:rPr>
        <w:t>4</w:t>
      </w:r>
      <w:r>
        <w:rPr>
          <w:rFonts w:cs="Times New Roman"/>
          <w:szCs w:val="24"/>
          <w:vertAlign w:val="superscript"/>
        </w:rPr>
        <w:t>+</w:t>
      </w:r>
      <w:r>
        <w:rPr>
          <w:rFonts w:cs="Times New Roman"/>
          <w:szCs w:val="24"/>
        </w:rPr>
        <w:t xml:space="preserve"> and 0 to 19 mmol L</w:t>
      </w:r>
      <w:r>
        <w:rPr>
          <w:rFonts w:cs="Times New Roman"/>
          <w:szCs w:val="24"/>
          <w:vertAlign w:val="superscript"/>
        </w:rPr>
        <w:t>-1</w:t>
      </w:r>
      <w:r>
        <w:rPr>
          <w:rFonts w:cs="Times New Roman"/>
          <w:szCs w:val="24"/>
        </w:rPr>
        <w:t xml:space="preserve"> NO</w:t>
      </w:r>
      <w:r>
        <w:rPr>
          <w:rFonts w:cs="Times New Roman"/>
          <w:szCs w:val="24"/>
          <w:vertAlign w:val="subscript"/>
        </w:rPr>
        <w:t>2</w:t>
      </w:r>
      <w:r>
        <w:rPr>
          <w:rFonts w:cs="Times New Roman"/>
          <w:szCs w:val="24"/>
          <w:vertAlign w:val="superscript"/>
        </w:rPr>
        <w:t>-</w:t>
      </w:r>
      <w:r>
        <w:rPr>
          <w:rFonts w:cs="Times New Roman"/>
          <w:szCs w:val="24"/>
        </w:rPr>
        <w:t xml:space="preserve"> starting concentrations. NO</w:t>
      </w:r>
      <w:r>
        <w:rPr>
          <w:rFonts w:cs="Times New Roman"/>
          <w:szCs w:val="24"/>
          <w:vertAlign w:val="subscript"/>
        </w:rPr>
        <w:t>2</w:t>
      </w:r>
      <w:r>
        <w:rPr>
          <w:rFonts w:cs="Times New Roman"/>
          <w:szCs w:val="24"/>
          <w:vertAlign w:val="superscript"/>
        </w:rPr>
        <w:t>-</w:t>
      </w:r>
      <w:r>
        <w:rPr>
          <w:rFonts w:cs="Times New Roman"/>
          <w:szCs w:val="24"/>
        </w:rPr>
        <w:t xml:space="preserve"> exhibited only a weak linear inhibitory effect on µ with 0.0342 ±0.0004 h</w:t>
      </w:r>
      <w:r>
        <w:rPr>
          <w:rFonts w:cs="Times New Roman"/>
          <w:szCs w:val="24"/>
          <w:vertAlign w:val="superscript"/>
        </w:rPr>
        <w:t>-1</w:t>
      </w:r>
      <w:r>
        <w:rPr>
          <w:rFonts w:cs="Times New Roman"/>
          <w:szCs w:val="24"/>
        </w:rPr>
        <w:t xml:space="preserve"> to 0.0411 ±0.0005 h</w:t>
      </w:r>
      <w:r>
        <w:rPr>
          <w:rFonts w:cs="Times New Roman"/>
          <w:szCs w:val="24"/>
          <w:vertAlign w:val="superscript"/>
        </w:rPr>
        <w:t>-1</w:t>
      </w:r>
      <w:r>
        <w:rPr>
          <w:rFonts w:cs="Times New Roman"/>
          <w:szCs w:val="24"/>
        </w:rPr>
        <w:t xml:space="preserve"> for 19 and 0 mmol L</w:t>
      </w:r>
      <w:r>
        <w:rPr>
          <w:rFonts w:cs="Times New Roman"/>
          <w:szCs w:val="24"/>
          <w:vertAlign w:val="superscript"/>
        </w:rPr>
        <w:t>-1</w:t>
      </w:r>
      <w:r>
        <w:rPr>
          <w:rFonts w:cs="Times New Roman"/>
          <w:szCs w:val="24"/>
        </w:rPr>
        <w:t xml:space="preserve"> NO</w:t>
      </w:r>
      <w:r>
        <w:rPr>
          <w:rFonts w:cs="Times New Roman"/>
          <w:szCs w:val="24"/>
          <w:vertAlign w:val="subscript"/>
        </w:rPr>
        <w:t>2</w:t>
      </w:r>
      <w:r>
        <w:rPr>
          <w:rFonts w:cs="Times New Roman"/>
          <w:szCs w:val="24"/>
          <w:vertAlign w:val="superscript"/>
        </w:rPr>
        <w:t>-</w:t>
      </w:r>
      <w:r>
        <w:rPr>
          <w:rFonts w:cs="Times New Roman"/>
          <w:szCs w:val="24"/>
        </w:rPr>
        <w:t xml:space="preserve"> starting concentrations respectively. Initial pH of 7.5. µ values show the mean of triplicates and e</w:t>
      </w:r>
      <w:r>
        <w:rPr>
          <w:rFonts w:cs="Times New Roman"/>
          <w:szCs w:val="24"/>
        </w:rPr>
        <w:t>rror bars represent the standard deviation of the mean.</w:t>
      </w:r>
    </w:p>
    <w:sectPr w:rsidR="00C377A9">
      <w:headerReference w:type="even" r:id="rId14"/>
      <w:headerReference w:type="default" r:id="rId15"/>
      <w:footerReference w:type="even" r:id="rId16"/>
      <w:footerReference w:type="default" r:id="rId17"/>
      <w:headerReference w:type="first" r:id="rId18"/>
      <w:pgSz w:w="12240" w:h="15840"/>
      <w:pgMar w:top="1138" w:right="1181" w:bottom="1138" w:left="1282"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A6AF" w14:textId="77777777" w:rsidR="00000000" w:rsidRDefault="003F4F0C">
      <w:pPr>
        <w:spacing w:before="0" w:after="0"/>
      </w:pPr>
      <w:r>
        <w:separator/>
      </w:r>
    </w:p>
  </w:endnote>
  <w:endnote w:type="continuationSeparator" w:id="0">
    <w:p w14:paraId="37252F5F" w14:textId="77777777" w:rsidR="00000000" w:rsidRDefault="003F4F0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5606" w14:textId="77777777" w:rsidR="00C377A9" w:rsidRDefault="003F4F0C">
    <w:pPr>
      <w:rPr>
        <w:color w:val="C00000"/>
        <w:szCs w:val="24"/>
      </w:rPr>
    </w:pPr>
    <w:r>
      <w:rPr>
        <w:noProof/>
        <w:color w:val="C00000"/>
        <w:szCs w:val="24"/>
      </w:rPr>
      <mc:AlternateContent>
        <mc:Choice Requires="wps">
          <w:drawing>
            <wp:anchor distT="0" distB="0" distL="0" distR="0" simplePos="0" relativeHeight="6" behindDoc="1" locked="0" layoutInCell="1" allowOverlap="1" wp14:anchorId="22FC7A6A" wp14:editId="4AF0EF7A">
              <wp:simplePos x="0" y="0"/>
              <wp:positionH relativeFrom="margin">
                <wp:align>right</wp:align>
              </wp:positionH>
              <wp:positionV relativeFrom="paragraph">
                <wp:posOffset>635</wp:posOffset>
              </wp:positionV>
              <wp:extent cx="1512570" cy="433705"/>
              <wp:effectExtent l="0" t="0" r="0" b="0"/>
              <wp:wrapNone/>
              <wp:docPr id="8" name="Text Box 1"/>
              <wp:cNvGraphicFramePr/>
              <a:graphic xmlns:a="http://schemas.openxmlformats.org/drawingml/2006/main">
                <a:graphicData uri="http://schemas.microsoft.com/office/word/2010/wordprocessingShape">
                  <wps:wsp>
                    <wps:cNvSpPr/>
                    <wps:spPr>
                      <a:xfrm>
                        <a:off x="0" y="0"/>
                        <a:ext cx="151200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19F9EBF3" w14:textId="77777777" w:rsidR="00C377A9" w:rsidRDefault="003F4F0C">
                          <w:pPr>
                            <w:pStyle w:val="Rahmeninhalt"/>
                            <w:jc w:val="right"/>
                            <w:rPr>
                              <w:color w:val="000000" w:themeColor="text1"/>
                              <w:szCs w:val="40"/>
                            </w:rPr>
                          </w:pPr>
                          <w:r>
                            <w:rPr>
                              <w:color w:val="000000"/>
                              <w:szCs w:val="40"/>
                            </w:rPr>
                            <w:fldChar w:fldCharType="begin"/>
                          </w:r>
                          <w:r>
                            <w:rPr>
                              <w:color w:val="000000"/>
                              <w:szCs w:val="40"/>
                            </w:rPr>
                            <w:instrText>PAGE</w:instrText>
                          </w:r>
                          <w:r>
                            <w:rPr>
                              <w:color w:val="000000"/>
                              <w:szCs w:val="40"/>
                            </w:rPr>
                            <w:fldChar w:fldCharType="separate"/>
                          </w:r>
                          <w:r>
                            <w:rPr>
                              <w:color w:val="000000"/>
                              <w:szCs w:val="40"/>
                            </w:rPr>
                            <w:t>6</w:t>
                          </w:r>
                          <w:r>
                            <w:rPr>
                              <w:color w:val="000000"/>
                              <w:szCs w:val="40"/>
                            </w:rPr>
                            <w:fldChar w:fldCharType="end"/>
                          </w:r>
                        </w:p>
                      </w:txbxContent>
                    </wps:txbx>
                    <wps:bodyPr>
                      <a:spAutoFit/>
                    </wps:bodyPr>
                  </wps:wsp>
                </a:graphicData>
              </a:graphic>
            </wp:anchor>
          </w:drawing>
        </mc:Choice>
        <mc:Fallback>
          <w:pict>
            <v:rect id="shape_0" ID="Text Box 1" stroked="f" style="position:absolute;margin-left:369.75pt;margin-top:0.05pt;width:119pt;height:34.05pt;mso-position-horizontal:right;mso-position-horizontal-relative:margin" wp14:anchorId="382EAD14">
              <w10:wrap type="square"/>
              <v:fill o:detectmouseclick="t" on="false"/>
              <v:stroke color="#3465a4" weight="6480" joinstyle="round" endcap="flat"/>
              <v:textbox>
                <w:txbxContent>
                  <w:p>
                    <w:pPr>
                      <w:pStyle w:val="Rahmeninhalt"/>
                      <w:spacing w:before="120" w:after="240"/>
                      <w:jc w:val="right"/>
                      <w:rPr>
                        <w:color w:val="000000" w:themeColor="text1"/>
                        <w:szCs w:val="4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6</w:t>
                    </w:r>
                    <w:r>
                      <w:rPr>
                        <w:szCs w:val="40"/>
                        <w:color w:val="000000"/>
                      </w:rP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0418" w14:textId="77777777" w:rsidR="00C377A9" w:rsidRDefault="003F4F0C">
    <w:pPr>
      <w:rPr>
        <w:b/>
        <w:sz w:val="20"/>
        <w:szCs w:val="24"/>
      </w:rPr>
    </w:pPr>
    <w:r>
      <w:rPr>
        <w:b/>
        <w:noProof/>
        <w:sz w:val="20"/>
        <w:szCs w:val="24"/>
      </w:rPr>
      <mc:AlternateContent>
        <mc:Choice Requires="wps">
          <w:drawing>
            <wp:anchor distT="0" distB="0" distL="0" distR="0" simplePos="0" relativeHeight="3" behindDoc="1" locked="0" layoutInCell="1" allowOverlap="1" wp14:anchorId="181FF34A" wp14:editId="1CC51ACD">
              <wp:simplePos x="0" y="0"/>
              <wp:positionH relativeFrom="margin">
                <wp:align>right</wp:align>
              </wp:positionH>
              <wp:positionV relativeFrom="paragraph">
                <wp:posOffset>635</wp:posOffset>
              </wp:positionV>
              <wp:extent cx="1512570" cy="433705"/>
              <wp:effectExtent l="0" t="0" r="0" b="0"/>
              <wp:wrapNone/>
              <wp:docPr id="10" name="Text Box 56"/>
              <wp:cNvGraphicFramePr/>
              <a:graphic xmlns:a="http://schemas.openxmlformats.org/drawingml/2006/main">
                <a:graphicData uri="http://schemas.microsoft.com/office/word/2010/wordprocessingShape">
                  <wps:wsp>
                    <wps:cNvSpPr/>
                    <wps:spPr>
                      <a:xfrm>
                        <a:off x="0" y="0"/>
                        <a:ext cx="151200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036F4522" w14:textId="77777777" w:rsidR="00C377A9" w:rsidRDefault="003F4F0C">
                          <w:pPr>
                            <w:pStyle w:val="Rahmeninhalt"/>
                            <w:jc w:val="right"/>
                            <w:rPr>
                              <w:color w:val="000000" w:themeColor="text1"/>
                              <w:szCs w:val="40"/>
                            </w:rPr>
                          </w:pPr>
                          <w:r>
                            <w:rPr>
                              <w:color w:val="000000"/>
                              <w:szCs w:val="40"/>
                            </w:rPr>
                            <w:fldChar w:fldCharType="begin"/>
                          </w:r>
                          <w:r>
                            <w:rPr>
                              <w:color w:val="000000"/>
                              <w:szCs w:val="40"/>
                            </w:rPr>
                            <w:instrText>PAGE</w:instrText>
                          </w:r>
                          <w:r>
                            <w:rPr>
                              <w:color w:val="000000"/>
                              <w:szCs w:val="40"/>
                            </w:rPr>
                            <w:fldChar w:fldCharType="separate"/>
                          </w:r>
                          <w:r>
                            <w:rPr>
                              <w:color w:val="000000"/>
                              <w:szCs w:val="40"/>
                            </w:rPr>
                            <w:t>5</w:t>
                          </w:r>
                          <w:r>
                            <w:rPr>
                              <w:color w:val="000000"/>
                              <w:szCs w:val="40"/>
                            </w:rPr>
                            <w:fldChar w:fldCharType="end"/>
                          </w:r>
                        </w:p>
                      </w:txbxContent>
                    </wps:txbx>
                    <wps:bodyPr>
                      <a:spAutoFit/>
                    </wps:bodyPr>
                  </wps:wsp>
                </a:graphicData>
              </a:graphic>
            </wp:anchor>
          </w:drawing>
        </mc:Choice>
        <mc:Fallback>
          <w:pict>
            <v:rect id="shape_0" ID="Text Box 56" stroked="f" style="position:absolute;margin-left:369.75pt;margin-top:0.05pt;width:119pt;height:34.05pt;mso-position-horizontal:right;mso-position-horizontal-relative:margin" wp14:anchorId="70F9F55F">
              <w10:wrap type="square"/>
              <v:fill o:detectmouseclick="t" on="false"/>
              <v:stroke color="#3465a4" weight="6480" joinstyle="round" endcap="flat"/>
              <v:textbox>
                <w:txbxContent>
                  <w:p>
                    <w:pPr>
                      <w:pStyle w:val="Rahmeninhalt"/>
                      <w:spacing w:before="120" w:after="240"/>
                      <w:jc w:val="right"/>
                      <w:rPr>
                        <w:color w:val="000000" w:themeColor="text1"/>
                        <w:szCs w:val="4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5</w:t>
                    </w:r>
                    <w:r>
                      <w:rPr>
                        <w:szCs w:val="40"/>
                        <w:color w:val="000000"/>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85D4A" w14:textId="77777777" w:rsidR="00000000" w:rsidRDefault="003F4F0C">
      <w:pPr>
        <w:spacing w:before="0" w:after="0"/>
      </w:pPr>
      <w:r>
        <w:separator/>
      </w:r>
    </w:p>
  </w:footnote>
  <w:footnote w:type="continuationSeparator" w:id="0">
    <w:p w14:paraId="476D69E5" w14:textId="77777777" w:rsidR="00000000" w:rsidRDefault="003F4F0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5582" w14:textId="77777777" w:rsidR="00C377A9" w:rsidRDefault="003F4F0C">
    <w:pPr>
      <w:rPr>
        <w:rFonts w:cs="Times New Roman"/>
      </w:rPr>
    </w:pPr>
    <w:r>
      <w:rPr>
        <w:rFonts w:cs="Times New Roman"/>
      </w:rPr>
      <w:tab/>
    </w:r>
    <w:r>
      <w:rPr>
        <w:rFonts w:cs="Times New Roman"/>
      </w:rPr>
      <w:tab/>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A4D4" w14:textId="77777777" w:rsidR="00C377A9" w:rsidRDefault="00C377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181E" w14:textId="77777777" w:rsidR="00C377A9" w:rsidRDefault="003F4F0C">
    <w:r>
      <w:rPr>
        <w:noProof/>
      </w:rPr>
      <w:drawing>
        <wp:inline distT="0" distB="0" distL="0" distR="0" wp14:anchorId="50A1F7CC" wp14:editId="70AC3854">
          <wp:extent cx="1382395" cy="497205"/>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295A31"/>
    <w:multiLevelType w:val="multilevel"/>
    <w:tmpl w:val="BD36789E"/>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567"/>
        </w:tabs>
        <w:ind w:left="567" w:hanging="567"/>
      </w:pPr>
    </w:lvl>
    <w:lvl w:ilvl="4">
      <w:start w:val="1"/>
      <w:numFmt w:val="decimal"/>
      <w:lvlText w:val="%1.%2.%3.%4.%5"/>
      <w:lvlJc w:val="left"/>
      <w:pPr>
        <w:tabs>
          <w:tab w:val="num" w:pos="567"/>
        </w:tabs>
        <w:ind w:left="567" w:hanging="567"/>
      </w:pPr>
    </w:lvl>
    <w:lvl w:ilvl="5">
      <w:start w:val="1"/>
      <w:numFmt w:val="lowerRoman"/>
      <w:lvlText w:val="%6."/>
      <w:lvlJc w:val="right"/>
      <w:pPr>
        <w:tabs>
          <w:tab w:val="num" w:pos="567"/>
        </w:tabs>
        <w:ind w:left="567" w:hanging="567"/>
      </w:pPr>
    </w:lvl>
    <w:lvl w:ilvl="6">
      <w:start w:val="1"/>
      <w:numFmt w:val="decimal"/>
      <w:lvlText w:val="%7."/>
      <w:lvlJc w:val="left"/>
      <w:pPr>
        <w:tabs>
          <w:tab w:val="num" w:pos="567"/>
        </w:tabs>
        <w:ind w:left="567" w:hanging="567"/>
      </w:pPr>
    </w:lvl>
    <w:lvl w:ilvl="7">
      <w:start w:val="1"/>
      <w:numFmt w:val="lowerLetter"/>
      <w:lvlText w:val="%8."/>
      <w:lvlJc w:val="left"/>
      <w:pPr>
        <w:tabs>
          <w:tab w:val="num" w:pos="567"/>
        </w:tabs>
        <w:ind w:left="567" w:hanging="567"/>
      </w:pPr>
    </w:lvl>
    <w:lvl w:ilvl="8">
      <w:start w:val="1"/>
      <w:numFmt w:val="lowerRoman"/>
      <w:lvlText w:val="%9."/>
      <w:lvlJc w:val="right"/>
      <w:pPr>
        <w:tabs>
          <w:tab w:val="num" w:pos="567"/>
        </w:tabs>
        <w:ind w:left="567" w:hanging="567"/>
      </w:pPr>
    </w:lvl>
  </w:abstractNum>
  <w:abstractNum w:abstractNumId="1" w15:restartNumberingAfterBreak="0">
    <w:nsid w:val="4D7C65FA"/>
    <w:multiLevelType w:val="multilevel"/>
    <w:tmpl w:val="FACE5782"/>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lvl>
    <w:lvl w:ilvl="3">
      <w:start w:val="1"/>
      <w:numFmt w:val="decimal"/>
      <w:pStyle w:val="Heading4"/>
      <w:lvlText w:val="%1.%2.%3.%4"/>
      <w:lvlJc w:val="left"/>
      <w:pPr>
        <w:tabs>
          <w:tab w:val="num" w:pos="567"/>
        </w:tabs>
        <w:ind w:left="567" w:hanging="567"/>
      </w:pPr>
    </w:lvl>
    <w:lvl w:ilvl="4">
      <w:start w:val="1"/>
      <w:numFmt w:val="decimal"/>
      <w:pStyle w:val="Heading5"/>
      <w:lvlText w:val="%1.%2.%3.%4.%5"/>
      <w:lvlJc w:val="left"/>
      <w:pPr>
        <w:tabs>
          <w:tab w:val="num" w:pos="567"/>
        </w:tabs>
        <w:ind w:left="567" w:hanging="567"/>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7A9"/>
    <w:rsid w:val="003F4F0C"/>
    <w:rsid w:val="00C377A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59850"/>
  <w15:docId w15:val="{94E8F528-C392-4A59-A020-B79BBB322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
      </w:numPr>
      <w:spacing w:before="240" w:after="12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qFormat/>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sid w:val="00AB6715"/>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sid w:val="00AB6715"/>
    <w:rPr>
      <w:rFonts w:ascii="Times New Roman" w:hAnsi="Times New Roman" w:cs="Times New Roman"/>
      <w:b/>
      <w:sz w:val="24"/>
      <w:szCs w:val="24"/>
    </w:rPr>
  </w:style>
  <w:style w:type="character" w:customStyle="1" w:styleId="BalloonTextChar">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CommentReference">
    <w:name w:val="annotation reference"/>
    <w:basedOn w:val="DefaultParagraphFont"/>
    <w:uiPriority w:val="99"/>
    <w:semiHidden/>
    <w:unhideWhenUsed/>
    <w:qFormat/>
    <w:rsid w:val="00AB6715"/>
    <w:rPr>
      <w:sz w:val="16"/>
      <w:szCs w:val="16"/>
    </w:rPr>
  </w:style>
  <w:style w:type="character" w:customStyle="1" w:styleId="CommentTextChar">
    <w:name w:val="Comment Text Char"/>
    <w:basedOn w:val="DefaultParagraphFont"/>
    <w:link w:val="CommentText"/>
    <w:uiPriority w:val="99"/>
    <w:semiHidden/>
    <w:qFormat/>
    <w:rsid w:val="00AB6715"/>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AB6715"/>
    <w:rPr>
      <w:rFonts w:ascii="Times New Roman" w:hAnsi="Times New Roman"/>
      <w:b/>
      <w:bCs/>
      <w:sz w:val="20"/>
      <w:szCs w:val="20"/>
    </w:rPr>
  </w:style>
  <w:style w:type="character" w:customStyle="1" w:styleId="Betont">
    <w:name w:val="Betont"/>
    <w:basedOn w:val="DefaultParagraphFont"/>
    <w:uiPriority w:val="20"/>
    <w:qFormat/>
    <w:rsid w:val="00AB6715"/>
    <w:rPr>
      <w:rFonts w:ascii="Times New Roman" w:hAnsi="Times New Roman"/>
      <w:i/>
      <w:iCs/>
    </w:rPr>
  </w:style>
  <w:style w:type="character" w:customStyle="1" w:styleId="Endnotenanker">
    <w:name w:val="Endnotenanker"/>
    <w:qFormat/>
    <w:rPr>
      <w:vertAlign w:val="superscript"/>
    </w:rPr>
  </w:style>
  <w:style w:type="character" w:customStyle="1" w:styleId="EndnoteCharacters">
    <w:name w:val="Endnote Characters"/>
    <w:basedOn w:val="DefaultParagraphFont"/>
    <w:uiPriority w:val="99"/>
    <w:semiHidden/>
    <w:unhideWhenUsed/>
    <w:qFormat/>
    <w:rsid w:val="00AB6715"/>
    <w:rPr>
      <w:vertAlign w:val="superscript"/>
    </w:rPr>
  </w:style>
  <w:style w:type="character" w:customStyle="1" w:styleId="EndnoteTextChar">
    <w:name w:val="Endnote Text Char"/>
    <w:basedOn w:val="DefaultParagraphFont"/>
    <w:link w:val="EndnoteText"/>
    <w:uiPriority w:val="99"/>
    <w:semiHidden/>
    <w:qFormat/>
    <w:rsid w:val="00AB6715"/>
    <w:rPr>
      <w:rFonts w:ascii="Times New Roman" w:hAnsi="Times New Roman"/>
      <w:sz w:val="20"/>
      <w:szCs w:val="20"/>
    </w:rPr>
  </w:style>
  <w:style w:type="character" w:customStyle="1" w:styleId="BesuchteInternetverknpfung">
    <w:name w:val="Besuchte Internetverknüpfung"/>
    <w:basedOn w:val="DefaultParagraphFont"/>
    <w:uiPriority w:val="99"/>
    <w:semiHidden/>
    <w:unhideWhenUsed/>
    <w:qFormat/>
    <w:rsid w:val="00AB6715"/>
    <w:rPr>
      <w:color w:val="800080" w:themeColor="followedHyperlink"/>
      <w:u w:val="single"/>
    </w:rPr>
  </w:style>
  <w:style w:type="character" w:customStyle="1" w:styleId="FooterChar">
    <w:name w:val="Footer Char"/>
    <w:basedOn w:val="DefaultParagraphFont"/>
    <w:link w:val="Footer"/>
    <w:uiPriority w:val="99"/>
    <w:qFormat/>
    <w:rsid w:val="00AB6715"/>
    <w:rPr>
      <w:rFonts w:ascii="Times New Roman" w:hAnsi="Times New Roman"/>
      <w:sz w:val="24"/>
    </w:rPr>
  </w:style>
  <w:style w:type="character" w:customStyle="1" w:styleId="Funotenanker">
    <w:name w:val="Fußnotenanker"/>
    <w:qFormat/>
    <w:rPr>
      <w:vertAlign w:val="superscript"/>
    </w:rPr>
  </w:style>
  <w:style w:type="character" w:customStyle="1" w:styleId="FootnoteCharacters">
    <w:name w:val="Footnote Characters"/>
    <w:basedOn w:val="DefaultParagraphFont"/>
    <w:uiPriority w:val="99"/>
    <w:semiHidden/>
    <w:unhideWhenUsed/>
    <w:qFormat/>
    <w:rsid w:val="00AB6715"/>
    <w:rPr>
      <w:vertAlign w:val="superscript"/>
    </w:rPr>
  </w:style>
  <w:style w:type="character" w:customStyle="1" w:styleId="FootnoteTextChar">
    <w:name w:val="Footnote Text Char"/>
    <w:basedOn w:val="DefaultParagraphFont"/>
    <w:link w:val="FootnoteText"/>
    <w:uiPriority w:val="99"/>
    <w:semiHidden/>
    <w:qFormat/>
    <w:rsid w:val="00AB6715"/>
    <w:rPr>
      <w:rFonts w:ascii="Times New Roman" w:hAnsi="Times New Roman"/>
      <w:sz w:val="20"/>
      <w:szCs w:val="20"/>
    </w:rPr>
  </w:style>
  <w:style w:type="character" w:customStyle="1" w:styleId="HeaderChar">
    <w:name w:val="Header Char"/>
    <w:basedOn w:val="DefaultParagraphFont"/>
    <w:link w:val="Header"/>
    <w:uiPriority w:val="99"/>
    <w:qFormat/>
    <w:rsid w:val="00AB6715"/>
    <w:rPr>
      <w:rFonts w:ascii="Times New Roman" w:hAnsi="Times New Roman"/>
      <w:b/>
      <w:sz w:val="24"/>
    </w:rPr>
  </w:style>
  <w:style w:type="character" w:customStyle="1" w:styleId="Internetverknpfung">
    <w:name w:val="Internetverknüpfung"/>
    <w:uiPriority w:val="99"/>
    <w:unhideWhenUsed/>
    <w:qFormat/>
    <w:rsid w:val="00AB6715"/>
    <w:rPr>
      <w:color w:val="000080"/>
      <w:u w:val="single"/>
      <w:lang/>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style>
  <w:style w:type="character" w:customStyle="1" w:styleId="Heading3Char">
    <w:name w:val="Heading 3 Char"/>
    <w:basedOn w:val="DefaultParagraphFont"/>
    <w:link w:val="Heading3"/>
    <w:uiPriority w:val="2"/>
    <w:qFormat/>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sid w:val="00AB6715"/>
    <w:rPr>
      <w:rFonts w:ascii="Times New Roman" w:eastAsiaTheme="majorEastAsia" w:hAnsi="Times New Roman" w:cstheme="majorBidi"/>
      <w:b/>
      <w:iCs/>
      <w:sz w:val="24"/>
      <w:szCs w:val="24"/>
    </w:rPr>
  </w:style>
  <w:style w:type="character" w:customStyle="1" w:styleId="QuoteChar">
    <w:name w:val="Quote Char"/>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customStyle="1" w:styleId="TitleChar">
    <w:name w:val="Title Char"/>
    <w:basedOn w:val="DefaultParagraphFont"/>
    <w:link w:val="Title"/>
    <w:qFormat/>
    <w:rsid w:val="00AB6715"/>
    <w:rPr>
      <w:rFonts w:ascii="Times New Roman" w:hAnsi="Times New Roman" w:cs="Times New Roman"/>
      <w:b/>
      <w:sz w:val="32"/>
      <w:szCs w:val="32"/>
    </w:rPr>
  </w:style>
  <w:style w:type="paragraph" w:customStyle="1" w:styleId="berschrift">
    <w:name w:val="Überschrift"/>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before="0" w:after="140" w:line="276" w:lineRule="auto"/>
    </w:pPr>
  </w:style>
  <w:style w:type="paragraph" w:styleId="List">
    <w:name w:val="List"/>
    <w:basedOn w:val="BodyText"/>
    <w:rPr>
      <w:rFonts w:cs="Lohit Devanagari"/>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customStyle="1" w:styleId="Verzeichnis">
    <w:name w:val="Verzeichnis"/>
    <w:basedOn w:val="Normal"/>
    <w:qFormat/>
    <w:pPr>
      <w:suppressLineNumbers/>
    </w:pPr>
    <w:rPr>
      <w:rFonts w:cs="Lohit Devanagari"/>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paragraph" w:customStyle="1" w:styleId="AuthorList">
    <w:name w:val="Author List"/>
    <w:basedOn w:val="Subtitle"/>
    <w:next w:val="Normal"/>
    <w:uiPriority w:val="1"/>
    <w:qFormat/>
    <w:rsid w:val="00AB6715"/>
  </w:style>
  <w:style w:type="paragraph" w:styleId="BalloonText">
    <w:name w:val="Balloon Text"/>
    <w:basedOn w:val="Normal"/>
    <w:link w:val="BalloonTextChar"/>
    <w:uiPriority w:val="99"/>
    <w:semiHidden/>
    <w:unhideWhenUsed/>
    <w:qFormat/>
    <w:rsid w:val="00AB6715"/>
    <w:pPr>
      <w:spacing w:after="0"/>
    </w:pPr>
    <w:rPr>
      <w:rFonts w:ascii="Tahoma" w:hAnsi="Tahoma" w:cs="Tahoma"/>
      <w:sz w:val="16"/>
      <w:szCs w:val="16"/>
    </w:rPr>
  </w:style>
  <w:style w:type="paragraph" w:styleId="NoSpacing">
    <w:name w:val="No Spacing"/>
    <w:uiPriority w:val="99"/>
    <w:unhideWhenUsed/>
    <w:qFormat/>
    <w:rsid w:val="00AB6715"/>
    <w:rPr>
      <w:rFonts w:ascii="Times New Roman" w:hAnsi="Times New Roman"/>
      <w:sz w:val="24"/>
    </w:rPr>
  </w:style>
  <w:style w:type="paragraph" w:styleId="CommentText">
    <w:name w:val="annotation text"/>
    <w:basedOn w:val="Normal"/>
    <w:link w:val="CommentTextChar"/>
    <w:uiPriority w:val="99"/>
    <w:semiHidden/>
    <w:unhideWhenUsed/>
    <w:qFormat/>
    <w:rsid w:val="00AB6715"/>
    <w:rPr>
      <w:sz w:val="20"/>
      <w:szCs w:val="20"/>
    </w:rPr>
  </w:style>
  <w:style w:type="paragraph" w:styleId="CommentSubject">
    <w:name w:val="annotation subject"/>
    <w:basedOn w:val="CommentText"/>
    <w:next w:val="CommentText"/>
    <w:link w:val="CommentSubjectChar"/>
    <w:uiPriority w:val="99"/>
    <w:semiHidden/>
    <w:unhideWhenUsed/>
    <w:qFormat/>
    <w:rsid w:val="00AB6715"/>
    <w:rPr>
      <w:b/>
      <w:bCs/>
    </w:rPr>
  </w:style>
  <w:style w:type="paragraph" w:styleId="EndnoteText">
    <w:name w:val="endnote text"/>
    <w:basedOn w:val="Normal"/>
    <w:link w:val="EndnoteTextChar"/>
    <w:uiPriority w:val="99"/>
    <w:semiHidden/>
    <w:unhideWhenUsed/>
    <w:rsid w:val="00AB6715"/>
    <w:pPr>
      <w:spacing w:after="0"/>
    </w:pPr>
    <w:rPr>
      <w:sz w:val="20"/>
      <w:szCs w:val="20"/>
    </w:rPr>
  </w:style>
  <w:style w:type="paragraph" w:customStyle="1" w:styleId="Kopf-undFuzeile">
    <w:name w:val="Kopf- und Fußzeile"/>
    <w:basedOn w:val="Normal"/>
    <w:qFormat/>
  </w:style>
  <w:style w:type="paragraph" w:styleId="Footer">
    <w:name w:val="footer"/>
    <w:basedOn w:val="Normal"/>
    <w:link w:val="FooterChar"/>
    <w:uiPriority w:val="99"/>
    <w:unhideWhenUsed/>
    <w:rsid w:val="00AB6715"/>
    <w:pPr>
      <w:tabs>
        <w:tab w:val="center" w:pos="4844"/>
        <w:tab w:val="right" w:pos="9689"/>
      </w:tabs>
      <w:spacing w:after="0"/>
    </w:pPr>
  </w:style>
  <w:style w:type="paragraph" w:styleId="FootnoteText">
    <w:name w:val="footnote text"/>
    <w:basedOn w:val="Normal"/>
    <w:link w:val="FootnoteTextChar"/>
    <w:uiPriority w:val="99"/>
    <w:semiHidden/>
    <w:unhideWhenUsed/>
    <w:rsid w:val="00AB6715"/>
    <w:pPr>
      <w:spacing w:after="0"/>
    </w:pPr>
    <w:rPr>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paragraph" w:styleId="ListParagraph">
    <w:name w:val="List Paragraph"/>
    <w:basedOn w:val="Normal"/>
    <w:uiPriority w:val="3"/>
    <w:qFormat/>
    <w:rsid w:val="00AB6715"/>
    <w:pPr>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Rahmeninhalt">
    <w:name w:val="Rahmeninhalt"/>
    <w:basedOn w:val="Normal"/>
    <w:qFormat/>
  </w:style>
  <w:style w:type="paragraph" w:customStyle="1" w:styleId="FrameContents">
    <w:name w:val="Frame Contents"/>
    <w:basedOn w:val="Normal"/>
    <w:qFormat/>
  </w:style>
  <w:style w:type="numbering" w:customStyle="1" w:styleId="Headings">
    <w:name w:val="Headings"/>
    <w:uiPriority w:val="99"/>
    <w:qFormat/>
    <w:rsid w:val="00AB6715"/>
  </w:style>
  <w:style w:type="table" w:styleId="TableGrid">
    <w:name w:val="Table Grid"/>
    <w:basedOn w:val="TableNormal"/>
    <w:uiPriority w:val="59"/>
    <w:rsid w:val="00AB6715"/>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503</Words>
  <Characters>2869</Characters>
  <Application>Microsoft Office Word</Application>
  <DocSecurity>0</DocSecurity>
  <Lines>23</Lines>
  <Paragraphs>6</Paragraphs>
  <ScaleCrop>false</ScaleCrop>
  <Company>Frontiers Media</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dc:description/>
  <cp:lastModifiedBy>Abigail Rassette</cp:lastModifiedBy>
  <cp:revision>2</cp:revision>
  <cp:lastPrinted>2013-10-03T12:51:00Z</cp:lastPrinted>
  <dcterms:created xsi:type="dcterms:W3CDTF">2023-01-17T10:00:00Z</dcterms:created>
  <dcterms:modified xsi:type="dcterms:W3CDTF">2023-01-17T10:00:00Z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