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E458" w14:textId="77777777" w:rsidR="00B9191D" w:rsidRPr="00F472D0" w:rsidRDefault="00B9191D" w:rsidP="00B9191D">
      <w:pPr>
        <w:spacing w:line="480" w:lineRule="auto"/>
        <w:rPr>
          <w:b/>
          <w:bCs/>
        </w:rPr>
      </w:pPr>
      <w:r>
        <w:rPr>
          <w:b/>
          <w:bCs/>
        </w:rPr>
        <w:t>Effects of</w:t>
      </w:r>
      <w:r w:rsidRPr="00BB31BC">
        <w:rPr>
          <w:b/>
          <w:bCs/>
        </w:rPr>
        <w:t xml:space="preserve"> common full-sib </w:t>
      </w:r>
      <w:r>
        <w:rPr>
          <w:b/>
          <w:bCs/>
        </w:rPr>
        <w:t>families on</w:t>
      </w:r>
      <w:r w:rsidRPr="00BB31BC">
        <w:rPr>
          <w:b/>
          <w:bCs/>
        </w:rPr>
        <w:t xml:space="preserve"> accuracy of genomic prediction for </w:t>
      </w:r>
      <w:r w:rsidRPr="00F472D0">
        <w:rPr>
          <w:b/>
          <w:bCs/>
        </w:rPr>
        <w:t xml:space="preserve">tagging weight in </w:t>
      </w:r>
      <w:r>
        <w:rPr>
          <w:b/>
          <w:bCs/>
        </w:rPr>
        <w:t xml:space="preserve">striped catfish </w:t>
      </w:r>
      <w:proofErr w:type="spellStart"/>
      <w:r w:rsidRPr="00F472D0">
        <w:rPr>
          <w:b/>
          <w:bCs/>
          <w:i/>
          <w:iCs/>
        </w:rPr>
        <w:t>Pangasianodon</w:t>
      </w:r>
      <w:proofErr w:type="spellEnd"/>
      <w:r w:rsidRPr="00F472D0">
        <w:rPr>
          <w:b/>
          <w:bCs/>
          <w:i/>
          <w:iCs/>
        </w:rPr>
        <w:t xml:space="preserve"> </w:t>
      </w:r>
      <w:proofErr w:type="spellStart"/>
      <w:r w:rsidRPr="00F472D0">
        <w:rPr>
          <w:b/>
          <w:bCs/>
          <w:i/>
          <w:iCs/>
        </w:rPr>
        <w:t>hypophthalmus</w:t>
      </w:r>
      <w:proofErr w:type="spellEnd"/>
    </w:p>
    <w:p w14:paraId="6126EB98" w14:textId="307C939D" w:rsidR="00B9191D" w:rsidRPr="00CF2C0C" w:rsidRDefault="00B9191D" w:rsidP="00B9191D">
      <w:pPr>
        <w:spacing w:line="480" w:lineRule="auto"/>
        <w:jc w:val="both"/>
        <w:rPr>
          <w:vertAlign w:val="superscript"/>
        </w:rPr>
      </w:pPr>
      <w:r>
        <w:t xml:space="preserve">Nguyen Thanh </w:t>
      </w:r>
      <w:proofErr w:type="spellStart"/>
      <w:r>
        <w:t>Vu</w:t>
      </w:r>
      <w:r>
        <w:rPr>
          <w:vertAlign w:val="superscript"/>
        </w:rPr>
        <w:t>a,b,c</w:t>
      </w:r>
      <w:proofErr w:type="spellEnd"/>
      <w:r>
        <w:t>, Tran Huu Phuc</w:t>
      </w:r>
      <w:r>
        <w:rPr>
          <w:vertAlign w:val="superscript"/>
        </w:rPr>
        <w:t>c,1</w:t>
      </w:r>
      <w:r w:rsidR="0063400B">
        <w:t xml:space="preserve">, Nguyen Hong </w:t>
      </w:r>
      <w:proofErr w:type="spellStart"/>
      <w:r w:rsidR="0063400B">
        <w:t>Nguyen</w:t>
      </w:r>
      <w:r w:rsidR="0063400B">
        <w:rPr>
          <w:vertAlign w:val="superscript"/>
        </w:rPr>
        <w:t>a,b</w:t>
      </w:r>
      <w:proofErr w:type="spellEnd"/>
      <w:r w:rsidR="0063400B">
        <w:rPr>
          <w:vertAlign w:val="superscript"/>
        </w:rPr>
        <w:t>*</w:t>
      </w:r>
      <w:r w:rsidR="0063400B">
        <w:t xml:space="preserve">, </w:t>
      </w:r>
      <w:r>
        <w:t>and Nguyen Van Sang</w:t>
      </w:r>
      <w:r>
        <w:rPr>
          <w:vertAlign w:val="superscript"/>
        </w:rPr>
        <w:t>c,1,*</w:t>
      </w:r>
    </w:p>
    <w:p w14:paraId="2D290827" w14:textId="77777777" w:rsidR="00B9191D" w:rsidRDefault="00B9191D" w:rsidP="00B9191D">
      <w:pPr>
        <w:spacing w:line="480" w:lineRule="auto"/>
        <w:jc w:val="both"/>
      </w:pPr>
      <w:proofErr w:type="spellStart"/>
      <w:r>
        <w:rPr>
          <w:vertAlign w:val="superscript"/>
        </w:rPr>
        <w:t>a</w:t>
      </w:r>
      <w:r>
        <w:t>School</w:t>
      </w:r>
      <w:proofErr w:type="spellEnd"/>
      <w:r>
        <w:t xml:space="preserve"> of Science, Technology and Engineering, University of the Sunshine Coast, 90 Sippy Downs drive, Sippy Downs, QLD 4556, Australia</w:t>
      </w:r>
    </w:p>
    <w:p w14:paraId="1A2A8328" w14:textId="77777777" w:rsidR="00B9191D" w:rsidRDefault="00B9191D" w:rsidP="00B9191D">
      <w:pPr>
        <w:spacing w:line="480" w:lineRule="auto"/>
        <w:jc w:val="both"/>
      </w:pPr>
      <w:proofErr w:type="spellStart"/>
      <w:r>
        <w:rPr>
          <w:vertAlign w:val="superscript"/>
        </w:rPr>
        <w:t>b</w:t>
      </w:r>
      <w:r>
        <w:t>Center</w:t>
      </w:r>
      <w:proofErr w:type="spellEnd"/>
      <w:r>
        <w:t xml:space="preserve"> for Bio-innovation, University of the Sunshine Coast, Australia</w:t>
      </w:r>
    </w:p>
    <w:p w14:paraId="6BF657D7" w14:textId="77777777" w:rsidR="00B9191D" w:rsidRDefault="00B9191D" w:rsidP="00B9191D">
      <w:pPr>
        <w:spacing w:line="480" w:lineRule="auto"/>
        <w:jc w:val="both"/>
      </w:pPr>
      <w:proofErr w:type="spellStart"/>
      <w:r>
        <w:rPr>
          <w:vertAlign w:val="superscript"/>
        </w:rPr>
        <w:t>c</w:t>
      </w:r>
      <w:r>
        <w:t>Research</w:t>
      </w:r>
      <w:proofErr w:type="spellEnd"/>
      <w:r>
        <w:t xml:space="preserve"> Institute for Aquaculture No.2, 116 Nguyen Dinh Chieu Street, District 1, Ho Chi Minh city, Vietnam</w:t>
      </w:r>
    </w:p>
    <w:p w14:paraId="6494C9CA" w14:textId="77777777" w:rsidR="00B9191D" w:rsidRDefault="00B9191D" w:rsidP="00B9191D">
      <w:pPr>
        <w:spacing w:line="480" w:lineRule="auto"/>
      </w:pPr>
      <w:r>
        <w:rPr>
          <w:vertAlign w:val="superscript"/>
        </w:rPr>
        <w:t>1</w:t>
      </w:r>
      <w:r>
        <w:t>Equal contribution</w:t>
      </w:r>
    </w:p>
    <w:p w14:paraId="3B0E3FCC" w14:textId="77777777" w:rsidR="00B9191D" w:rsidRDefault="00B9191D" w:rsidP="00B9191D">
      <w:pPr>
        <w:spacing w:line="480" w:lineRule="auto"/>
      </w:pPr>
      <w:r>
        <w:t xml:space="preserve">*Correspondence to N.H. Nguyen </w:t>
      </w:r>
      <w:hyperlink r:id="rId6" w:history="1">
        <w:r w:rsidRPr="00FE4FFA">
          <w:rPr>
            <w:rStyle w:val="Hyperlink"/>
          </w:rPr>
          <w:t>nnguyen@usc.edu.au</w:t>
        </w:r>
      </w:hyperlink>
      <w:r>
        <w:t xml:space="preserve"> and N. V. Sang: </w:t>
      </w:r>
      <w:hyperlink r:id="rId7" w:history="1">
        <w:r w:rsidRPr="00905AA0">
          <w:rPr>
            <w:rStyle w:val="Hyperlink"/>
          </w:rPr>
          <w:t>sangnv.ria2@mard.gov.vn</w:t>
        </w:r>
      </w:hyperlink>
      <w:r>
        <w:t xml:space="preserve">  </w:t>
      </w:r>
    </w:p>
    <w:p w14:paraId="15A0BEC5" w14:textId="77777777" w:rsidR="0057602D" w:rsidRDefault="0057602D">
      <w:r>
        <w:br w:type="page"/>
      </w:r>
    </w:p>
    <w:p w14:paraId="223A782A" w14:textId="3E5673AE" w:rsidR="00B9191D" w:rsidRPr="00B61103" w:rsidRDefault="00B9191D" w:rsidP="00B9191D">
      <w:r>
        <w:lastRenderedPageBreak/>
        <w:t>Supplementary Table S1</w:t>
      </w:r>
      <w:r>
        <w:rPr>
          <w:lang w:val="vi-VN"/>
        </w:rPr>
        <w:t>. Variances components</w:t>
      </w:r>
      <w:r>
        <w:t>, heritability</w:t>
      </w:r>
      <w:r>
        <w:rPr>
          <w:lang w:val="vi-VN"/>
        </w:rPr>
        <w:t xml:space="preserve"> estimates </w:t>
      </w:r>
      <w:r>
        <w:t>(h</w:t>
      </w:r>
      <w:r w:rsidRPr="00B61103">
        <w:rPr>
          <w:vertAlign w:val="superscript"/>
        </w:rPr>
        <w:t>2</w:t>
      </w:r>
      <w:r>
        <w:t xml:space="preserve">) </w:t>
      </w:r>
      <w:r>
        <w:rPr>
          <w:lang w:val="vi-VN"/>
        </w:rPr>
        <w:t xml:space="preserve">for tagging weight </w:t>
      </w:r>
      <w:r>
        <w:t>when the common full-sibs were included or excluded from the statistical models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"/>
        <w:gridCol w:w="660"/>
        <w:gridCol w:w="699"/>
        <w:gridCol w:w="1164"/>
        <w:gridCol w:w="716"/>
        <w:gridCol w:w="718"/>
        <w:gridCol w:w="692"/>
        <w:gridCol w:w="1117"/>
        <w:gridCol w:w="1242"/>
        <w:gridCol w:w="17"/>
      </w:tblGrid>
      <w:tr w:rsidR="00B9191D" w14:paraId="5D91F364" w14:textId="77777777" w:rsidTr="00C638C3">
        <w:tc>
          <w:tcPr>
            <w:tcW w:w="1016" w:type="dxa"/>
          </w:tcPr>
          <w:p w14:paraId="3820A4D2" w14:textId="77777777" w:rsidR="00B9191D" w:rsidRDefault="00B9191D" w:rsidP="00C638C3"/>
        </w:tc>
        <w:tc>
          <w:tcPr>
            <w:tcW w:w="2523" w:type="dxa"/>
            <w:gridSpan w:val="3"/>
            <w:vAlign w:val="center"/>
          </w:tcPr>
          <w:p w14:paraId="575FE3A8" w14:textId="77777777" w:rsidR="00B9191D" w:rsidRPr="00F54DBE" w:rsidRDefault="00B9191D" w:rsidP="00C638C3">
            <w:pPr>
              <w:jc w:val="center"/>
              <w:rPr>
                <w:lang w:val="vi-VN"/>
              </w:rPr>
            </w:pPr>
            <w:r>
              <w:t>omission of</w:t>
            </w:r>
            <w:r>
              <w:rPr>
                <w:lang w:val="vi-VN"/>
              </w:rPr>
              <w:t xml:space="preserve"> c</w:t>
            </w:r>
            <w:r w:rsidRPr="00B61103">
              <w:rPr>
                <w:vertAlign w:val="superscript"/>
                <w:lang w:val="vi-VN"/>
              </w:rPr>
              <w:t>2</w:t>
            </w:r>
          </w:p>
        </w:tc>
        <w:tc>
          <w:tcPr>
            <w:tcW w:w="4502" w:type="dxa"/>
            <w:gridSpan w:val="6"/>
            <w:vAlign w:val="center"/>
          </w:tcPr>
          <w:p w14:paraId="14AD75EE" w14:textId="77777777" w:rsidR="00B9191D" w:rsidRDefault="00B9191D" w:rsidP="00C638C3">
            <w:pPr>
              <w:jc w:val="center"/>
            </w:pPr>
            <w:r>
              <w:t>inclusion of</w:t>
            </w:r>
            <w:r>
              <w:rPr>
                <w:lang w:val="vi-VN"/>
              </w:rPr>
              <w:t xml:space="preserve"> c</w:t>
            </w:r>
            <w:r w:rsidRPr="00B61103">
              <w:rPr>
                <w:vertAlign w:val="superscript"/>
                <w:lang w:val="vi-VN"/>
              </w:rPr>
              <w:t>2</w:t>
            </w:r>
          </w:p>
        </w:tc>
      </w:tr>
      <w:tr w:rsidR="00B9191D" w14:paraId="705775F3" w14:textId="77777777" w:rsidTr="00C638C3">
        <w:trPr>
          <w:gridAfter w:val="1"/>
          <w:wAfter w:w="17" w:type="dxa"/>
        </w:trPr>
        <w:tc>
          <w:tcPr>
            <w:tcW w:w="1016" w:type="dxa"/>
          </w:tcPr>
          <w:p w14:paraId="43332B8E" w14:textId="77777777" w:rsidR="00B9191D" w:rsidRDefault="00B9191D" w:rsidP="00C638C3">
            <w:r>
              <w:t>Method</w:t>
            </w:r>
          </w:p>
        </w:tc>
        <w:tc>
          <w:tcPr>
            <w:tcW w:w="660" w:type="dxa"/>
          </w:tcPr>
          <w:p w14:paraId="1D1AB377" w14:textId="77777777" w:rsidR="00B9191D" w:rsidRDefault="003271B6" w:rsidP="00C638C3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99" w:type="dxa"/>
          </w:tcPr>
          <w:p w14:paraId="24639DA5" w14:textId="77777777" w:rsidR="00B9191D" w:rsidRDefault="003271B6" w:rsidP="00C638C3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64" w:type="dxa"/>
          </w:tcPr>
          <w:p w14:paraId="1CA38C60" w14:textId="77777777" w:rsidR="00B9191D" w:rsidRDefault="00B9191D" w:rsidP="00C638C3">
            <w:r>
              <w:rPr>
                <w:rFonts w:ascii="Calibri" w:eastAsia="Calibri" w:hAnsi="Calibri" w:cs="Times New Roman"/>
              </w:rPr>
              <w:t>h</w:t>
            </w:r>
            <w:r w:rsidRPr="00B61103">
              <w:rPr>
                <w:rFonts w:ascii="Calibri" w:eastAsia="Calibri" w:hAnsi="Calibri" w:cs="Times New Roman"/>
                <w:vertAlign w:val="superscript"/>
              </w:rPr>
              <w:t>2</w:t>
            </w: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sym w:font="Symbol" w:char="F0B1"/>
            </w:r>
            <w:r>
              <w:rPr>
                <w:lang w:val="vi-VN"/>
              </w:rPr>
              <w:t xml:space="preserve"> se</w:t>
            </w:r>
          </w:p>
        </w:tc>
        <w:tc>
          <w:tcPr>
            <w:tcW w:w="716" w:type="dxa"/>
          </w:tcPr>
          <w:p w14:paraId="494CF2A6" w14:textId="77777777" w:rsidR="00B9191D" w:rsidRPr="003E7FE9" w:rsidRDefault="003271B6" w:rsidP="00C638C3">
            <w:pPr>
              <w:rPr>
                <w:rFonts w:ascii="Calibri" w:eastAsia="Calibri" w:hAnsi="Calibri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718" w:type="dxa"/>
          </w:tcPr>
          <w:p w14:paraId="2805B7DA" w14:textId="77777777" w:rsidR="00B9191D" w:rsidRDefault="003271B6" w:rsidP="00C638C3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92" w:type="dxa"/>
          </w:tcPr>
          <w:p w14:paraId="7E6AEF19" w14:textId="77777777" w:rsidR="00B9191D" w:rsidRDefault="003271B6" w:rsidP="00C638C3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17" w:type="dxa"/>
          </w:tcPr>
          <w:p w14:paraId="6763882B" w14:textId="77777777" w:rsidR="00B9191D" w:rsidRPr="003E7FE9" w:rsidRDefault="00B9191D" w:rsidP="00C638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</w:t>
            </w:r>
            <w:r w:rsidRPr="00B61103">
              <w:rPr>
                <w:rFonts w:ascii="Calibri" w:eastAsia="Calibri" w:hAnsi="Calibri" w:cs="Times New Roman"/>
                <w:vertAlign w:val="superscript"/>
              </w:rPr>
              <w:t>2</w:t>
            </w: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sym w:font="Symbol" w:char="F0B1"/>
            </w:r>
            <w:r>
              <w:rPr>
                <w:lang w:val="vi-VN"/>
              </w:rPr>
              <w:t xml:space="preserve"> se</w:t>
            </w:r>
          </w:p>
        </w:tc>
        <w:tc>
          <w:tcPr>
            <w:tcW w:w="1242" w:type="dxa"/>
          </w:tcPr>
          <w:p w14:paraId="706BBDA6" w14:textId="77777777" w:rsidR="00B9191D" w:rsidRDefault="00B9191D" w:rsidP="00C638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Pr="00B61103">
              <w:rPr>
                <w:rFonts w:ascii="Calibri" w:eastAsia="Calibri" w:hAnsi="Calibri" w:cs="Times New Roman"/>
                <w:vertAlign w:val="superscript"/>
              </w:rPr>
              <w:t>2</w:t>
            </w: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sym w:font="Symbol" w:char="F0B1"/>
            </w:r>
            <w:r>
              <w:rPr>
                <w:lang w:val="vi-VN"/>
              </w:rPr>
              <w:t xml:space="preserve"> se</w:t>
            </w:r>
          </w:p>
        </w:tc>
      </w:tr>
      <w:tr w:rsidR="00B9191D" w14:paraId="03FBD74E" w14:textId="77777777" w:rsidTr="00C638C3">
        <w:trPr>
          <w:gridAfter w:val="1"/>
          <w:wAfter w:w="17" w:type="dxa"/>
        </w:trPr>
        <w:tc>
          <w:tcPr>
            <w:tcW w:w="1016" w:type="dxa"/>
          </w:tcPr>
          <w:p w14:paraId="6654D3CD" w14:textId="77777777" w:rsidR="00B9191D" w:rsidRDefault="00B9191D" w:rsidP="00C638C3">
            <w:r>
              <w:t>PBLUP</w:t>
            </w:r>
          </w:p>
        </w:tc>
        <w:tc>
          <w:tcPr>
            <w:tcW w:w="660" w:type="dxa"/>
          </w:tcPr>
          <w:p w14:paraId="5F4E484C" w14:textId="77777777" w:rsidR="00B9191D" w:rsidRPr="0026759A" w:rsidRDefault="00B9191D" w:rsidP="00C638C3">
            <w:pPr>
              <w:rPr>
                <w:lang w:val="vi-VN"/>
              </w:rPr>
            </w:pPr>
            <w:r>
              <w:t>52</w:t>
            </w:r>
            <w:r>
              <w:rPr>
                <w:lang w:val="vi-VN"/>
              </w:rPr>
              <w:t>.1</w:t>
            </w:r>
          </w:p>
        </w:tc>
        <w:tc>
          <w:tcPr>
            <w:tcW w:w="699" w:type="dxa"/>
          </w:tcPr>
          <w:p w14:paraId="593869DE" w14:textId="77777777" w:rsidR="00B9191D" w:rsidRPr="000B31A5" w:rsidRDefault="00B9191D" w:rsidP="00C638C3">
            <w:pPr>
              <w:rPr>
                <w:lang w:val="vi-VN"/>
              </w:rPr>
            </w:pPr>
            <w:r>
              <w:t>19</w:t>
            </w:r>
            <w:r>
              <w:rPr>
                <w:lang w:val="vi-VN"/>
              </w:rPr>
              <w:t>.8</w:t>
            </w:r>
          </w:p>
        </w:tc>
        <w:tc>
          <w:tcPr>
            <w:tcW w:w="1164" w:type="dxa"/>
          </w:tcPr>
          <w:p w14:paraId="644256D1" w14:textId="77777777" w:rsidR="00B9191D" w:rsidRPr="00727950" w:rsidRDefault="00B9191D" w:rsidP="00C638C3">
            <w:pPr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.72</w:t>
            </w:r>
            <w:r>
              <w:rPr>
                <w:lang w:val="vi-VN"/>
              </w:rPr>
              <w:sym w:font="Symbol" w:char="F0B1"/>
            </w:r>
            <w:r>
              <w:rPr>
                <w:lang w:val="vi-VN"/>
              </w:rPr>
              <w:t>0.01</w:t>
            </w:r>
          </w:p>
        </w:tc>
        <w:tc>
          <w:tcPr>
            <w:tcW w:w="716" w:type="dxa"/>
          </w:tcPr>
          <w:p w14:paraId="600982B7" w14:textId="77777777" w:rsidR="00B9191D" w:rsidRDefault="00B9191D" w:rsidP="00C638C3">
            <w:r>
              <w:t>22</w:t>
            </w:r>
            <w:r>
              <w:rPr>
                <w:lang w:val="vi-VN"/>
              </w:rPr>
              <w:t>.0</w:t>
            </w:r>
          </w:p>
        </w:tc>
        <w:tc>
          <w:tcPr>
            <w:tcW w:w="718" w:type="dxa"/>
          </w:tcPr>
          <w:p w14:paraId="67E88ACF" w14:textId="77777777" w:rsidR="00B9191D" w:rsidRPr="00727950" w:rsidRDefault="00B9191D" w:rsidP="00C638C3">
            <w:pPr>
              <w:rPr>
                <w:lang w:val="vi-VN"/>
              </w:rPr>
            </w:pPr>
            <w:r>
              <w:t>105</w:t>
            </w:r>
            <w:r>
              <w:rPr>
                <w:lang w:val="vi-VN"/>
              </w:rPr>
              <w:t>.2</w:t>
            </w:r>
          </w:p>
        </w:tc>
        <w:tc>
          <w:tcPr>
            <w:tcW w:w="692" w:type="dxa"/>
          </w:tcPr>
          <w:p w14:paraId="5F22095B" w14:textId="77777777" w:rsidR="00B9191D" w:rsidRPr="00727950" w:rsidRDefault="00B9191D" w:rsidP="00C638C3">
            <w:pPr>
              <w:rPr>
                <w:lang w:val="vi-VN"/>
              </w:rPr>
            </w:pPr>
            <w:r>
              <w:t>20</w:t>
            </w:r>
            <w:r>
              <w:rPr>
                <w:lang w:val="vi-VN"/>
              </w:rPr>
              <w:t>.8</w:t>
            </w:r>
          </w:p>
        </w:tc>
        <w:tc>
          <w:tcPr>
            <w:tcW w:w="1117" w:type="dxa"/>
          </w:tcPr>
          <w:p w14:paraId="37CDBFF3" w14:textId="77777777" w:rsidR="00B9191D" w:rsidRPr="00727950" w:rsidRDefault="00B9191D" w:rsidP="00C638C3">
            <w:pPr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.15</w:t>
            </w:r>
            <w:r>
              <w:rPr>
                <w:lang w:val="vi-VN"/>
              </w:rPr>
              <w:sym w:font="Symbol" w:char="F0B1"/>
            </w:r>
            <w:r>
              <w:rPr>
                <w:lang w:val="vi-VN"/>
              </w:rPr>
              <w:t>0.01</w:t>
            </w:r>
          </w:p>
        </w:tc>
        <w:tc>
          <w:tcPr>
            <w:tcW w:w="1242" w:type="dxa"/>
          </w:tcPr>
          <w:p w14:paraId="6B49A996" w14:textId="77777777" w:rsidR="00B9191D" w:rsidRPr="00727950" w:rsidRDefault="00B9191D" w:rsidP="00C638C3">
            <w:pPr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.71</w:t>
            </w:r>
            <w:r>
              <w:rPr>
                <w:lang w:val="vi-VN"/>
              </w:rPr>
              <w:sym w:font="Symbol" w:char="F0B1"/>
            </w:r>
            <w:r>
              <w:rPr>
                <w:lang w:val="vi-VN"/>
              </w:rPr>
              <w:t xml:space="preserve"> 0.03</w:t>
            </w:r>
          </w:p>
        </w:tc>
      </w:tr>
      <w:tr w:rsidR="00B9191D" w14:paraId="3781F64C" w14:textId="77777777" w:rsidTr="00C638C3">
        <w:trPr>
          <w:gridAfter w:val="1"/>
          <w:wAfter w:w="17" w:type="dxa"/>
        </w:trPr>
        <w:tc>
          <w:tcPr>
            <w:tcW w:w="1016" w:type="dxa"/>
          </w:tcPr>
          <w:p w14:paraId="6F7F8FE5" w14:textId="77777777" w:rsidR="00B9191D" w:rsidRDefault="00B9191D" w:rsidP="00C638C3">
            <w:proofErr w:type="spellStart"/>
            <w:r>
              <w:t>ssGBLUP</w:t>
            </w:r>
            <w:proofErr w:type="spellEnd"/>
          </w:p>
        </w:tc>
        <w:tc>
          <w:tcPr>
            <w:tcW w:w="660" w:type="dxa"/>
          </w:tcPr>
          <w:p w14:paraId="0BC025C0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53</w:t>
            </w:r>
            <w:r w:rsidRPr="00C8331E">
              <w:rPr>
                <w:lang w:val="vi-VN"/>
              </w:rPr>
              <w:t>.0</w:t>
            </w:r>
          </w:p>
        </w:tc>
        <w:tc>
          <w:tcPr>
            <w:tcW w:w="699" w:type="dxa"/>
          </w:tcPr>
          <w:p w14:paraId="6574FD68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19</w:t>
            </w:r>
            <w:r w:rsidRPr="00C8331E">
              <w:rPr>
                <w:lang w:val="vi-VN"/>
              </w:rPr>
              <w:t>.1</w:t>
            </w:r>
          </w:p>
        </w:tc>
        <w:tc>
          <w:tcPr>
            <w:tcW w:w="1164" w:type="dxa"/>
          </w:tcPr>
          <w:p w14:paraId="542A63A2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0</w:t>
            </w:r>
            <w:r w:rsidRPr="00C8331E">
              <w:rPr>
                <w:lang w:val="vi-VN"/>
              </w:rPr>
              <w:t>.74</w:t>
            </w:r>
            <w:r w:rsidRPr="00C8331E">
              <w:rPr>
                <w:lang w:val="vi-VN"/>
              </w:rPr>
              <w:sym w:font="Symbol" w:char="F0B1"/>
            </w:r>
            <w:r w:rsidRPr="00C8331E">
              <w:rPr>
                <w:lang w:val="vi-VN"/>
              </w:rPr>
              <w:t>0.01</w:t>
            </w:r>
          </w:p>
        </w:tc>
        <w:tc>
          <w:tcPr>
            <w:tcW w:w="716" w:type="dxa"/>
          </w:tcPr>
          <w:p w14:paraId="793D2A6B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12</w:t>
            </w:r>
            <w:r w:rsidRPr="00C8331E">
              <w:rPr>
                <w:lang w:val="vi-VN"/>
              </w:rPr>
              <w:t>.0</w:t>
            </w:r>
          </w:p>
        </w:tc>
        <w:tc>
          <w:tcPr>
            <w:tcW w:w="718" w:type="dxa"/>
          </w:tcPr>
          <w:p w14:paraId="3A9152A4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rPr>
                <w:lang w:val="vi-VN"/>
              </w:rPr>
              <w:t>109.1</w:t>
            </w:r>
          </w:p>
        </w:tc>
        <w:tc>
          <w:tcPr>
            <w:tcW w:w="692" w:type="dxa"/>
          </w:tcPr>
          <w:p w14:paraId="741C3C82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25</w:t>
            </w:r>
            <w:r w:rsidRPr="00C8331E">
              <w:rPr>
                <w:lang w:val="vi-VN"/>
              </w:rPr>
              <w:t>.8</w:t>
            </w:r>
          </w:p>
        </w:tc>
        <w:tc>
          <w:tcPr>
            <w:tcW w:w="1117" w:type="dxa"/>
          </w:tcPr>
          <w:p w14:paraId="7A4A4CBF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0</w:t>
            </w:r>
            <w:r w:rsidRPr="00C8331E">
              <w:rPr>
                <w:lang w:val="vi-VN"/>
              </w:rPr>
              <w:t>.08</w:t>
            </w:r>
            <w:r w:rsidRPr="00C8331E">
              <w:rPr>
                <w:lang w:val="vi-VN"/>
              </w:rPr>
              <w:sym w:font="Symbol" w:char="F0B1"/>
            </w:r>
            <w:r w:rsidRPr="00C8331E">
              <w:rPr>
                <w:lang w:val="vi-VN"/>
              </w:rPr>
              <w:t>0.02</w:t>
            </w:r>
          </w:p>
        </w:tc>
        <w:tc>
          <w:tcPr>
            <w:tcW w:w="1242" w:type="dxa"/>
          </w:tcPr>
          <w:p w14:paraId="0F6F2F9B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0</w:t>
            </w:r>
            <w:r w:rsidRPr="00C8331E">
              <w:rPr>
                <w:lang w:val="vi-VN"/>
              </w:rPr>
              <w:t>.74</w:t>
            </w:r>
            <w:r w:rsidRPr="00C8331E">
              <w:rPr>
                <w:lang w:val="vi-VN"/>
              </w:rPr>
              <w:sym w:font="Symbol" w:char="F0B1"/>
            </w:r>
            <w:r w:rsidRPr="00C8331E">
              <w:rPr>
                <w:lang w:val="vi-VN"/>
              </w:rPr>
              <w:t xml:space="preserve"> 0.03</w:t>
            </w:r>
          </w:p>
        </w:tc>
      </w:tr>
      <w:tr w:rsidR="00B9191D" w14:paraId="27C63DF0" w14:textId="77777777" w:rsidTr="00C638C3">
        <w:trPr>
          <w:gridAfter w:val="1"/>
          <w:wAfter w:w="17" w:type="dxa"/>
        </w:trPr>
        <w:tc>
          <w:tcPr>
            <w:tcW w:w="1016" w:type="dxa"/>
          </w:tcPr>
          <w:p w14:paraId="0FD282CD" w14:textId="77777777" w:rsidR="00B9191D" w:rsidRDefault="00B9191D" w:rsidP="00C638C3">
            <w:proofErr w:type="spellStart"/>
            <w:r>
              <w:t>ssGWAS</w:t>
            </w:r>
            <w:proofErr w:type="spellEnd"/>
          </w:p>
        </w:tc>
        <w:tc>
          <w:tcPr>
            <w:tcW w:w="660" w:type="dxa"/>
          </w:tcPr>
          <w:p w14:paraId="19F0A700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52</w:t>
            </w:r>
            <w:r w:rsidRPr="00C8331E">
              <w:rPr>
                <w:lang w:val="vi-VN"/>
              </w:rPr>
              <w:t>.0</w:t>
            </w:r>
          </w:p>
        </w:tc>
        <w:tc>
          <w:tcPr>
            <w:tcW w:w="699" w:type="dxa"/>
          </w:tcPr>
          <w:p w14:paraId="40436B24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19</w:t>
            </w:r>
            <w:r w:rsidRPr="00C8331E">
              <w:rPr>
                <w:lang w:val="vi-VN"/>
              </w:rPr>
              <w:t>.9</w:t>
            </w:r>
          </w:p>
        </w:tc>
        <w:tc>
          <w:tcPr>
            <w:tcW w:w="1164" w:type="dxa"/>
          </w:tcPr>
          <w:p w14:paraId="75720A22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0</w:t>
            </w:r>
            <w:r w:rsidRPr="00C8331E">
              <w:rPr>
                <w:lang w:val="vi-VN"/>
              </w:rPr>
              <w:t>.72</w:t>
            </w:r>
            <w:r w:rsidRPr="00C8331E">
              <w:rPr>
                <w:lang w:val="vi-VN"/>
              </w:rPr>
              <w:sym w:font="Symbol" w:char="F0B1"/>
            </w:r>
            <w:r w:rsidRPr="00C8331E">
              <w:rPr>
                <w:lang w:val="vi-VN"/>
              </w:rPr>
              <w:t>0.01</w:t>
            </w:r>
          </w:p>
        </w:tc>
        <w:tc>
          <w:tcPr>
            <w:tcW w:w="716" w:type="dxa"/>
          </w:tcPr>
          <w:p w14:paraId="32FBB430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19</w:t>
            </w:r>
            <w:r w:rsidRPr="00C8331E">
              <w:rPr>
                <w:lang w:val="vi-VN"/>
              </w:rPr>
              <w:t>.9</w:t>
            </w:r>
          </w:p>
        </w:tc>
        <w:tc>
          <w:tcPr>
            <w:tcW w:w="718" w:type="dxa"/>
          </w:tcPr>
          <w:p w14:paraId="7D3C5666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105</w:t>
            </w:r>
            <w:r w:rsidRPr="00C8331E">
              <w:rPr>
                <w:lang w:val="vi-VN"/>
              </w:rPr>
              <w:t>.4</w:t>
            </w:r>
          </w:p>
        </w:tc>
        <w:tc>
          <w:tcPr>
            <w:tcW w:w="692" w:type="dxa"/>
          </w:tcPr>
          <w:p w14:paraId="0ECB7368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21</w:t>
            </w:r>
            <w:r w:rsidRPr="00C8331E">
              <w:rPr>
                <w:lang w:val="vi-VN"/>
              </w:rPr>
              <w:t>.8</w:t>
            </w:r>
          </w:p>
        </w:tc>
        <w:tc>
          <w:tcPr>
            <w:tcW w:w="1117" w:type="dxa"/>
          </w:tcPr>
          <w:p w14:paraId="2E170312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0</w:t>
            </w:r>
            <w:r w:rsidRPr="00C8331E">
              <w:rPr>
                <w:lang w:val="vi-VN"/>
              </w:rPr>
              <w:t>.14</w:t>
            </w:r>
            <w:r w:rsidRPr="00C8331E">
              <w:rPr>
                <w:lang w:val="vi-VN"/>
              </w:rPr>
              <w:sym w:font="Symbol" w:char="F0B1"/>
            </w:r>
            <w:r w:rsidRPr="00C8331E">
              <w:rPr>
                <w:lang w:val="vi-VN"/>
              </w:rPr>
              <w:t>0.04</w:t>
            </w:r>
          </w:p>
        </w:tc>
        <w:tc>
          <w:tcPr>
            <w:tcW w:w="1242" w:type="dxa"/>
          </w:tcPr>
          <w:p w14:paraId="43DD9C69" w14:textId="77777777" w:rsidR="00B9191D" w:rsidRPr="00C8331E" w:rsidRDefault="00B9191D" w:rsidP="00C638C3">
            <w:pPr>
              <w:rPr>
                <w:lang w:val="vi-VN"/>
              </w:rPr>
            </w:pPr>
            <w:r w:rsidRPr="00C8331E">
              <w:t>0</w:t>
            </w:r>
            <w:r w:rsidRPr="00C8331E">
              <w:rPr>
                <w:lang w:val="vi-VN"/>
              </w:rPr>
              <w:t>.72</w:t>
            </w:r>
            <w:r w:rsidRPr="00C8331E">
              <w:rPr>
                <w:lang w:val="vi-VN"/>
              </w:rPr>
              <w:sym w:font="Symbol" w:char="F0B1"/>
            </w:r>
            <w:r w:rsidRPr="00C8331E">
              <w:rPr>
                <w:lang w:val="vi-VN"/>
              </w:rPr>
              <w:t>0.02</w:t>
            </w:r>
          </w:p>
        </w:tc>
      </w:tr>
    </w:tbl>
    <w:p w14:paraId="535F11A3" w14:textId="1C03BFDF" w:rsidR="00B9191D" w:rsidRDefault="003271B6" w:rsidP="00B9191D">
      <w:pPr>
        <w:rPr>
          <w:rFonts w:eastAsiaTheme="minorEastAsia"/>
          <w:lang w:val="vi-VN"/>
        </w:rPr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,</m:t>
        </m:r>
      </m:oMath>
      <w:r w:rsidR="00B9191D">
        <w:rPr>
          <w:rFonts w:eastAsiaTheme="minorEastAsia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B9191D">
        <w:rPr>
          <w:rFonts w:eastAsiaTheme="minorEastAsia"/>
          <w:lang w:val="vi-VN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B9191D">
        <w:rPr>
          <w:rFonts w:eastAsiaTheme="minorEastAsia"/>
          <w:lang w:val="en-US"/>
        </w:rPr>
        <w:t>are</w:t>
      </w:r>
      <w:r w:rsidR="00B9191D">
        <w:rPr>
          <w:rFonts w:eastAsiaTheme="minorEastAsia"/>
          <w:lang w:val="vi-VN"/>
        </w:rPr>
        <w:t xml:space="preserve"> genetic , common environmental and residual variances</w:t>
      </w:r>
      <w:r w:rsidR="00B9191D">
        <w:rPr>
          <w:rFonts w:eastAsiaTheme="minorEastAsia"/>
          <w:lang w:val="vi-VN"/>
        </w:rPr>
        <w:br w:type="page"/>
      </w:r>
    </w:p>
    <w:p w14:paraId="01347AA7" w14:textId="77777777" w:rsidR="00B9191D" w:rsidRDefault="00B9191D" w:rsidP="00B9191D">
      <w:r>
        <w:lastRenderedPageBreak/>
        <w:t>Supplementary Table S2. Prediction accuracy for tagging weight when the common full-sib families (</w:t>
      </w:r>
      <w:r w:rsidRPr="00D60633">
        <w:rPr>
          <w:i/>
          <w:iCs/>
        </w:rPr>
        <w:t>c</w:t>
      </w:r>
      <w:r w:rsidRPr="00D60633">
        <w:rPr>
          <w:i/>
          <w:iCs/>
          <w:vertAlign w:val="superscript"/>
        </w:rPr>
        <w:t>2</w:t>
      </w:r>
      <w:r>
        <w:t>) were included or excluded in univariate model of AIREMLf90 using original (un-imputed) and imputed genotypes.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180"/>
        <w:gridCol w:w="1158"/>
        <w:gridCol w:w="1604"/>
        <w:gridCol w:w="1180"/>
        <w:gridCol w:w="1083"/>
        <w:gridCol w:w="1604"/>
      </w:tblGrid>
      <w:tr w:rsidR="00B9191D" w14:paraId="589A84D0" w14:textId="77777777" w:rsidTr="00C638C3">
        <w:tc>
          <w:tcPr>
            <w:tcW w:w="1207" w:type="dxa"/>
          </w:tcPr>
          <w:p w14:paraId="55520360" w14:textId="77777777" w:rsidR="00B9191D" w:rsidRDefault="00B9191D" w:rsidP="00C638C3"/>
        </w:tc>
        <w:tc>
          <w:tcPr>
            <w:tcW w:w="3942" w:type="dxa"/>
            <w:gridSpan w:val="3"/>
          </w:tcPr>
          <w:p w14:paraId="4658683F" w14:textId="77777777" w:rsidR="00B9191D" w:rsidRDefault="00B9191D" w:rsidP="00C638C3">
            <w:r>
              <w:t>Original genotype</w:t>
            </w:r>
          </w:p>
        </w:tc>
        <w:tc>
          <w:tcPr>
            <w:tcW w:w="3867" w:type="dxa"/>
            <w:gridSpan w:val="3"/>
          </w:tcPr>
          <w:p w14:paraId="48A40D2E" w14:textId="77777777" w:rsidR="00B9191D" w:rsidRDefault="00B9191D" w:rsidP="00C638C3">
            <w:r>
              <w:t>Imputed genotype</w:t>
            </w:r>
          </w:p>
        </w:tc>
      </w:tr>
      <w:tr w:rsidR="00B9191D" w14:paraId="77548E0E" w14:textId="77777777" w:rsidTr="00C638C3">
        <w:tc>
          <w:tcPr>
            <w:tcW w:w="1207" w:type="dxa"/>
          </w:tcPr>
          <w:p w14:paraId="3AE5F701" w14:textId="77777777" w:rsidR="00B9191D" w:rsidRDefault="00B9191D" w:rsidP="00C638C3">
            <w:r>
              <w:t>Method</w:t>
            </w:r>
          </w:p>
        </w:tc>
        <w:tc>
          <w:tcPr>
            <w:tcW w:w="1180" w:type="dxa"/>
          </w:tcPr>
          <w:p w14:paraId="2341BA3B" w14:textId="77777777" w:rsidR="00B9191D" w:rsidRDefault="00B9191D" w:rsidP="00C638C3">
            <w:r>
              <w:t xml:space="preserve">Without </w:t>
            </w:r>
            <w:r w:rsidRPr="00D60633">
              <w:rPr>
                <w:i/>
                <w:iCs/>
              </w:rPr>
              <w:t>c</w:t>
            </w:r>
            <w:r w:rsidRPr="00D60633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58" w:type="dxa"/>
          </w:tcPr>
          <w:p w14:paraId="2B922D3F" w14:textId="77777777" w:rsidR="00B9191D" w:rsidRDefault="00B9191D" w:rsidP="00C638C3">
            <w:r>
              <w:t xml:space="preserve">With </w:t>
            </w:r>
            <w:r w:rsidRPr="00D60633">
              <w:rPr>
                <w:i/>
                <w:iCs/>
              </w:rPr>
              <w:t>c</w:t>
            </w:r>
            <w:r w:rsidRPr="00D60633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04" w:type="dxa"/>
          </w:tcPr>
          <w:p w14:paraId="21DE8C20" w14:textId="77777777" w:rsidR="00B9191D" w:rsidRDefault="00B9191D" w:rsidP="00C638C3">
            <w:r>
              <w:t>Difference (%)</w:t>
            </w:r>
          </w:p>
        </w:tc>
        <w:tc>
          <w:tcPr>
            <w:tcW w:w="1180" w:type="dxa"/>
          </w:tcPr>
          <w:p w14:paraId="71B270FA" w14:textId="77777777" w:rsidR="00B9191D" w:rsidRDefault="00B9191D" w:rsidP="00C638C3">
            <w:r>
              <w:t xml:space="preserve">Without </w:t>
            </w:r>
            <w:r w:rsidRPr="00D60633">
              <w:rPr>
                <w:i/>
                <w:iCs/>
              </w:rPr>
              <w:t>c</w:t>
            </w:r>
            <w:r w:rsidRPr="00D60633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083" w:type="dxa"/>
          </w:tcPr>
          <w:p w14:paraId="65A5205A" w14:textId="77777777" w:rsidR="00B9191D" w:rsidRDefault="00B9191D" w:rsidP="00C638C3">
            <w:r>
              <w:t xml:space="preserve">With </w:t>
            </w:r>
            <w:r w:rsidRPr="00D60633">
              <w:rPr>
                <w:i/>
                <w:iCs/>
              </w:rPr>
              <w:t>c</w:t>
            </w:r>
            <w:r w:rsidRPr="00D60633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04" w:type="dxa"/>
          </w:tcPr>
          <w:p w14:paraId="0AD70E84" w14:textId="77777777" w:rsidR="00B9191D" w:rsidRDefault="00B9191D" w:rsidP="00C638C3">
            <w:r>
              <w:t>Difference (%)</w:t>
            </w:r>
          </w:p>
        </w:tc>
      </w:tr>
      <w:tr w:rsidR="00B9191D" w14:paraId="5BCFAC23" w14:textId="77777777" w:rsidTr="00C638C3">
        <w:tc>
          <w:tcPr>
            <w:tcW w:w="1207" w:type="dxa"/>
          </w:tcPr>
          <w:p w14:paraId="01DAA075" w14:textId="77777777" w:rsidR="00B9191D" w:rsidRDefault="00B9191D" w:rsidP="00C638C3">
            <w:r>
              <w:t>PBLUP</w:t>
            </w:r>
          </w:p>
        </w:tc>
        <w:tc>
          <w:tcPr>
            <w:tcW w:w="1180" w:type="dxa"/>
          </w:tcPr>
          <w:p w14:paraId="3B4A553D" w14:textId="77777777" w:rsidR="00B9191D" w:rsidRDefault="00B9191D" w:rsidP="00C638C3">
            <w:r>
              <w:t xml:space="preserve">0.6232 </w:t>
            </w:r>
            <w:r>
              <w:rPr>
                <w:rFonts w:cstheme="minorHAnsi"/>
              </w:rPr>
              <w:t>±</w:t>
            </w:r>
            <w:r>
              <w:t xml:space="preserve"> 0.025</w:t>
            </w:r>
          </w:p>
        </w:tc>
        <w:tc>
          <w:tcPr>
            <w:tcW w:w="1158" w:type="dxa"/>
          </w:tcPr>
          <w:p w14:paraId="2DB4C980" w14:textId="77777777" w:rsidR="00B9191D" w:rsidRDefault="00B9191D" w:rsidP="00C638C3">
            <w:r>
              <w:t xml:space="preserve">0.3172 </w:t>
            </w:r>
            <w:r>
              <w:rPr>
                <w:rFonts w:cstheme="minorHAnsi"/>
              </w:rPr>
              <w:t>±</w:t>
            </w:r>
            <w:r>
              <w:t xml:space="preserve"> 0.027</w:t>
            </w:r>
          </w:p>
        </w:tc>
        <w:tc>
          <w:tcPr>
            <w:tcW w:w="1604" w:type="dxa"/>
          </w:tcPr>
          <w:p w14:paraId="0BA2F0CB" w14:textId="77777777" w:rsidR="00B9191D" w:rsidRDefault="00B9191D" w:rsidP="00C638C3">
            <w:r>
              <w:t>96.5</w:t>
            </w:r>
          </w:p>
        </w:tc>
        <w:tc>
          <w:tcPr>
            <w:tcW w:w="1180" w:type="dxa"/>
          </w:tcPr>
          <w:p w14:paraId="04FC658E" w14:textId="77777777" w:rsidR="00B9191D" w:rsidRDefault="00B9191D" w:rsidP="00C638C3">
            <w:proofErr w:type="spellStart"/>
            <w:r>
              <w:t>n.a.</w:t>
            </w:r>
            <w:proofErr w:type="spellEnd"/>
          </w:p>
        </w:tc>
        <w:tc>
          <w:tcPr>
            <w:tcW w:w="1083" w:type="dxa"/>
          </w:tcPr>
          <w:p w14:paraId="61D0A8D7" w14:textId="77777777" w:rsidR="00B9191D" w:rsidRDefault="00B9191D" w:rsidP="00C638C3">
            <w:proofErr w:type="spellStart"/>
            <w:r>
              <w:t>n.a.</w:t>
            </w:r>
            <w:proofErr w:type="spellEnd"/>
          </w:p>
        </w:tc>
        <w:tc>
          <w:tcPr>
            <w:tcW w:w="1604" w:type="dxa"/>
          </w:tcPr>
          <w:p w14:paraId="1CEA190C" w14:textId="77777777" w:rsidR="00B9191D" w:rsidRDefault="00B9191D" w:rsidP="00C638C3"/>
        </w:tc>
      </w:tr>
      <w:tr w:rsidR="00B9191D" w14:paraId="126D1A23" w14:textId="77777777" w:rsidTr="00C638C3">
        <w:tc>
          <w:tcPr>
            <w:tcW w:w="1207" w:type="dxa"/>
          </w:tcPr>
          <w:p w14:paraId="490B9F32" w14:textId="77777777" w:rsidR="00B9191D" w:rsidRDefault="00B9191D" w:rsidP="00C638C3">
            <w:proofErr w:type="spellStart"/>
            <w:r>
              <w:t>ssGBLUP</w:t>
            </w:r>
            <w:proofErr w:type="spellEnd"/>
          </w:p>
        </w:tc>
        <w:tc>
          <w:tcPr>
            <w:tcW w:w="1180" w:type="dxa"/>
          </w:tcPr>
          <w:p w14:paraId="5DE70AE4" w14:textId="77777777" w:rsidR="00B9191D" w:rsidRPr="00C8331E" w:rsidRDefault="00B9191D" w:rsidP="00C638C3">
            <w:r w:rsidRPr="00C8331E">
              <w:t xml:space="preserve">0.6359 </w:t>
            </w:r>
            <w:r w:rsidRPr="00C8331E">
              <w:rPr>
                <w:rFonts w:cstheme="minorHAnsi"/>
              </w:rPr>
              <w:t>±</w:t>
            </w:r>
            <w:r w:rsidRPr="00C8331E">
              <w:t xml:space="preserve"> 0.024</w:t>
            </w:r>
          </w:p>
        </w:tc>
        <w:tc>
          <w:tcPr>
            <w:tcW w:w="1158" w:type="dxa"/>
          </w:tcPr>
          <w:p w14:paraId="0399C2D8" w14:textId="77777777" w:rsidR="00B9191D" w:rsidRPr="00C8331E" w:rsidRDefault="00B9191D" w:rsidP="00C638C3">
            <w:r w:rsidRPr="00C8331E">
              <w:t xml:space="preserve">0.2761 </w:t>
            </w:r>
            <w:r w:rsidRPr="00C8331E">
              <w:rPr>
                <w:rFonts w:cstheme="minorHAnsi"/>
              </w:rPr>
              <w:t>±</w:t>
            </w:r>
            <w:r w:rsidRPr="00C8331E">
              <w:t xml:space="preserve"> 0.025</w:t>
            </w:r>
          </w:p>
        </w:tc>
        <w:tc>
          <w:tcPr>
            <w:tcW w:w="1604" w:type="dxa"/>
          </w:tcPr>
          <w:p w14:paraId="3CD48F2B" w14:textId="77777777" w:rsidR="00B9191D" w:rsidRPr="00C8331E" w:rsidRDefault="00B9191D" w:rsidP="00C638C3">
            <w:r w:rsidRPr="00C8331E">
              <w:t>130.3</w:t>
            </w:r>
          </w:p>
        </w:tc>
        <w:tc>
          <w:tcPr>
            <w:tcW w:w="1180" w:type="dxa"/>
          </w:tcPr>
          <w:p w14:paraId="41852F06" w14:textId="77777777" w:rsidR="00B9191D" w:rsidRPr="00C8331E" w:rsidRDefault="00B9191D" w:rsidP="00C638C3">
            <w:r w:rsidRPr="00C8331E">
              <w:t xml:space="preserve">0.6359 </w:t>
            </w:r>
            <w:r w:rsidRPr="00C8331E">
              <w:rPr>
                <w:rFonts w:cstheme="minorHAnsi"/>
              </w:rPr>
              <w:t>±</w:t>
            </w:r>
            <w:r w:rsidRPr="00C8331E">
              <w:t xml:space="preserve"> 0.024</w:t>
            </w:r>
          </w:p>
        </w:tc>
        <w:tc>
          <w:tcPr>
            <w:tcW w:w="1083" w:type="dxa"/>
          </w:tcPr>
          <w:p w14:paraId="2D69E12E" w14:textId="77777777" w:rsidR="00B9191D" w:rsidRPr="00C8331E" w:rsidRDefault="00B9191D" w:rsidP="00C638C3">
            <w:r w:rsidRPr="00C8331E">
              <w:t xml:space="preserve">0.3114 </w:t>
            </w:r>
            <w:r w:rsidRPr="00C8331E">
              <w:rPr>
                <w:rFonts w:cstheme="minorHAnsi"/>
              </w:rPr>
              <w:t>±</w:t>
            </w:r>
            <w:r w:rsidRPr="00C8331E">
              <w:t xml:space="preserve"> 0.027</w:t>
            </w:r>
          </w:p>
        </w:tc>
        <w:tc>
          <w:tcPr>
            <w:tcW w:w="1604" w:type="dxa"/>
          </w:tcPr>
          <w:p w14:paraId="51F0800B" w14:textId="77777777" w:rsidR="00B9191D" w:rsidRPr="00C8331E" w:rsidRDefault="00B9191D" w:rsidP="00C638C3">
            <w:r w:rsidRPr="00C8331E">
              <w:t>104.2</w:t>
            </w:r>
          </w:p>
        </w:tc>
      </w:tr>
      <w:tr w:rsidR="00B9191D" w14:paraId="3F394D0C" w14:textId="77777777" w:rsidTr="00C638C3">
        <w:tc>
          <w:tcPr>
            <w:tcW w:w="1207" w:type="dxa"/>
          </w:tcPr>
          <w:p w14:paraId="7E907904" w14:textId="77777777" w:rsidR="00B9191D" w:rsidRDefault="00B9191D" w:rsidP="00C638C3">
            <w:proofErr w:type="spellStart"/>
            <w:r>
              <w:t>ssGWAS</w:t>
            </w:r>
            <w:proofErr w:type="spellEnd"/>
          </w:p>
        </w:tc>
        <w:tc>
          <w:tcPr>
            <w:tcW w:w="1180" w:type="dxa"/>
          </w:tcPr>
          <w:p w14:paraId="077F9986" w14:textId="77777777" w:rsidR="00B9191D" w:rsidRPr="00C8331E" w:rsidRDefault="00B9191D" w:rsidP="00C638C3">
            <w:r w:rsidRPr="00C8331E">
              <w:t xml:space="preserve">0.6575 </w:t>
            </w:r>
            <w:r w:rsidRPr="00C8331E">
              <w:rPr>
                <w:rFonts w:cstheme="minorHAnsi"/>
              </w:rPr>
              <w:t>±</w:t>
            </w:r>
            <w:r w:rsidRPr="00C8331E">
              <w:t xml:space="preserve"> 0.022</w:t>
            </w:r>
          </w:p>
        </w:tc>
        <w:tc>
          <w:tcPr>
            <w:tcW w:w="1158" w:type="dxa"/>
          </w:tcPr>
          <w:p w14:paraId="453161F3" w14:textId="77777777" w:rsidR="00B9191D" w:rsidRPr="00C8331E" w:rsidRDefault="00B9191D" w:rsidP="00C638C3">
            <w:r w:rsidRPr="00C8331E">
              <w:t xml:space="preserve">0.3264 </w:t>
            </w:r>
            <w:r w:rsidRPr="00C8331E">
              <w:rPr>
                <w:rFonts w:cstheme="minorHAnsi"/>
              </w:rPr>
              <w:t>±</w:t>
            </w:r>
            <w:r w:rsidRPr="00C8331E">
              <w:t xml:space="preserve"> 0.026</w:t>
            </w:r>
          </w:p>
        </w:tc>
        <w:tc>
          <w:tcPr>
            <w:tcW w:w="1604" w:type="dxa"/>
          </w:tcPr>
          <w:p w14:paraId="128790EE" w14:textId="77777777" w:rsidR="00B9191D" w:rsidRPr="00C8331E" w:rsidRDefault="00B9191D" w:rsidP="00C638C3">
            <w:r w:rsidRPr="00C8331E">
              <w:t>101.4</w:t>
            </w:r>
          </w:p>
        </w:tc>
        <w:tc>
          <w:tcPr>
            <w:tcW w:w="1180" w:type="dxa"/>
          </w:tcPr>
          <w:p w14:paraId="75CFB248" w14:textId="77777777" w:rsidR="00B9191D" w:rsidRPr="00C8331E" w:rsidRDefault="00B9191D" w:rsidP="00C638C3">
            <w:r w:rsidRPr="00C8331E">
              <w:t xml:space="preserve">0.6575 </w:t>
            </w:r>
            <w:r w:rsidRPr="00C8331E">
              <w:rPr>
                <w:rFonts w:cstheme="minorHAnsi"/>
              </w:rPr>
              <w:t>±</w:t>
            </w:r>
            <w:r w:rsidRPr="00C8331E">
              <w:t xml:space="preserve"> 0.022</w:t>
            </w:r>
          </w:p>
        </w:tc>
        <w:tc>
          <w:tcPr>
            <w:tcW w:w="1083" w:type="dxa"/>
          </w:tcPr>
          <w:p w14:paraId="3BF75A5C" w14:textId="77777777" w:rsidR="00B9191D" w:rsidRPr="00C8331E" w:rsidRDefault="00B9191D" w:rsidP="00C638C3">
            <w:r w:rsidRPr="00C8331E">
              <w:t xml:space="preserve">0.3114 </w:t>
            </w:r>
            <w:r w:rsidRPr="00C8331E">
              <w:rPr>
                <w:rFonts w:cstheme="minorHAnsi"/>
              </w:rPr>
              <w:t>± 0.034</w:t>
            </w:r>
          </w:p>
        </w:tc>
        <w:tc>
          <w:tcPr>
            <w:tcW w:w="1604" w:type="dxa"/>
          </w:tcPr>
          <w:p w14:paraId="1B524BF9" w14:textId="77777777" w:rsidR="00B9191D" w:rsidRPr="00C8331E" w:rsidRDefault="00B9191D" w:rsidP="00C638C3">
            <w:r w:rsidRPr="00C8331E">
              <w:t>111.1</w:t>
            </w:r>
          </w:p>
        </w:tc>
      </w:tr>
    </w:tbl>
    <w:p w14:paraId="2F10082A" w14:textId="77777777" w:rsidR="00344659" w:rsidRDefault="00B9191D">
      <w:proofErr w:type="spellStart"/>
      <w:r>
        <w:t>n.a.</w:t>
      </w:r>
      <w:proofErr w:type="spellEnd"/>
      <w:r>
        <w:t xml:space="preserve"> = not available (PBLUP uses phenotype and pedigree information only)</w:t>
      </w:r>
    </w:p>
    <w:p w14:paraId="41A9BA54" w14:textId="2D96C9E0" w:rsidR="00A606BF" w:rsidRDefault="00344659" w:rsidP="00A606BF">
      <w:r>
        <w:br w:type="column"/>
      </w:r>
      <w:r w:rsidR="002343F2">
        <w:lastRenderedPageBreak/>
        <w:t>Supplementary Table S3</w:t>
      </w:r>
      <w:r w:rsidR="00A606BF">
        <w:t xml:space="preserve">: </w:t>
      </w:r>
      <w:r w:rsidR="0083682C">
        <w:t>C</w:t>
      </w:r>
      <w:r w:rsidR="00A606BF">
        <w:t xml:space="preserve">orrelation of estimated breeding values </w:t>
      </w:r>
      <w:r w:rsidR="0083682C">
        <w:t xml:space="preserve"> for tag weight between the two statistical models (with and without c</w:t>
      </w:r>
      <w:r w:rsidR="0083682C" w:rsidRPr="009F019E">
        <w:rPr>
          <w:vertAlign w:val="superscript"/>
        </w:rPr>
        <w:t>2</w:t>
      </w:r>
      <w:r w:rsidR="0083682C">
        <w:t>)</w:t>
      </w:r>
      <w:r w:rsidR="00A606BF">
        <w:t>.</w:t>
      </w:r>
    </w:p>
    <w:tbl>
      <w:tblPr>
        <w:tblW w:w="8466" w:type="dxa"/>
        <w:tblLook w:val="04A0" w:firstRow="1" w:lastRow="0" w:firstColumn="1" w:lastColumn="0" w:noHBand="0" w:noVBand="1"/>
      </w:tblPr>
      <w:tblGrid>
        <w:gridCol w:w="1540"/>
        <w:gridCol w:w="1300"/>
        <w:gridCol w:w="1532"/>
        <w:gridCol w:w="1488"/>
        <w:gridCol w:w="1300"/>
        <w:gridCol w:w="1306"/>
      </w:tblGrid>
      <w:tr w:rsidR="006438B5" w:rsidRPr="006438B5" w14:paraId="3F5FB8D8" w14:textId="77777777" w:rsidTr="009F019E">
        <w:trPr>
          <w:trHeight w:val="288"/>
        </w:trPr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25799" w14:textId="29CC30B4" w:rsidR="006438B5" w:rsidRPr="006438B5" w:rsidRDefault="006438B5" w:rsidP="00643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Methods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8D48" w14:textId="6335E683" w:rsidR="006438B5" w:rsidRPr="006438B5" w:rsidRDefault="006438B5" w:rsidP="00643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BLUP_</w:t>
            </w:r>
            <w:r w:rsidR="009F019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without </w:t>
            </w:r>
            <w:r w:rsidR="009F019E">
              <w:t>c</w:t>
            </w:r>
            <w:r w:rsidR="009F019E" w:rsidRPr="009F019E">
              <w:rPr>
                <w:vertAlign w:val="superscript"/>
              </w:rPr>
              <w:t>2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3D101" w14:textId="668C94C9" w:rsidR="006438B5" w:rsidRPr="006438B5" w:rsidRDefault="006438B5" w:rsidP="00643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proofErr w:type="spellStart"/>
            <w:r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ssGBLUP</w:t>
            </w:r>
            <w:proofErr w:type="spellEnd"/>
            <w:r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_</w:t>
            </w:r>
            <w:r w:rsidR="009F019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without</w:t>
            </w:r>
            <w:r w:rsidR="009F019E"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 w:rsidR="009F019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 w:rsidR="009F019E">
              <w:t>c</w:t>
            </w:r>
            <w:r w:rsidR="009F019E" w:rsidRPr="009F019E">
              <w:rPr>
                <w:vertAlign w:val="superscript"/>
              </w:rPr>
              <w:t>2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60900" w14:textId="05B3EBDB" w:rsidR="006438B5" w:rsidRPr="006438B5" w:rsidRDefault="006438B5" w:rsidP="00643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proofErr w:type="spellStart"/>
            <w:r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ssGWAS</w:t>
            </w:r>
            <w:proofErr w:type="spellEnd"/>
            <w:r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_</w:t>
            </w:r>
            <w:r w:rsidR="009F019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without</w:t>
            </w:r>
            <w:r w:rsidR="009F019E"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 w:rsidR="009F019E">
              <w:t>c</w:t>
            </w:r>
            <w:r w:rsidR="009F019E" w:rsidRPr="009F019E">
              <w:rPr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2596" w14:textId="7A4275A4" w:rsidR="006438B5" w:rsidRPr="006438B5" w:rsidRDefault="006438B5" w:rsidP="00643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proofErr w:type="spellStart"/>
            <w:r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BLUP</w:t>
            </w:r>
            <w:r w:rsidR="009F019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with</w:t>
            </w:r>
            <w:proofErr w:type="spellEnd"/>
            <w:r w:rsidR="009F019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 w:rsidR="009F019E">
              <w:t>c</w:t>
            </w:r>
            <w:r w:rsidR="009F019E" w:rsidRPr="009F019E">
              <w:rPr>
                <w:vertAlign w:val="superscript"/>
              </w:rPr>
              <w:t>2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2A423" w14:textId="5F4DE6F2" w:rsidR="006438B5" w:rsidRPr="006438B5" w:rsidRDefault="006438B5" w:rsidP="00643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proofErr w:type="spellStart"/>
            <w:r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ssGBLUP</w:t>
            </w:r>
            <w:proofErr w:type="spellEnd"/>
            <w:r w:rsidR="009F019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with</w:t>
            </w:r>
            <w:r w:rsidRPr="006438B5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_</w:t>
            </w:r>
            <w:r w:rsidR="009F019E">
              <w:t xml:space="preserve"> c</w:t>
            </w:r>
            <w:r w:rsidR="009F019E" w:rsidRPr="009F019E">
              <w:rPr>
                <w:vertAlign w:val="superscript"/>
              </w:rPr>
              <w:t>2</w:t>
            </w:r>
          </w:p>
        </w:tc>
      </w:tr>
      <w:tr w:rsidR="006438B5" w:rsidRPr="006438B5" w14:paraId="789E90F6" w14:textId="77777777" w:rsidTr="009F019E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093" w14:textId="5B7A7982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>ssGBLUP</w:t>
            </w:r>
            <w:proofErr w:type="spellEnd"/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>_</w:t>
            </w:r>
            <w:r w:rsidR="009F019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without</w:t>
            </w:r>
            <w:r w:rsidR="009F019E"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9F019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9F019E">
              <w:t>c</w:t>
            </w:r>
            <w:r w:rsidR="009F019E" w:rsidRPr="009F019E">
              <w:rPr>
                <w:vertAlign w:val="superscript"/>
              </w:rPr>
              <w:t>2</w:t>
            </w: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3FA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0.793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E016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85E8" w14:textId="77777777" w:rsidR="006438B5" w:rsidRPr="006438B5" w:rsidRDefault="006438B5" w:rsidP="0064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EDEC" w14:textId="77777777" w:rsidR="006438B5" w:rsidRPr="006438B5" w:rsidRDefault="006438B5" w:rsidP="0064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4C00" w14:textId="77777777" w:rsidR="006438B5" w:rsidRPr="006438B5" w:rsidRDefault="006438B5" w:rsidP="0064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438B5" w:rsidRPr="006438B5" w14:paraId="2A988E94" w14:textId="77777777" w:rsidTr="009F019E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BF5" w14:textId="3756904B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>ssGWAS</w:t>
            </w:r>
            <w:proofErr w:type="spellEnd"/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>_</w:t>
            </w:r>
            <w:r w:rsidR="009F019E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without</w:t>
            </w:r>
            <w:r w:rsidR="009F019E"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9F019E">
              <w:t>c</w:t>
            </w:r>
            <w:r w:rsidR="009F019E" w:rsidRPr="009F019E">
              <w:rPr>
                <w:vertAlign w:val="superscript"/>
              </w:rPr>
              <w:t>2</w:t>
            </w: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8A1B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0.776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EA46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0.827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FAD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F711" w14:textId="77777777" w:rsidR="006438B5" w:rsidRPr="006438B5" w:rsidRDefault="006438B5" w:rsidP="0064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425B" w14:textId="77777777" w:rsidR="006438B5" w:rsidRPr="006438B5" w:rsidRDefault="006438B5" w:rsidP="0064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438B5" w:rsidRPr="006438B5" w14:paraId="557C5BF9" w14:textId="77777777" w:rsidTr="009F019E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7E5C" w14:textId="62A81BD3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>BLUP</w:t>
            </w:r>
            <w:r w:rsidR="009F019E">
              <w:rPr>
                <w:rFonts w:ascii="Calibri" w:eastAsia="Times New Roman" w:hAnsi="Calibri" w:cs="Calibri"/>
                <w:color w:val="000000"/>
                <w:lang w:eastAsia="en-AU"/>
              </w:rPr>
              <w:t>with</w:t>
            </w:r>
            <w:proofErr w:type="spellEnd"/>
            <w:r w:rsidR="009F019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9F019E">
              <w:t>c</w:t>
            </w:r>
            <w:r w:rsidR="009F019E" w:rsidRPr="009F019E">
              <w:rPr>
                <w:vertAlign w:val="superscript"/>
              </w:rPr>
              <w:t>2</w:t>
            </w: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9D66AE9" w14:textId="77777777" w:rsidR="006438B5" w:rsidRPr="009F019E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AU"/>
              </w:rPr>
            </w:pPr>
            <w:r w:rsidRPr="009F019E">
              <w:rPr>
                <w:rFonts w:ascii="Calibri" w:eastAsia="Times New Roman" w:hAnsi="Calibri" w:cs="Calibri"/>
                <w:color w:val="000000"/>
                <w:highlight w:val="yellow"/>
                <w:lang w:eastAsia="en-AU"/>
              </w:rPr>
              <w:t xml:space="preserve">              0.615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3E2B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0.318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C313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0.454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865E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B584" w14:textId="77777777" w:rsidR="006438B5" w:rsidRPr="006438B5" w:rsidRDefault="006438B5" w:rsidP="0064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438B5" w:rsidRPr="006438B5" w14:paraId="798E750D" w14:textId="77777777" w:rsidTr="009F019E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330" w14:textId="6ABDB35E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>ssGBLUP</w:t>
            </w:r>
            <w:proofErr w:type="spellEnd"/>
            <w:r w:rsidR="009F019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with</w:t>
            </w: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>_</w:t>
            </w:r>
            <w:r w:rsidR="009F019E">
              <w:t xml:space="preserve"> c</w:t>
            </w:r>
            <w:r w:rsidR="009F019E" w:rsidRPr="009F019E">
              <w:rPr>
                <w:vertAlign w:val="superscript"/>
              </w:rPr>
              <w:t>2</w:t>
            </w: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5936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0.464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3FA3F1C" w14:textId="77777777" w:rsidR="006438B5" w:rsidRPr="009F019E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AU"/>
              </w:rPr>
            </w:pPr>
            <w:r w:rsidRPr="009F019E">
              <w:rPr>
                <w:rFonts w:ascii="Calibri" w:eastAsia="Times New Roman" w:hAnsi="Calibri" w:cs="Calibri"/>
                <w:color w:val="000000"/>
                <w:highlight w:val="yellow"/>
                <w:lang w:eastAsia="en-AU"/>
              </w:rPr>
              <w:t xml:space="preserve">                 0.295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14D9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0.364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B674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0.863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5003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438B5" w:rsidRPr="006438B5" w14:paraId="037DC33C" w14:textId="77777777" w:rsidTr="009F019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D7E90" w14:textId="4278D35F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>ssGWAS</w:t>
            </w:r>
            <w:proofErr w:type="spellEnd"/>
            <w:r w:rsidR="009F019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with</w:t>
            </w: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>_</w:t>
            </w:r>
            <w:r w:rsidR="009F019E">
              <w:t xml:space="preserve"> c</w:t>
            </w:r>
            <w:r w:rsidR="009F019E" w:rsidRPr="009F019E">
              <w:rPr>
                <w:vertAlign w:val="superscript"/>
              </w:rPr>
              <w:t>2</w:t>
            </w: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D4A7C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0.464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274D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0.295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1938DE9" w14:textId="77777777" w:rsidR="006438B5" w:rsidRPr="009F019E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AU"/>
              </w:rPr>
            </w:pPr>
            <w:r w:rsidRPr="009F019E">
              <w:rPr>
                <w:rFonts w:ascii="Calibri" w:eastAsia="Times New Roman" w:hAnsi="Calibri" w:cs="Calibri"/>
                <w:color w:val="000000"/>
                <w:highlight w:val="yellow"/>
                <w:lang w:eastAsia="en-AU"/>
              </w:rPr>
              <w:t xml:space="preserve">                0.364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814CA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0.863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24780" w14:textId="77777777" w:rsidR="006438B5" w:rsidRPr="006438B5" w:rsidRDefault="006438B5" w:rsidP="00643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38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1.000 </w:t>
            </w:r>
          </w:p>
        </w:tc>
      </w:tr>
    </w:tbl>
    <w:p w14:paraId="275DF58B" w14:textId="77777777" w:rsidR="00A606BF" w:rsidRDefault="00A606BF" w:rsidP="00A606BF"/>
    <w:p w14:paraId="7404AB64" w14:textId="127258E9" w:rsidR="00241C28" w:rsidRDefault="00B9191D">
      <w:r>
        <w:fldChar w:fldCharType="begin"/>
      </w:r>
      <w:r>
        <w:instrText xml:space="preserve"> ADDIN </w:instrText>
      </w:r>
      <w:r>
        <w:fldChar w:fldCharType="end"/>
      </w:r>
    </w:p>
    <w:sectPr w:rsidR="00241C28" w:rsidSect="00EC70AA">
      <w:footerReference w:type="default" r:id="rId8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218A" w14:textId="77777777" w:rsidR="003271B6" w:rsidRDefault="003271B6">
      <w:pPr>
        <w:spacing w:after="0" w:line="240" w:lineRule="auto"/>
      </w:pPr>
      <w:r>
        <w:separator/>
      </w:r>
    </w:p>
  </w:endnote>
  <w:endnote w:type="continuationSeparator" w:id="0">
    <w:p w14:paraId="39013422" w14:textId="77777777" w:rsidR="003271B6" w:rsidRDefault="0032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9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764C5" w14:textId="77777777" w:rsidR="005213BB" w:rsidRDefault="00B9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18DA4" w14:textId="77777777" w:rsidR="005213BB" w:rsidRDefault="00327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90E2" w14:textId="77777777" w:rsidR="003271B6" w:rsidRDefault="003271B6">
      <w:pPr>
        <w:spacing w:after="0" w:line="240" w:lineRule="auto"/>
      </w:pPr>
      <w:r>
        <w:separator/>
      </w:r>
    </w:p>
  </w:footnote>
  <w:footnote w:type="continuationSeparator" w:id="0">
    <w:p w14:paraId="45FC54DD" w14:textId="77777777" w:rsidR="003271B6" w:rsidRDefault="00327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1D"/>
    <w:rsid w:val="0007149D"/>
    <w:rsid w:val="002343F2"/>
    <w:rsid w:val="00241C28"/>
    <w:rsid w:val="003271B6"/>
    <w:rsid w:val="00344659"/>
    <w:rsid w:val="0051190B"/>
    <w:rsid w:val="0057602D"/>
    <w:rsid w:val="005B2FF9"/>
    <w:rsid w:val="005F2162"/>
    <w:rsid w:val="0063400B"/>
    <w:rsid w:val="006438B5"/>
    <w:rsid w:val="006B6263"/>
    <w:rsid w:val="0083682C"/>
    <w:rsid w:val="00980F48"/>
    <w:rsid w:val="009F019E"/>
    <w:rsid w:val="00A606BF"/>
    <w:rsid w:val="00A80C44"/>
    <w:rsid w:val="00AC3EC5"/>
    <w:rsid w:val="00B9191D"/>
    <w:rsid w:val="00BA1D1E"/>
    <w:rsid w:val="00C16EA5"/>
    <w:rsid w:val="00C74CCF"/>
    <w:rsid w:val="00D00204"/>
    <w:rsid w:val="00D94F0C"/>
    <w:rsid w:val="00E53259"/>
    <w:rsid w:val="00E72F73"/>
    <w:rsid w:val="00F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4161"/>
  <w15:chartTrackingRefBased/>
  <w15:docId w15:val="{04990EDA-D447-4AE8-9667-41FCB7E7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1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1D"/>
  </w:style>
  <w:style w:type="table" w:styleId="TableGrid">
    <w:name w:val="Table Grid"/>
    <w:basedOn w:val="TableNormal"/>
    <w:uiPriority w:val="39"/>
    <w:rsid w:val="00B919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9191D"/>
  </w:style>
  <w:style w:type="character" w:styleId="Hyperlink">
    <w:name w:val="Hyperlink"/>
    <w:basedOn w:val="DefaultParagraphFont"/>
    <w:uiPriority w:val="99"/>
    <w:unhideWhenUsed/>
    <w:rsid w:val="00B91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ngnv.ria2@mard.gov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nguyen@usc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Sunshine Coast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Nguyen</dc:creator>
  <cp:keywords/>
  <dc:description/>
  <cp:lastModifiedBy>Nguyen Nguyen</cp:lastModifiedBy>
  <cp:revision>3</cp:revision>
  <dcterms:created xsi:type="dcterms:W3CDTF">2022-12-09T23:26:00Z</dcterms:created>
  <dcterms:modified xsi:type="dcterms:W3CDTF">2022-12-09T23:26:00Z</dcterms:modified>
</cp:coreProperties>
</file>