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644C4AB8" w:rsidR="00EA3D3C" w:rsidRDefault="00654E8F" w:rsidP="00525FE7">
      <w:pPr>
        <w:pStyle w:val="Heading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2559BB">
        <w:t>Table</w:t>
      </w:r>
    </w:p>
    <w:p w14:paraId="48C10204" w14:textId="324C1315" w:rsidR="002559BB" w:rsidRPr="002559BB" w:rsidRDefault="002559BB" w:rsidP="002559BB">
      <w:pPr>
        <w:pStyle w:val="Heading1"/>
        <w:numPr>
          <w:ilvl w:val="0"/>
          <w:numId w:val="0"/>
        </w:numPr>
        <w:rPr>
          <w:b w:val="0"/>
        </w:rPr>
      </w:pPr>
      <w:r w:rsidRPr="00525FE7">
        <w:rPr>
          <w:bCs/>
        </w:rPr>
        <w:t xml:space="preserve">Table </w:t>
      </w:r>
      <w:r w:rsidRPr="00525FE7">
        <w:rPr>
          <w:bCs/>
        </w:rPr>
        <w:t>S1</w:t>
      </w:r>
      <w:r w:rsidRPr="002559BB">
        <w:rPr>
          <w:b w:val="0"/>
        </w:rPr>
        <w:t xml:space="preserve">. </w:t>
      </w:r>
      <w:r>
        <w:rPr>
          <w:b w:val="0"/>
        </w:rPr>
        <w:t>Beta and gamma tocopherol</w:t>
      </w:r>
      <w:r w:rsidRPr="002559BB">
        <w:rPr>
          <w:b w:val="0"/>
        </w:rPr>
        <w:t xml:space="preserve"> content of the different mayonnaise during different storage days (day 0 to 28), including the relative tocopherol consumption during storage (RC%)</w:t>
      </w:r>
    </w:p>
    <w:tbl>
      <w:tblPr>
        <w:tblStyle w:val="ListTable7Colorful"/>
        <w:tblpPr w:leftFromText="142" w:rightFromText="142" w:vertAnchor="text" w:horzAnchor="margin" w:tblpY="209"/>
        <w:tblOverlap w:val="never"/>
        <w:tblW w:w="458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122"/>
        <w:gridCol w:w="1119"/>
        <w:gridCol w:w="1119"/>
        <w:gridCol w:w="1119"/>
        <w:gridCol w:w="1119"/>
        <w:gridCol w:w="1126"/>
        <w:gridCol w:w="1122"/>
      </w:tblGrid>
      <w:tr w:rsidR="002559BB" w:rsidRPr="002559BB" w14:paraId="6BAE48BC" w14:textId="77777777" w:rsidTr="00575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3A1B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  <w:lang w:val="en-US"/>
              </w:rPr>
            </w:pP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FCF1CF" w14:textId="77777777" w:rsidR="002559BB" w:rsidRPr="002559BB" w:rsidRDefault="002559BB" w:rsidP="0057572A">
            <w:pPr>
              <w:pStyle w:val="MDPI42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hAnsi="Times New Roman"/>
                <w:i w:val="0"/>
                <w:iCs w:val="0"/>
              </w:rPr>
              <w:t>Storage Day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3711" w14:textId="77777777" w:rsidR="002559BB" w:rsidRPr="002559BB" w:rsidRDefault="002559BB" w:rsidP="0057572A">
            <w:pPr>
              <w:pStyle w:val="MDPI42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iCs w:val="0"/>
              </w:rPr>
            </w:pPr>
          </w:p>
        </w:tc>
      </w:tr>
      <w:tr w:rsidR="002559BB" w:rsidRPr="002559BB" w14:paraId="114FF652" w14:textId="77777777" w:rsidTr="0057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hideMark/>
          </w:tcPr>
          <w:p w14:paraId="18295208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hAnsi="Times New Roman"/>
                <w:i w:val="0"/>
                <w:iCs w:val="0"/>
              </w:rPr>
              <w:t>Sample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43CBF85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98C1727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E60F1BB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7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268679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14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901AD65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21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65C293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28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654CD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RC%</w:t>
            </w:r>
            <w:r w:rsidRPr="002559BB">
              <w:rPr>
                <w:rFonts w:ascii="Times New Roman" w:hAnsi="Times New Roman"/>
                <w:vertAlign w:val="superscript"/>
              </w:rPr>
              <w:t>§</w:t>
            </w:r>
          </w:p>
        </w:tc>
      </w:tr>
      <w:tr w:rsidR="002559BB" w:rsidRPr="002559BB" w14:paraId="5F697B73" w14:textId="77777777" w:rsidTr="0057572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3A963F5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375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46C825F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2559BB">
              <w:rPr>
                <w:rFonts w:ascii="Times New Roman" w:hAnsi="Times New Roman"/>
                <w:lang w:val="en-US"/>
              </w:rPr>
              <w:t>Beta-tocopherol (µg/g oil)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26494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</w:p>
        </w:tc>
      </w:tr>
      <w:tr w:rsidR="002559BB" w:rsidRPr="002559BB" w14:paraId="405350B3" w14:textId="77777777" w:rsidTr="0057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B1C404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eastAsiaTheme="majorEastAsia" w:hAnsi="Times New Roman"/>
                <w:i w:val="0"/>
                <w:iCs w:val="0"/>
              </w:rPr>
              <w:t>Control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AB9B41A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49.3±0.1</w:t>
            </w:r>
            <w:r w:rsidRPr="002559BB">
              <w:rPr>
                <w:rFonts w:ascii="Times New Roman" w:hAnsi="Times New Roman"/>
                <w:vertAlign w:val="superscript"/>
              </w:rPr>
              <w:t>abcdef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3F43F4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53.2±0.3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31EC0E2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42.8±2.8</w:t>
            </w:r>
            <w:r w:rsidRPr="002559BB">
              <w:rPr>
                <w:rFonts w:ascii="Times New Roman" w:hAnsi="Times New Roman"/>
                <w:vertAlign w:val="superscript"/>
              </w:rPr>
              <w:t>defg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DDA5E64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51.9±0.5</w:t>
            </w:r>
            <w:r w:rsidRPr="002559BB">
              <w:rPr>
                <w:rFonts w:ascii="Times New Roman" w:hAnsi="Times New Roman"/>
                <w:vertAlign w:val="superscript"/>
              </w:rPr>
              <w:t>ab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63F652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49.4±0.3</w:t>
            </w:r>
            <w:r w:rsidRPr="002559BB">
              <w:rPr>
                <w:rFonts w:ascii="Times New Roman" w:hAnsi="Times New Roman"/>
                <w:vertAlign w:val="superscript"/>
              </w:rPr>
              <w:t>abcdef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ED9960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49.5±1.1</w:t>
            </w:r>
            <w:r w:rsidRPr="002559BB">
              <w:rPr>
                <w:rFonts w:ascii="Times New Roman" w:hAnsi="Times New Roman"/>
                <w:vertAlign w:val="superscript"/>
              </w:rPr>
              <w:t>abcde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</w:tcPr>
          <w:p w14:paraId="7C220629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0.5</w:t>
            </w:r>
          </w:p>
        </w:tc>
      </w:tr>
      <w:tr w:rsidR="002559BB" w:rsidRPr="002559BB" w14:paraId="22DB1678" w14:textId="77777777" w:rsidTr="0057572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auto"/>
            <w:noWrap/>
            <w:hideMark/>
          </w:tcPr>
          <w:p w14:paraId="574BBBF7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eastAsiaTheme="majorEastAsia" w:hAnsi="Times New Roman"/>
                <w:i w:val="0"/>
                <w:iCs w:val="0"/>
              </w:rPr>
              <w:t>EDTA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F76E3E0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50.0±0.6</w:t>
            </w:r>
            <w:r w:rsidRPr="002559BB">
              <w:rPr>
                <w:rFonts w:ascii="Times New Roman" w:hAnsi="Times New Roman"/>
                <w:vertAlign w:val="superscript"/>
              </w:rPr>
              <w:t>abcde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F10C67D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50.9±4.6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19B9981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39.0±3.6</w:t>
            </w:r>
            <w:r w:rsidRPr="002559BB">
              <w:rPr>
                <w:rFonts w:ascii="Times New Roman" w:hAnsi="Times New Roman"/>
                <w:vertAlign w:val="superscript"/>
              </w:rPr>
              <w:t>g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95CB983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51.7±0.1</w:t>
            </w:r>
            <w:r w:rsidRPr="002559BB">
              <w:rPr>
                <w:rFonts w:ascii="Times New Roman" w:hAnsi="Times New Roman"/>
                <w:vertAlign w:val="superscript"/>
              </w:rPr>
              <w:t>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545B3A7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53.7±0.1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14:paraId="7E09D811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53.1± 0.5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6" w:type="pct"/>
            <w:shd w:val="clear" w:color="auto" w:fill="auto"/>
          </w:tcPr>
          <w:p w14:paraId="5AB3128A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65.2</w:t>
            </w:r>
          </w:p>
        </w:tc>
      </w:tr>
      <w:tr w:rsidR="002559BB" w:rsidRPr="002559BB" w14:paraId="41E68AEF" w14:textId="77777777" w:rsidTr="0057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auto"/>
            <w:noWrap/>
            <w:hideMark/>
          </w:tcPr>
          <w:p w14:paraId="49F9C75E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eastAsiaTheme="majorEastAsia" w:hAnsi="Times New Roman"/>
                <w:i w:val="0"/>
                <w:iCs w:val="0"/>
              </w:rPr>
              <w:t>SCWE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E624FD2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</w:rPr>
            </w:pPr>
            <w:r w:rsidRPr="002559BB">
              <w:rPr>
                <w:rFonts w:ascii="Times New Roman" w:hAnsi="Times New Roman"/>
              </w:rPr>
              <w:t>50.1±0.1</w:t>
            </w:r>
            <w:r w:rsidRPr="002559BB">
              <w:rPr>
                <w:rFonts w:ascii="Times New Roman" w:hAnsi="Times New Roman"/>
                <w:vertAlign w:val="superscript"/>
              </w:rPr>
              <w:t>abcde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C9CE9A1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51.6±1.2</w:t>
            </w:r>
            <w:r w:rsidRPr="002559BB">
              <w:rPr>
                <w:rFonts w:ascii="Times New Roman" w:hAnsi="Times New Roman"/>
                <w:vertAlign w:val="superscript"/>
              </w:rPr>
              <w:t>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ABBA41F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38.8±1.1</w:t>
            </w:r>
            <w:r w:rsidRPr="002559BB">
              <w:rPr>
                <w:rFonts w:ascii="Times New Roman" w:hAnsi="Times New Roman"/>
                <w:vertAlign w:val="superscript"/>
              </w:rPr>
              <w:t>g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B9422FC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52.5±0.2</w:t>
            </w:r>
            <w:r w:rsidRPr="002559BB">
              <w:rPr>
                <w:rFonts w:ascii="Times New Roman" w:hAnsi="Times New Roman"/>
                <w:vertAlign w:val="superscript"/>
              </w:rPr>
              <w:t>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D0F02B4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52.7±2.1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14:paraId="33E76F42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55.1±0.5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6" w:type="pct"/>
            <w:shd w:val="clear" w:color="auto" w:fill="auto"/>
          </w:tcPr>
          <w:p w14:paraId="50A415D6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9.9</w:t>
            </w:r>
          </w:p>
        </w:tc>
      </w:tr>
      <w:tr w:rsidR="002559BB" w:rsidRPr="002559BB" w14:paraId="516CDEF8" w14:textId="77777777" w:rsidTr="0057572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auto"/>
            <w:noWrap/>
            <w:hideMark/>
          </w:tcPr>
          <w:p w14:paraId="446CC4A5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eastAsiaTheme="majorEastAsia" w:hAnsi="Times New Roman"/>
                <w:i w:val="0"/>
                <w:iCs w:val="0"/>
              </w:rPr>
              <w:t>SCCO2E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BC0D545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53.2±0.4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FC27E0C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51.4±0.7</w:t>
            </w:r>
            <w:r w:rsidRPr="002559BB">
              <w:rPr>
                <w:rFonts w:ascii="Times New Roman" w:hAnsi="Times New Roman"/>
                <w:vertAlign w:val="superscript"/>
              </w:rPr>
              <w:t>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36A8539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43.2±1.2</w:t>
            </w:r>
            <w:r w:rsidRPr="002559BB">
              <w:rPr>
                <w:rFonts w:ascii="Times New Roman" w:hAnsi="Times New Roman"/>
                <w:vertAlign w:val="superscript"/>
              </w:rPr>
              <w:t>cdefg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885C701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44.8±0.1</w:t>
            </w:r>
            <w:r w:rsidRPr="002559BB">
              <w:rPr>
                <w:rFonts w:ascii="Times New Roman" w:hAnsi="Times New Roman"/>
                <w:vertAlign w:val="superscript"/>
              </w:rPr>
              <w:t>bcdefg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F304F67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51.4±0.5</w:t>
            </w:r>
            <w:r w:rsidRPr="002559BB">
              <w:rPr>
                <w:rFonts w:ascii="Times New Roman" w:hAnsi="Times New Roman"/>
                <w:vertAlign w:val="superscript"/>
              </w:rPr>
              <w:t>ab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14:paraId="1B62D453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51.5±0.2</w:t>
            </w:r>
            <w:r w:rsidRPr="002559BB">
              <w:rPr>
                <w:rFonts w:ascii="Times New Roman" w:hAnsi="Times New Roman"/>
                <w:vertAlign w:val="superscript"/>
              </w:rPr>
              <w:t>ab</w:t>
            </w:r>
          </w:p>
        </w:tc>
        <w:tc>
          <w:tcPr>
            <w:tcW w:w="626" w:type="pct"/>
            <w:shd w:val="clear" w:color="auto" w:fill="auto"/>
          </w:tcPr>
          <w:p w14:paraId="39782694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-3.2</w:t>
            </w:r>
          </w:p>
        </w:tc>
      </w:tr>
      <w:tr w:rsidR="002559BB" w:rsidRPr="002559BB" w14:paraId="765280C8" w14:textId="77777777" w:rsidTr="0057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auto"/>
            <w:noWrap/>
            <w:hideMark/>
          </w:tcPr>
          <w:p w14:paraId="58B2BCD0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eastAsiaTheme="majorEastAsia" w:hAnsi="Times New Roman"/>
                <w:i w:val="0"/>
                <w:iCs w:val="0"/>
              </w:rPr>
              <w:t>SCWER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C0266E8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50.4±0.7</w:t>
            </w:r>
            <w:r w:rsidRPr="002559BB">
              <w:rPr>
                <w:rFonts w:ascii="Times New Roman" w:hAnsi="Times New Roman"/>
                <w:vertAlign w:val="superscript"/>
              </w:rPr>
              <w:t>abcd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332A8F9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53.0±1.36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989385E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47.5±3.8</w:t>
            </w:r>
            <w:r w:rsidRPr="002559BB">
              <w:rPr>
                <w:rFonts w:ascii="Times New Roman" w:hAnsi="Times New Roman"/>
                <w:vertAlign w:val="superscript"/>
              </w:rPr>
              <w:t>abcdef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04434CF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51.9±0.1</w:t>
            </w:r>
            <w:r w:rsidRPr="002559BB">
              <w:rPr>
                <w:rFonts w:ascii="Times New Roman" w:hAnsi="Times New Roman"/>
                <w:vertAlign w:val="superscript"/>
              </w:rPr>
              <w:t>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3AAA7B1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54.3±3.2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14:paraId="64EFF782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49.3±0.8</w:t>
            </w:r>
            <w:r w:rsidRPr="002559BB">
              <w:rPr>
                <w:rFonts w:ascii="Times New Roman" w:hAnsi="Times New Roman"/>
                <w:vertAlign w:val="superscript"/>
              </w:rPr>
              <w:t>abcdef</w:t>
            </w:r>
          </w:p>
        </w:tc>
        <w:tc>
          <w:tcPr>
            <w:tcW w:w="626" w:type="pct"/>
            <w:shd w:val="clear" w:color="auto" w:fill="auto"/>
          </w:tcPr>
          <w:p w14:paraId="64F717A2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-2.2</w:t>
            </w:r>
          </w:p>
        </w:tc>
      </w:tr>
      <w:tr w:rsidR="002559BB" w:rsidRPr="002559BB" w14:paraId="08B27C48" w14:textId="77777777" w:rsidTr="0057572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237E2D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eastAsiaTheme="majorEastAsia" w:hAnsi="Times New Roman"/>
                <w:i w:val="0"/>
                <w:iCs w:val="0"/>
              </w:rPr>
              <w:t>SCWER+ SCCO2E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AC7890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52.3±2.2</w:t>
            </w:r>
            <w:r w:rsidRPr="002559BB">
              <w:rPr>
                <w:rFonts w:ascii="Times New Roman" w:hAnsi="Times New Roman"/>
                <w:vertAlign w:val="superscript"/>
              </w:rPr>
              <w:t>ab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99FB96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50.9±3.7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F558A12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41.6±0.8</w:t>
            </w:r>
            <w:r w:rsidRPr="002559BB">
              <w:rPr>
                <w:rFonts w:ascii="Times New Roman" w:hAnsi="Times New Roman"/>
                <w:vertAlign w:val="superscript"/>
              </w:rPr>
              <w:t>fg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9ED9E9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42.5±0.0</w:t>
            </w:r>
            <w:r w:rsidRPr="002559BB">
              <w:rPr>
                <w:rFonts w:ascii="Times New Roman" w:hAnsi="Times New Roman"/>
                <w:vertAlign w:val="superscript"/>
              </w:rPr>
              <w:t>efg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1AA5C5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52.8±0.2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566683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51.1±3.1</w:t>
            </w:r>
            <w:r w:rsidRPr="002559BB">
              <w:rPr>
                <w:rFonts w:ascii="Times New Roman" w:hAnsi="Times New Roman"/>
                <w:vertAlign w:val="superscript"/>
              </w:rPr>
              <w:t>ab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14:paraId="4EA7714D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-2.5</w:t>
            </w:r>
          </w:p>
        </w:tc>
      </w:tr>
      <w:tr w:rsidR="002559BB" w:rsidRPr="002559BB" w14:paraId="7D86CFF7" w14:textId="77777777" w:rsidTr="0057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2567973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375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A7DF976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2559BB">
              <w:rPr>
                <w:rFonts w:ascii="Times New Roman" w:hAnsi="Times New Roman"/>
                <w:lang w:val="en-US"/>
              </w:rPr>
              <w:t>Gamma-tocopherol (µg/g oil)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7DEB0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</w:p>
        </w:tc>
      </w:tr>
      <w:tr w:rsidR="002559BB" w:rsidRPr="002559BB" w14:paraId="1D576B58" w14:textId="77777777" w:rsidTr="0057572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7E52241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eastAsiaTheme="majorEastAsia" w:hAnsi="Times New Roman"/>
                <w:i w:val="0"/>
                <w:iCs w:val="0"/>
              </w:rPr>
              <w:t>Control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5FE443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265±3.1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5C4D793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280±5.9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B8EF858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264±17.5</w:t>
            </w:r>
            <w:r w:rsidRPr="002559BB">
              <w:rPr>
                <w:rFonts w:ascii="Times New Roman" w:hAnsi="Times New Roman"/>
                <w:vertAlign w:val="superscript"/>
              </w:rPr>
              <w:t xml:space="preserve"> abc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6DA2EEC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277±2.9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B46DD3D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274±2.3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A24E44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269±2.1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</w:tcPr>
          <w:p w14:paraId="05A17022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1.7</w:t>
            </w:r>
          </w:p>
        </w:tc>
      </w:tr>
      <w:tr w:rsidR="002559BB" w:rsidRPr="002559BB" w14:paraId="0E34C9F9" w14:textId="77777777" w:rsidTr="0057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auto"/>
            <w:noWrap/>
            <w:hideMark/>
          </w:tcPr>
          <w:p w14:paraId="3DBDE224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eastAsiaTheme="majorEastAsia" w:hAnsi="Times New Roman"/>
                <w:i w:val="0"/>
                <w:iCs w:val="0"/>
              </w:rPr>
              <w:t>EDTA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8994A62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268±3.9</w:t>
            </w:r>
            <w:r w:rsidRPr="002559BB">
              <w:rPr>
                <w:rFonts w:ascii="Times New Roman" w:hAnsi="Times New Roman"/>
                <w:vertAlign w:val="superscript"/>
              </w:rPr>
              <w:t xml:space="preserve"> abc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BC75A21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2623±21.7</w:t>
            </w:r>
            <w:r w:rsidRPr="002559BB">
              <w:rPr>
                <w:rFonts w:ascii="Times New Roman" w:hAnsi="Times New Roman"/>
                <w:vertAlign w:val="superscript"/>
              </w:rPr>
              <w:t xml:space="preserve"> abc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9D99D98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234±21.6</w:t>
            </w:r>
            <w:r w:rsidRPr="002559BB">
              <w:rPr>
                <w:rFonts w:ascii="Times New Roman" w:hAnsi="Times New Roman"/>
                <w:vertAlign w:val="superscript"/>
              </w:rPr>
              <w:t>c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C7FC8EF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275±1.4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D4C1DD7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293±0.7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14:paraId="0C21909C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291±6.3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6" w:type="pct"/>
            <w:shd w:val="clear" w:color="auto" w:fill="auto"/>
          </w:tcPr>
          <w:p w14:paraId="7EB5596E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8.5</w:t>
            </w:r>
          </w:p>
        </w:tc>
      </w:tr>
      <w:tr w:rsidR="002559BB" w:rsidRPr="002559BB" w14:paraId="568BA577" w14:textId="77777777" w:rsidTr="0057572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auto"/>
            <w:noWrap/>
            <w:hideMark/>
          </w:tcPr>
          <w:p w14:paraId="1A35166C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eastAsiaTheme="majorEastAsia" w:hAnsi="Times New Roman"/>
                <w:i w:val="0"/>
                <w:iCs w:val="0"/>
              </w:rPr>
              <w:t>SCWE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A9F339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269±0.4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FE477D8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271±13.2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AD684C5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234±6.9</w:t>
            </w:r>
            <w:r w:rsidRPr="002559BB">
              <w:rPr>
                <w:rFonts w:ascii="Times New Roman" w:hAnsi="Times New Roman"/>
                <w:vertAlign w:val="superscript"/>
              </w:rPr>
              <w:t>bc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2B03CC8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278±0.5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E187583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289±10.3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14:paraId="4B60E68D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293±11.7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6" w:type="pct"/>
            <w:shd w:val="clear" w:color="auto" w:fill="auto"/>
          </w:tcPr>
          <w:p w14:paraId="5F799666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9.1</w:t>
            </w:r>
          </w:p>
        </w:tc>
      </w:tr>
      <w:tr w:rsidR="002559BB" w:rsidRPr="002559BB" w14:paraId="75CD755C" w14:textId="77777777" w:rsidTr="0057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auto"/>
            <w:noWrap/>
            <w:hideMark/>
          </w:tcPr>
          <w:p w14:paraId="46579AF9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eastAsiaTheme="majorEastAsia" w:hAnsi="Times New Roman"/>
                <w:i w:val="0"/>
                <w:iCs w:val="0"/>
              </w:rPr>
              <w:t>SCCO2E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9E12D02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</w:rPr>
            </w:pPr>
            <w:r w:rsidRPr="002559BB">
              <w:rPr>
                <w:rFonts w:ascii="Times New Roman" w:hAnsi="Times New Roman"/>
              </w:rPr>
              <w:t>263±1.2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E886471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264±1.8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1821E2B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279±0.9</w:t>
            </w:r>
            <w:r w:rsidRPr="002559BB">
              <w:rPr>
                <w:rFonts w:ascii="Times New Roman" w:hAnsi="Times New Roman"/>
                <w:vertAlign w:val="superscript"/>
              </w:rPr>
              <w:t>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7CC064D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272±1.0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91A9807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284±3.5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14:paraId="0C473F81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276±2.4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6" w:type="pct"/>
            <w:shd w:val="clear" w:color="auto" w:fill="auto"/>
          </w:tcPr>
          <w:p w14:paraId="245BEE30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4.9</w:t>
            </w:r>
          </w:p>
        </w:tc>
      </w:tr>
      <w:tr w:rsidR="002559BB" w:rsidRPr="002559BB" w14:paraId="1017096C" w14:textId="77777777" w:rsidTr="0057572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auto"/>
            <w:noWrap/>
            <w:hideMark/>
          </w:tcPr>
          <w:p w14:paraId="661C4707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eastAsiaTheme="majorEastAsia" w:hAnsi="Times New Roman"/>
                <w:i w:val="0"/>
                <w:iCs w:val="0"/>
              </w:rPr>
              <w:t>SCWER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5DDB414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271±4.0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552499F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281±16.1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0DF10E2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291±23.9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89789D0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283±0.6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88ED6FD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299±17.0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14:paraId="1ADA8D5E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268±5.9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6" w:type="pct"/>
            <w:shd w:val="clear" w:color="auto" w:fill="auto"/>
          </w:tcPr>
          <w:p w14:paraId="4D6E0087" w14:textId="77777777" w:rsidR="002559BB" w:rsidRPr="002559BB" w:rsidRDefault="002559BB" w:rsidP="0057572A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-1.1</w:t>
            </w:r>
          </w:p>
        </w:tc>
      </w:tr>
      <w:tr w:rsidR="002559BB" w:rsidRPr="002559BB" w14:paraId="30A2824A" w14:textId="77777777" w:rsidTr="0057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D1278F" w14:textId="77777777" w:rsidR="002559BB" w:rsidRPr="002559BB" w:rsidRDefault="002559BB" w:rsidP="0057572A">
            <w:pPr>
              <w:pStyle w:val="MDPI42tablebody"/>
              <w:rPr>
                <w:rFonts w:ascii="Times New Roman" w:hAnsi="Times New Roman"/>
                <w:i w:val="0"/>
                <w:iCs w:val="0"/>
              </w:rPr>
            </w:pPr>
            <w:r w:rsidRPr="002559BB">
              <w:rPr>
                <w:rFonts w:ascii="Times New Roman" w:eastAsiaTheme="majorEastAsia" w:hAnsi="Times New Roman"/>
                <w:i w:val="0"/>
                <w:iCs w:val="0"/>
              </w:rPr>
              <w:t>SCWER+ SCCO2E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E7830D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267±2.9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9B44FF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264±24.6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B291C0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256±1.7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8E458D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283±4.0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0EDAAF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294±6.3</w:t>
            </w:r>
            <w:r w:rsidRPr="002559B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E848B7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276±1.1</w:t>
            </w:r>
            <w:r w:rsidRPr="002559BB">
              <w:rPr>
                <w:rFonts w:ascii="Times New Roman" w:hAnsi="Times New Roman"/>
                <w:vertAlign w:val="superscript"/>
              </w:rPr>
              <w:t>abc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14:paraId="173A3F7E" w14:textId="77777777" w:rsidR="002559BB" w:rsidRPr="002559BB" w:rsidRDefault="002559BB" w:rsidP="0057572A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59BB">
              <w:rPr>
                <w:rFonts w:ascii="Times New Roman" w:hAnsi="Times New Roman"/>
              </w:rPr>
              <w:t>3.3</w:t>
            </w:r>
          </w:p>
        </w:tc>
      </w:tr>
    </w:tbl>
    <w:p w14:paraId="5DDB5654" w14:textId="77777777" w:rsidR="002559BB" w:rsidRPr="002559BB" w:rsidRDefault="002559BB" w:rsidP="002559BB"/>
    <w:p w14:paraId="4717041B" w14:textId="77777777" w:rsidR="002559BB" w:rsidRPr="002559BB" w:rsidRDefault="002559BB" w:rsidP="002559BB"/>
    <w:sectPr w:rsidR="002559BB" w:rsidRPr="002559BB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171791847">
    <w:abstractNumId w:val="0"/>
  </w:num>
  <w:num w:numId="2" w16cid:durableId="889421331">
    <w:abstractNumId w:val="4"/>
  </w:num>
  <w:num w:numId="3" w16cid:durableId="559053476">
    <w:abstractNumId w:val="1"/>
  </w:num>
  <w:num w:numId="4" w16cid:durableId="1232614064">
    <w:abstractNumId w:val="5"/>
  </w:num>
  <w:num w:numId="5" w16cid:durableId="1116830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046535">
    <w:abstractNumId w:val="3"/>
  </w:num>
  <w:num w:numId="7" w16cid:durableId="520242292">
    <w:abstractNumId w:val="6"/>
  </w:num>
  <w:num w:numId="8" w16cid:durableId="1130173356">
    <w:abstractNumId w:val="6"/>
  </w:num>
  <w:num w:numId="9" w16cid:durableId="697316259">
    <w:abstractNumId w:val="6"/>
  </w:num>
  <w:num w:numId="10" w16cid:durableId="180626709">
    <w:abstractNumId w:val="6"/>
  </w:num>
  <w:num w:numId="11" w16cid:durableId="596209210">
    <w:abstractNumId w:val="6"/>
  </w:num>
  <w:num w:numId="12" w16cid:durableId="874125787">
    <w:abstractNumId w:val="6"/>
  </w:num>
  <w:num w:numId="13" w16cid:durableId="1003584813">
    <w:abstractNumId w:val="3"/>
  </w:num>
  <w:num w:numId="14" w16cid:durableId="1409310147">
    <w:abstractNumId w:val="2"/>
  </w:num>
  <w:num w:numId="15" w16cid:durableId="1964531418">
    <w:abstractNumId w:val="2"/>
  </w:num>
  <w:num w:numId="16" w16cid:durableId="2129622202">
    <w:abstractNumId w:val="2"/>
  </w:num>
  <w:num w:numId="17" w16cid:durableId="691227942">
    <w:abstractNumId w:val="2"/>
  </w:num>
  <w:num w:numId="18" w16cid:durableId="281225757">
    <w:abstractNumId w:val="2"/>
  </w:num>
  <w:num w:numId="19" w16cid:durableId="191620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NDMwMbUwt7A0MjZX0lEKTi0uzszPAykwrAUArWNARC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59BB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25FE7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96AA1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DPI42tablebody">
    <w:name w:val="MDPI_4.2_table_body"/>
    <w:qFormat/>
    <w:rsid w:val="002559BB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table" w:styleId="ListTable7Colorful">
    <w:name w:val="List Table 7 Colorful"/>
    <w:basedOn w:val="TableNormal"/>
    <w:uiPriority w:val="52"/>
    <w:rsid w:val="002559BB"/>
    <w:pPr>
      <w:spacing w:after="0" w:line="240" w:lineRule="auto"/>
    </w:pPr>
    <w:rPr>
      <w:rFonts w:eastAsiaTheme="minorEastAsia"/>
      <w:color w:val="000000" w:themeColor="text1"/>
      <w:lang w:val="da-DK" w:eastAsia="ko-K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DPI41tablecaption">
    <w:name w:val="MDPI_4.1_table_caption"/>
    <w:qFormat/>
    <w:rsid w:val="002559BB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1</Pages>
  <Words>182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Adane Tilahun Getachew</cp:lastModifiedBy>
  <cp:revision>4</cp:revision>
  <cp:lastPrinted>2013-10-03T12:51:00Z</cp:lastPrinted>
  <dcterms:created xsi:type="dcterms:W3CDTF">2018-11-23T08:58:00Z</dcterms:created>
  <dcterms:modified xsi:type="dcterms:W3CDTF">2022-09-08T13:40:00Z</dcterms:modified>
</cp:coreProperties>
</file>