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B7DB4" w14:textId="77777777" w:rsidR="007E0AD9" w:rsidRPr="00BD3603" w:rsidRDefault="005A19CD" w:rsidP="001B26D0">
      <w:pPr>
        <w:pStyle w:val="Paperwriting"/>
        <w:rPr>
          <w:b/>
          <w:bCs/>
        </w:rPr>
      </w:pPr>
      <w:r w:rsidRPr="00BD3603">
        <w:rPr>
          <w:b/>
          <w:bCs/>
        </w:rPr>
        <w:t>Supplementary file</w:t>
      </w:r>
    </w:p>
    <w:p w14:paraId="11080A46" w14:textId="77777777" w:rsidR="00741E8E" w:rsidRPr="00741E8E" w:rsidRDefault="00741E8E" w:rsidP="00741E8E">
      <w:pPr>
        <w:spacing w:line="360" w:lineRule="auto"/>
        <w:jc w:val="center"/>
        <w:rPr>
          <w:rFonts w:ascii="Times New Roman" w:eastAsia="Calibri" w:hAnsi="Times New Roman" w:cs="Times New Roman"/>
          <w:b/>
          <w:bCs/>
          <w:color w:val="222222"/>
          <w:sz w:val="24"/>
          <w:szCs w:val="24"/>
          <w:shd w:val="clear" w:color="auto" w:fill="FFFFFF"/>
          <w:lang w:val="en-GB"/>
        </w:rPr>
      </w:pPr>
      <w:bookmarkStart w:id="0" w:name="OLE_LINK19"/>
      <w:bookmarkStart w:id="1" w:name="OLE_LINK5"/>
      <w:bookmarkStart w:id="2" w:name="OLE_LINK4"/>
      <w:r w:rsidRPr="00741E8E">
        <w:rPr>
          <w:rFonts w:ascii="Times New Roman" w:eastAsia="Calibri" w:hAnsi="Times New Roman" w:cs="Times New Roman"/>
          <w:b/>
          <w:bCs/>
          <w:color w:val="222222"/>
          <w:sz w:val="24"/>
          <w:szCs w:val="24"/>
          <w:shd w:val="clear" w:color="auto" w:fill="FFFFFF"/>
          <w:lang w:val="en-GB"/>
        </w:rPr>
        <w:t xml:space="preserve">Amoxicillin-Docosahexaenoic acid encapsulated Chitosan-Alginate nanoparticles as a delivery system with enhanced biocidal activities against </w:t>
      </w:r>
      <w:r w:rsidRPr="00741E8E">
        <w:rPr>
          <w:rFonts w:ascii="Times New Roman" w:eastAsia="Calibri" w:hAnsi="Times New Roman" w:cs="Times New Roman"/>
          <w:b/>
          <w:bCs/>
          <w:i/>
          <w:iCs/>
          <w:color w:val="222222"/>
          <w:sz w:val="24"/>
          <w:szCs w:val="24"/>
          <w:shd w:val="clear" w:color="auto" w:fill="FFFFFF"/>
          <w:lang w:val="en-GB"/>
        </w:rPr>
        <w:t>Helicobacter pylori</w:t>
      </w:r>
      <w:r w:rsidRPr="00741E8E">
        <w:rPr>
          <w:rFonts w:ascii="Times New Roman" w:eastAsia="Calibri" w:hAnsi="Times New Roman" w:cs="Times New Roman"/>
          <w:b/>
          <w:bCs/>
          <w:color w:val="222222"/>
          <w:sz w:val="24"/>
          <w:szCs w:val="24"/>
          <w:shd w:val="clear" w:color="auto" w:fill="FFFFFF"/>
          <w:lang w:val="en-GB"/>
        </w:rPr>
        <w:t xml:space="preserve"> and improved ulcer healing</w:t>
      </w:r>
    </w:p>
    <w:p w14:paraId="2B703D4C" w14:textId="4665ED76" w:rsidR="00741E8E" w:rsidRPr="00741E8E" w:rsidRDefault="00741E8E" w:rsidP="004D240B">
      <w:pPr>
        <w:spacing w:line="360" w:lineRule="auto"/>
        <w:jc w:val="center"/>
        <w:rPr>
          <w:rFonts w:ascii="Times New Roman" w:eastAsia="Calibri" w:hAnsi="Times New Roman" w:cs="Times New Roman"/>
          <w:sz w:val="24"/>
          <w:szCs w:val="24"/>
        </w:rPr>
      </w:pPr>
      <w:bookmarkStart w:id="3" w:name="30j0zll"/>
      <w:bookmarkStart w:id="4" w:name="gjdgxs"/>
      <w:bookmarkEnd w:id="0"/>
      <w:bookmarkEnd w:id="3"/>
      <w:bookmarkEnd w:id="4"/>
      <w:r w:rsidRPr="00741E8E">
        <w:rPr>
          <w:rFonts w:ascii="Times New Roman" w:eastAsia="Calibri" w:hAnsi="Times New Roman" w:cs="Times New Roman"/>
          <w:sz w:val="24"/>
          <w:szCs w:val="24"/>
        </w:rPr>
        <w:t>Saeed Khoshnood</w:t>
      </w:r>
      <w:r w:rsidRPr="00741E8E">
        <w:rPr>
          <w:rFonts w:ascii="Times New Roman" w:eastAsia="Calibri" w:hAnsi="Times New Roman" w:cs="Times New Roman"/>
          <w:sz w:val="24"/>
          <w:szCs w:val="24"/>
          <w:vertAlign w:val="superscript"/>
        </w:rPr>
        <w:t>1</w:t>
      </w:r>
      <w:r w:rsidRPr="00741E8E">
        <w:rPr>
          <w:rFonts w:ascii="Times New Roman" w:eastAsia="Calibri" w:hAnsi="Times New Roman" w:cs="Times New Roman"/>
          <w:sz w:val="24"/>
          <w:szCs w:val="24"/>
        </w:rPr>
        <w:t>, Babak Negahdari</w:t>
      </w:r>
      <w:proofErr w:type="gramStart"/>
      <w:r w:rsidRPr="00741E8E">
        <w:rPr>
          <w:rFonts w:ascii="Times New Roman" w:eastAsia="Calibri" w:hAnsi="Times New Roman" w:cs="Times New Roman"/>
          <w:sz w:val="24"/>
          <w:szCs w:val="24"/>
          <w:vertAlign w:val="superscript"/>
        </w:rPr>
        <w:t>2</w:t>
      </w:r>
      <w:r w:rsidRPr="00741E8E">
        <w:rPr>
          <w:rFonts w:ascii="Times New Roman" w:eastAsia="Calibri" w:hAnsi="Times New Roman" w:cs="Times New Roman"/>
          <w:sz w:val="24"/>
          <w:szCs w:val="24"/>
        </w:rPr>
        <w:t xml:space="preserve">,  </w:t>
      </w:r>
      <w:bookmarkStart w:id="5" w:name="OLE_LINK42"/>
      <w:r w:rsidRPr="00741E8E">
        <w:rPr>
          <w:rFonts w:ascii="Times New Roman" w:eastAsia="Calibri" w:hAnsi="Times New Roman" w:cs="Times New Roman"/>
          <w:sz w:val="24"/>
          <w:szCs w:val="24"/>
        </w:rPr>
        <w:t>Mohamed</w:t>
      </w:r>
      <w:proofErr w:type="gramEnd"/>
      <w:r w:rsidRPr="00741E8E">
        <w:rPr>
          <w:rFonts w:ascii="Times New Roman" w:eastAsia="Calibri" w:hAnsi="Times New Roman" w:cs="Times New Roman"/>
          <w:sz w:val="24"/>
          <w:szCs w:val="24"/>
        </w:rPr>
        <w:t xml:space="preserve"> El-Shazly</w:t>
      </w:r>
      <w:r w:rsidRPr="00741E8E">
        <w:rPr>
          <w:rFonts w:ascii="Times New Roman" w:eastAsia="Calibri" w:hAnsi="Times New Roman" w:cs="Times New Roman"/>
          <w:sz w:val="24"/>
          <w:szCs w:val="24"/>
          <w:vertAlign w:val="superscript"/>
        </w:rPr>
        <w:t>3</w:t>
      </w:r>
      <w:r w:rsidRPr="00741E8E">
        <w:rPr>
          <w:rFonts w:ascii="Times New Roman" w:eastAsia="Calibri" w:hAnsi="Times New Roman" w:cs="Times New Roman"/>
          <w:sz w:val="24"/>
          <w:szCs w:val="24"/>
        </w:rPr>
        <w:t xml:space="preserve">, </w:t>
      </w:r>
      <w:proofErr w:type="spellStart"/>
      <w:r w:rsidRPr="00741E8E">
        <w:rPr>
          <w:rFonts w:ascii="Times New Roman" w:eastAsia="Calibri" w:hAnsi="Times New Roman" w:cs="Times New Roman"/>
          <w:sz w:val="24"/>
          <w:szCs w:val="24"/>
        </w:rPr>
        <w:t>Mohd</w:t>
      </w:r>
      <w:proofErr w:type="spellEnd"/>
      <w:r w:rsidRPr="00741E8E">
        <w:rPr>
          <w:rFonts w:ascii="Times New Roman" w:eastAsia="Calibri" w:hAnsi="Times New Roman" w:cs="Times New Roman"/>
          <w:sz w:val="24"/>
          <w:szCs w:val="24"/>
        </w:rPr>
        <w:t xml:space="preserve"> </w:t>
      </w:r>
      <w:proofErr w:type="spellStart"/>
      <w:r w:rsidRPr="00741E8E">
        <w:rPr>
          <w:rFonts w:ascii="Times New Roman" w:eastAsia="Calibri" w:hAnsi="Times New Roman" w:cs="Times New Roman"/>
          <w:sz w:val="24"/>
          <w:szCs w:val="24"/>
        </w:rPr>
        <w:t>Azmuddin</w:t>
      </w:r>
      <w:proofErr w:type="spellEnd"/>
      <w:r w:rsidRPr="00741E8E">
        <w:rPr>
          <w:rFonts w:ascii="Times New Roman" w:eastAsia="Calibri" w:hAnsi="Times New Roman" w:cs="Times New Roman"/>
          <w:sz w:val="24"/>
          <w:szCs w:val="24"/>
        </w:rPr>
        <w:t xml:space="preserve"> Abdullah</w:t>
      </w:r>
      <w:r w:rsidRPr="00741E8E">
        <w:rPr>
          <w:rFonts w:ascii="Times New Roman" w:eastAsia="Calibri" w:hAnsi="Times New Roman" w:cs="Times New Roman"/>
          <w:sz w:val="24"/>
          <w:szCs w:val="24"/>
          <w:vertAlign w:val="superscript"/>
        </w:rPr>
        <w:t>4</w:t>
      </w:r>
      <w:bookmarkEnd w:id="5"/>
      <w:r w:rsidRPr="00741E8E">
        <w:rPr>
          <w:rFonts w:ascii="Times New Roman" w:eastAsia="Calibri" w:hAnsi="Times New Roman" w:cs="Times New Roman"/>
          <w:sz w:val="24"/>
          <w:szCs w:val="24"/>
        </w:rPr>
        <w:t>, Mohammad Hossein Haddadi</w:t>
      </w:r>
      <w:r w:rsidRPr="00741E8E">
        <w:rPr>
          <w:rFonts w:ascii="Times New Roman" w:eastAsia="Calibri" w:hAnsi="Times New Roman" w:cs="Times New Roman"/>
          <w:sz w:val="24"/>
          <w:szCs w:val="24"/>
          <w:vertAlign w:val="superscript"/>
        </w:rPr>
        <w:t>1*</w:t>
      </w:r>
    </w:p>
    <w:bookmarkEnd w:id="1"/>
    <w:bookmarkEnd w:id="2"/>
    <w:p w14:paraId="0BEC47E2" w14:textId="77777777" w:rsidR="00741E8E" w:rsidRPr="00741E8E" w:rsidRDefault="00741E8E" w:rsidP="00741E8E">
      <w:pPr>
        <w:spacing w:line="360" w:lineRule="auto"/>
        <w:jc w:val="both"/>
        <w:rPr>
          <w:rFonts w:ascii="Times New Roman" w:eastAsia="Calibri" w:hAnsi="Times New Roman" w:cs="Times New Roman"/>
          <w:sz w:val="24"/>
          <w:szCs w:val="24"/>
        </w:rPr>
      </w:pPr>
      <w:r w:rsidRPr="00741E8E">
        <w:rPr>
          <w:rFonts w:ascii="Times New Roman" w:eastAsia="Calibri" w:hAnsi="Times New Roman" w:cs="Times New Roman"/>
          <w:sz w:val="24"/>
          <w:szCs w:val="24"/>
          <w:vertAlign w:val="superscript"/>
        </w:rPr>
        <w:t>1</w:t>
      </w:r>
      <w:r w:rsidRPr="00741E8E">
        <w:rPr>
          <w:rFonts w:ascii="Times New Roman" w:eastAsia="Calibri" w:hAnsi="Times New Roman" w:cs="Times New Roman"/>
          <w:sz w:val="24"/>
          <w:szCs w:val="24"/>
        </w:rPr>
        <w:t xml:space="preserve"> Clinical Microbiology Research Centre, </w:t>
      </w:r>
      <w:proofErr w:type="spellStart"/>
      <w:r w:rsidRPr="00741E8E">
        <w:rPr>
          <w:rFonts w:ascii="Times New Roman" w:eastAsia="Calibri" w:hAnsi="Times New Roman" w:cs="Times New Roman"/>
          <w:sz w:val="24"/>
          <w:szCs w:val="24"/>
        </w:rPr>
        <w:t>Ilam</w:t>
      </w:r>
      <w:proofErr w:type="spellEnd"/>
      <w:r w:rsidRPr="00741E8E">
        <w:rPr>
          <w:rFonts w:ascii="Times New Roman" w:eastAsia="Calibri" w:hAnsi="Times New Roman" w:cs="Times New Roman"/>
          <w:sz w:val="24"/>
          <w:szCs w:val="24"/>
        </w:rPr>
        <w:t xml:space="preserve"> University of Medical Sciences, </w:t>
      </w:r>
      <w:proofErr w:type="spellStart"/>
      <w:r w:rsidRPr="00741E8E">
        <w:rPr>
          <w:rFonts w:ascii="Times New Roman" w:eastAsia="Calibri" w:hAnsi="Times New Roman" w:cs="Times New Roman"/>
          <w:sz w:val="24"/>
          <w:szCs w:val="24"/>
        </w:rPr>
        <w:t>Ilam</w:t>
      </w:r>
      <w:proofErr w:type="spellEnd"/>
      <w:r w:rsidRPr="00741E8E">
        <w:rPr>
          <w:rFonts w:ascii="Times New Roman" w:eastAsia="Calibri" w:hAnsi="Times New Roman" w:cs="Times New Roman"/>
          <w:sz w:val="24"/>
          <w:szCs w:val="24"/>
        </w:rPr>
        <w:t>, Iran</w:t>
      </w:r>
    </w:p>
    <w:p w14:paraId="028E5038" w14:textId="77777777" w:rsidR="00741E8E" w:rsidRPr="00741E8E" w:rsidRDefault="00741E8E" w:rsidP="00741E8E">
      <w:pPr>
        <w:spacing w:line="360" w:lineRule="auto"/>
        <w:jc w:val="both"/>
        <w:rPr>
          <w:rFonts w:ascii="Times New Roman" w:eastAsia="Calibri" w:hAnsi="Times New Roman" w:cs="Times New Roman"/>
          <w:sz w:val="24"/>
          <w:szCs w:val="24"/>
        </w:rPr>
      </w:pPr>
      <w:r w:rsidRPr="00741E8E">
        <w:rPr>
          <w:rFonts w:ascii="Times New Roman" w:eastAsia="Calibri" w:hAnsi="Times New Roman" w:cs="Times New Roman"/>
          <w:sz w:val="24"/>
          <w:szCs w:val="24"/>
          <w:vertAlign w:val="superscript"/>
        </w:rPr>
        <w:t>2</w:t>
      </w:r>
      <w:r w:rsidRPr="00741E8E">
        <w:rPr>
          <w:rFonts w:ascii="Times New Roman" w:eastAsia="Calibri" w:hAnsi="Times New Roman" w:cs="Times New Roman"/>
          <w:sz w:val="24"/>
          <w:szCs w:val="24"/>
        </w:rPr>
        <w:t xml:space="preserve"> Department of Medical Biotechnology, School of Advanced Technologies in Medicine, Tehran University of Medical Sciences, Tehran, Iran</w:t>
      </w:r>
    </w:p>
    <w:p w14:paraId="28A820C7" w14:textId="77777777" w:rsidR="00741E8E" w:rsidRPr="00741E8E" w:rsidRDefault="00741E8E" w:rsidP="00741E8E">
      <w:pPr>
        <w:spacing w:line="360" w:lineRule="auto"/>
        <w:jc w:val="both"/>
        <w:rPr>
          <w:rFonts w:ascii="Times New Roman" w:eastAsia="Calibri" w:hAnsi="Times New Roman" w:cs="Times New Roman"/>
          <w:sz w:val="24"/>
          <w:szCs w:val="24"/>
        </w:rPr>
      </w:pPr>
      <w:r w:rsidRPr="00741E8E">
        <w:rPr>
          <w:rFonts w:ascii="Times New Roman" w:eastAsia="Calibri" w:hAnsi="Times New Roman" w:cs="Times New Roman"/>
          <w:sz w:val="24"/>
          <w:szCs w:val="24"/>
          <w:vertAlign w:val="superscript"/>
        </w:rPr>
        <w:t>3</w:t>
      </w:r>
      <w:r w:rsidRPr="00741E8E">
        <w:rPr>
          <w:rFonts w:ascii="Times New Roman" w:eastAsia="Calibri" w:hAnsi="Times New Roman" w:cs="Times New Roman"/>
          <w:sz w:val="24"/>
          <w:szCs w:val="24"/>
        </w:rPr>
        <w:t xml:space="preserve"> Pharmacognosy Department, Faculty of Pharmacy, Ain-Shams University, Cairo, Egypt.</w:t>
      </w:r>
    </w:p>
    <w:p w14:paraId="54FE411E" w14:textId="77777777" w:rsidR="00741E8E" w:rsidRPr="00741E8E" w:rsidRDefault="00741E8E" w:rsidP="00741E8E">
      <w:pPr>
        <w:spacing w:line="360" w:lineRule="auto"/>
        <w:jc w:val="both"/>
        <w:rPr>
          <w:rFonts w:ascii="Times New Roman" w:eastAsia="Calibri" w:hAnsi="Times New Roman" w:cs="Times New Roman"/>
          <w:sz w:val="24"/>
          <w:szCs w:val="24"/>
        </w:rPr>
      </w:pPr>
      <w:r w:rsidRPr="00741E8E">
        <w:rPr>
          <w:rFonts w:ascii="Times New Roman" w:eastAsia="Calibri" w:hAnsi="Times New Roman" w:cs="Times New Roman"/>
          <w:sz w:val="24"/>
          <w:szCs w:val="24"/>
          <w:vertAlign w:val="superscript"/>
          <w:lang w:val="en-GB"/>
        </w:rPr>
        <w:t>4</w:t>
      </w:r>
      <w:r w:rsidRPr="00741E8E">
        <w:rPr>
          <w:rFonts w:ascii="Times New Roman" w:eastAsia="Calibri" w:hAnsi="Times New Roman" w:cs="Times New Roman"/>
          <w:sz w:val="24"/>
          <w:szCs w:val="24"/>
          <w:lang w:val="en-GB"/>
        </w:rPr>
        <w:t xml:space="preserve"> Department of Toxicology, Advanced Medical and Dental Institute, </w:t>
      </w:r>
      <w:proofErr w:type="spellStart"/>
      <w:r w:rsidRPr="00741E8E">
        <w:rPr>
          <w:rFonts w:ascii="Times New Roman" w:eastAsia="Calibri" w:hAnsi="Times New Roman" w:cs="Times New Roman"/>
          <w:sz w:val="24"/>
          <w:szCs w:val="24"/>
          <w:lang w:val="en-GB"/>
        </w:rPr>
        <w:t>Universiti</w:t>
      </w:r>
      <w:proofErr w:type="spellEnd"/>
      <w:r w:rsidRPr="00741E8E">
        <w:rPr>
          <w:rFonts w:ascii="Times New Roman" w:eastAsia="Calibri" w:hAnsi="Times New Roman" w:cs="Times New Roman"/>
          <w:sz w:val="24"/>
          <w:szCs w:val="24"/>
          <w:lang w:val="en-GB"/>
        </w:rPr>
        <w:t xml:space="preserve"> Sains Malaysia, </w:t>
      </w:r>
      <w:proofErr w:type="spellStart"/>
      <w:r w:rsidRPr="00741E8E">
        <w:rPr>
          <w:rFonts w:ascii="Times New Roman" w:eastAsia="Calibri" w:hAnsi="Times New Roman" w:cs="Times New Roman"/>
          <w:sz w:val="24"/>
          <w:szCs w:val="24"/>
          <w:lang w:val="en-GB"/>
        </w:rPr>
        <w:t>Bertam</w:t>
      </w:r>
      <w:proofErr w:type="spellEnd"/>
      <w:r w:rsidRPr="00741E8E">
        <w:rPr>
          <w:rFonts w:ascii="Times New Roman" w:eastAsia="Calibri" w:hAnsi="Times New Roman" w:cs="Times New Roman"/>
          <w:sz w:val="24"/>
          <w:szCs w:val="24"/>
          <w:lang w:val="en-GB"/>
        </w:rPr>
        <w:t xml:space="preserve"> Campus, </w:t>
      </w:r>
      <w:proofErr w:type="spellStart"/>
      <w:r w:rsidRPr="00741E8E">
        <w:rPr>
          <w:rFonts w:ascii="Times New Roman" w:eastAsia="Calibri" w:hAnsi="Times New Roman" w:cs="Times New Roman"/>
          <w:sz w:val="24"/>
          <w:szCs w:val="24"/>
          <w:lang w:val="en-GB"/>
        </w:rPr>
        <w:t>Kepala</w:t>
      </w:r>
      <w:proofErr w:type="spellEnd"/>
      <w:r w:rsidRPr="00741E8E">
        <w:rPr>
          <w:rFonts w:ascii="Times New Roman" w:eastAsia="Calibri" w:hAnsi="Times New Roman" w:cs="Times New Roman"/>
          <w:sz w:val="24"/>
          <w:szCs w:val="24"/>
          <w:lang w:val="en-GB"/>
        </w:rPr>
        <w:t xml:space="preserve"> Batas 13050, Penang, Malaysia</w:t>
      </w:r>
    </w:p>
    <w:p w14:paraId="3915100A" w14:textId="77777777" w:rsidR="00741E8E" w:rsidRPr="00741E8E" w:rsidRDefault="00741E8E" w:rsidP="00741E8E">
      <w:pPr>
        <w:spacing w:after="0" w:line="240" w:lineRule="auto"/>
        <w:jc w:val="both"/>
        <w:rPr>
          <w:rFonts w:ascii="Times New Roman" w:eastAsia="Times New Roman" w:hAnsi="Times New Roman" w:cs="Times New Roman"/>
          <w:sz w:val="24"/>
          <w:szCs w:val="24"/>
        </w:rPr>
      </w:pPr>
      <w:r w:rsidRPr="00741E8E">
        <w:rPr>
          <w:rFonts w:ascii="Times New Roman" w:eastAsia="Times New Roman" w:hAnsi="Times New Roman" w:cs="Times New Roman"/>
          <w:b/>
          <w:sz w:val="24"/>
          <w:szCs w:val="24"/>
        </w:rPr>
        <w:t>*Corresponding author:</w:t>
      </w:r>
      <w:r w:rsidRPr="00741E8E">
        <w:rPr>
          <w:rFonts w:ascii="Times New Roman" w:eastAsia="Times New Roman" w:hAnsi="Times New Roman" w:cs="Times New Roman"/>
          <w:sz w:val="24"/>
          <w:szCs w:val="24"/>
        </w:rPr>
        <w:t xml:space="preserve"> Dr. Mohammad Hossein Haddadi, Assistant Professor in Medical Biotechnology,</w:t>
      </w:r>
    </w:p>
    <w:p w14:paraId="781517EF" w14:textId="77777777" w:rsidR="00741E8E" w:rsidRPr="00741E8E" w:rsidRDefault="00741E8E" w:rsidP="00741E8E">
      <w:pPr>
        <w:spacing w:after="0" w:line="240" w:lineRule="auto"/>
        <w:jc w:val="both"/>
        <w:rPr>
          <w:rFonts w:ascii="Times New Roman" w:eastAsia="Times New Roman" w:hAnsi="Times New Roman" w:cs="Times New Roman"/>
          <w:sz w:val="24"/>
          <w:szCs w:val="24"/>
        </w:rPr>
      </w:pPr>
      <w:r w:rsidRPr="00741E8E">
        <w:rPr>
          <w:rFonts w:ascii="Times New Roman" w:eastAsia="Times New Roman" w:hAnsi="Times New Roman" w:cs="Times New Roman"/>
          <w:sz w:val="24"/>
          <w:szCs w:val="24"/>
        </w:rPr>
        <w:t xml:space="preserve">Email: haddadi-m@medilam.ac.ir, </w:t>
      </w:r>
      <w:hyperlink r:id="rId7" w:history="1">
        <w:r w:rsidRPr="00741E8E">
          <w:rPr>
            <w:rFonts w:ascii="Times New Roman" w:eastAsia="Times New Roman" w:hAnsi="Times New Roman" w:cs="Times New Roman"/>
            <w:color w:val="0563C1"/>
            <w:sz w:val="24"/>
            <w:szCs w:val="24"/>
            <w:u w:val="single"/>
          </w:rPr>
          <w:t>haddadi841@gmail.com</w:t>
        </w:r>
      </w:hyperlink>
      <w:r w:rsidRPr="00741E8E">
        <w:rPr>
          <w:rFonts w:ascii="Times New Roman" w:eastAsia="Times New Roman" w:hAnsi="Times New Roman" w:cs="Times New Roman"/>
          <w:sz w:val="24"/>
          <w:szCs w:val="24"/>
        </w:rPr>
        <w:t>.</w:t>
      </w:r>
      <w:r w:rsidRPr="00741E8E">
        <w:rPr>
          <w:rFonts w:ascii="Times New Roman" w:eastAsia="Times New Roman" w:hAnsi="Times New Roman" w:cs="Times New Roman"/>
          <w:i/>
          <w:iCs/>
          <w:sz w:val="24"/>
          <w:szCs w:val="24"/>
        </w:rPr>
        <w:t xml:space="preserve"> </w:t>
      </w:r>
      <w:r w:rsidRPr="00741E8E">
        <w:rPr>
          <w:rFonts w:ascii="Times New Roman" w:eastAsia="Times New Roman" w:hAnsi="Times New Roman" w:cs="Times New Roman"/>
          <w:sz w:val="24"/>
          <w:szCs w:val="24"/>
        </w:rPr>
        <w:t xml:space="preserve"> Tel: 08432227101, +989188417822. P.O. Box 6939177143.</w:t>
      </w:r>
    </w:p>
    <w:p w14:paraId="3F22E88F" w14:textId="77777777" w:rsidR="009437F0" w:rsidRDefault="009437F0" w:rsidP="001B26D0">
      <w:pPr>
        <w:pStyle w:val="Paperwriting"/>
      </w:pPr>
    </w:p>
    <w:p w14:paraId="39408F57" w14:textId="77777777" w:rsidR="00BD3603" w:rsidRDefault="00BD3603" w:rsidP="001B26D0">
      <w:pPr>
        <w:pStyle w:val="Paperwriting"/>
      </w:pPr>
    </w:p>
    <w:p w14:paraId="7CC7CAD4" w14:textId="77777777" w:rsidR="00BD3603" w:rsidRDefault="00BD3603" w:rsidP="001B26D0">
      <w:pPr>
        <w:pStyle w:val="Paperwriting"/>
      </w:pPr>
    </w:p>
    <w:p w14:paraId="17BD1922" w14:textId="77777777" w:rsidR="00BD3603" w:rsidRDefault="00BD3603" w:rsidP="001B26D0">
      <w:pPr>
        <w:pStyle w:val="Paperwriting"/>
      </w:pPr>
    </w:p>
    <w:p w14:paraId="4C79F967" w14:textId="77777777" w:rsidR="00BD3603" w:rsidRDefault="00BD3603" w:rsidP="001B26D0">
      <w:pPr>
        <w:pStyle w:val="Paperwriting"/>
      </w:pPr>
    </w:p>
    <w:p w14:paraId="7E61CC44" w14:textId="77777777" w:rsidR="00BD3603" w:rsidRDefault="00BD3603" w:rsidP="001B26D0">
      <w:pPr>
        <w:pStyle w:val="Paperwriting"/>
      </w:pPr>
    </w:p>
    <w:p w14:paraId="08E64378" w14:textId="77777777" w:rsidR="00BD3603" w:rsidRDefault="00BD3603" w:rsidP="001B26D0">
      <w:pPr>
        <w:pStyle w:val="Paperwriting"/>
      </w:pPr>
    </w:p>
    <w:p w14:paraId="04B70254" w14:textId="77777777" w:rsidR="00BD3603" w:rsidRDefault="00BD3603" w:rsidP="001B26D0">
      <w:pPr>
        <w:pStyle w:val="Paperwriting"/>
      </w:pPr>
    </w:p>
    <w:p w14:paraId="7BE0F8AD" w14:textId="77777777" w:rsidR="00BD3603" w:rsidRDefault="00BD3603" w:rsidP="001B26D0">
      <w:pPr>
        <w:pStyle w:val="Paperwriting"/>
      </w:pPr>
    </w:p>
    <w:p w14:paraId="00B0EC7A" w14:textId="77777777" w:rsidR="00BD3603" w:rsidRPr="00D313FE" w:rsidRDefault="00BD3603" w:rsidP="001B26D0">
      <w:pPr>
        <w:pStyle w:val="Paperwriting"/>
      </w:pPr>
    </w:p>
    <w:p w14:paraId="1E6CBFE4" w14:textId="77777777" w:rsidR="005A19CD" w:rsidRPr="006A528A" w:rsidRDefault="006C0711" w:rsidP="001B26D0">
      <w:pPr>
        <w:pStyle w:val="Paperwriting"/>
        <w:rPr>
          <w:b/>
          <w:bCs/>
        </w:rPr>
      </w:pPr>
      <w:r w:rsidRPr="006A528A">
        <w:rPr>
          <w:b/>
          <w:bCs/>
        </w:rPr>
        <w:lastRenderedPageBreak/>
        <w:t xml:space="preserve">Section 1. </w:t>
      </w:r>
      <w:r w:rsidR="005A19CD" w:rsidRPr="006A528A">
        <w:rPr>
          <w:b/>
          <w:bCs/>
        </w:rPr>
        <w:t>Materials and Methods</w:t>
      </w:r>
    </w:p>
    <w:p w14:paraId="4D0A50D1" w14:textId="2FF57FFE" w:rsidR="006C0711" w:rsidRPr="00A82BB8" w:rsidRDefault="00A05A65" w:rsidP="00BD3603">
      <w:pPr>
        <w:pStyle w:val="Paperwriting"/>
        <w:jc w:val="both"/>
      </w:pPr>
      <w:r w:rsidRPr="00D313FE">
        <w:t>The material c</w:t>
      </w:r>
      <w:r w:rsidR="00E85FD4" w:rsidRPr="00D313FE">
        <w:t>hitosan (95% deacetylation, high molecular weight</w:t>
      </w:r>
      <w:r w:rsidR="00BD3603">
        <w:t>;</w:t>
      </w:r>
      <w:r w:rsidR="00BD3603" w:rsidRPr="00BD3603">
        <w:t xml:space="preserve"> 3</w:t>
      </w:r>
      <w:r w:rsidR="00BD3603">
        <w:t>1000</w:t>
      </w:r>
      <w:r w:rsidR="00BD3603" w:rsidRPr="00BD3603">
        <w:t>0-3</w:t>
      </w:r>
      <w:r w:rsidR="00BD3603">
        <w:t>25</w:t>
      </w:r>
      <w:r w:rsidR="00BD3603" w:rsidRPr="00BD3603">
        <w:t>000 Da</w:t>
      </w:r>
      <w:r w:rsidR="00E85FD4" w:rsidRPr="00D313FE">
        <w:t xml:space="preserve">) purchased from </w:t>
      </w:r>
      <w:proofErr w:type="spellStart"/>
      <w:r w:rsidR="00E85FD4" w:rsidRPr="00D313FE">
        <w:t>Hexir</w:t>
      </w:r>
      <w:proofErr w:type="spellEnd"/>
      <w:r w:rsidR="00E85FD4" w:rsidRPr="00D313FE">
        <w:t xml:space="preserve"> Co. Iran. Sodium alginate (Mw = 20 </w:t>
      </w:r>
      <w:proofErr w:type="spellStart"/>
      <w:r w:rsidR="00E85FD4" w:rsidRPr="00D313FE">
        <w:t>kDa</w:t>
      </w:r>
      <w:proofErr w:type="spellEnd"/>
      <w:r w:rsidR="00E85FD4" w:rsidRPr="00D313FE">
        <w:t xml:space="preserve">, G content of 65–70%), Fluorescein isothiocyanate in 10 mg </w:t>
      </w:r>
      <w:r w:rsidR="00FB0AF4" w:rsidRPr="00D313FE">
        <w:t>vial (FITC; Invitrogen F-1906). S</w:t>
      </w:r>
      <w:r w:rsidR="003A5876" w:rsidRPr="00D313FE">
        <w:t>heep blood</w:t>
      </w:r>
      <w:r w:rsidR="00FB0AF4" w:rsidRPr="00D313FE">
        <w:t xml:space="preserve"> obtained from </w:t>
      </w:r>
      <w:proofErr w:type="spellStart"/>
      <w:r w:rsidR="00FB0AF4" w:rsidRPr="00D313FE">
        <w:t>parsteb</w:t>
      </w:r>
      <w:proofErr w:type="spellEnd"/>
      <w:r w:rsidR="00FB0AF4" w:rsidRPr="00D313FE">
        <w:t xml:space="preserve"> (Iran). F</w:t>
      </w:r>
      <w:r w:rsidR="003A5876" w:rsidRPr="00D313FE">
        <w:t>etal bovine serum (FBS)</w:t>
      </w:r>
      <w:r w:rsidR="00FB0AF4" w:rsidRPr="00D313FE">
        <w:t xml:space="preserve"> purchased from </w:t>
      </w:r>
      <w:proofErr w:type="spellStart"/>
      <w:r w:rsidR="00FB0AF4" w:rsidRPr="00D313FE">
        <w:t>DENAzist</w:t>
      </w:r>
      <w:proofErr w:type="spellEnd"/>
      <w:r w:rsidR="00FB0AF4" w:rsidRPr="00D313FE">
        <w:t xml:space="preserve"> Asia (Iran). Docosahexaenoic acid</w:t>
      </w:r>
      <w:r w:rsidR="0088731C">
        <w:t xml:space="preserve"> (DHA)</w:t>
      </w:r>
      <w:r w:rsidR="00FB0AF4" w:rsidRPr="00D313FE">
        <w:t>, t</w:t>
      </w:r>
      <w:r w:rsidR="003A5876" w:rsidRPr="00D313FE">
        <w:t>rimethoprim, vancomycin,</w:t>
      </w:r>
      <w:r w:rsidR="00FB0AF4" w:rsidRPr="00D313FE">
        <w:t xml:space="preserve"> amoxicillin (AMX),</w:t>
      </w:r>
      <w:r w:rsidR="004D240B">
        <w:t xml:space="preserve"> </w:t>
      </w:r>
      <w:r w:rsidR="003A5876" w:rsidRPr="00D313FE">
        <w:t>polymyxin B</w:t>
      </w:r>
      <w:r w:rsidR="004D240B">
        <w:t xml:space="preserve">, and </w:t>
      </w:r>
      <w:r w:rsidR="004D240B" w:rsidRPr="007A11D2">
        <w:rPr>
          <w:rFonts w:eastAsia="Calibri"/>
          <w:color w:val="000000" w:themeColor="text1"/>
          <w:lang w:val="en-GB" w:bidi="fa-IR"/>
        </w:rPr>
        <w:t xml:space="preserve">Cellulose membrane </w:t>
      </w:r>
      <w:r w:rsidR="00FB0AF4" w:rsidRPr="007A11D2">
        <w:t>purchased from Sigma Aldrich (Gillingham, UK).</w:t>
      </w:r>
      <w:r w:rsidR="003A5876" w:rsidRPr="007A11D2">
        <w:t xml:space="preserve"> </w:t>
      </w:r>
      <w:proofErr w:type="spellStart"/>
      <w:r w:rsidR="00FB0AF4" w:rsidRPr="007A11D2">
        <w:t>Gaspack</w:t>
      </w:r>
      <w:proofErr w:type="spellEnd"/>
      <w:r w:rsidR="00FB0AF4" w:rsidRPr="007A11D2">
        <w:t xml:space="preserve"> C obtained from Merck</w:t>
      </w:r>
      <w:r w:rsidR="003A5876" w:rsidRPr="007A11D2">
        <w:t xml:space="preserve"> </w:t>
      </w:r>
      <w:r w:rsidR="00FB0AF4" w:rsidRPr="007A11D2">
        <w:t>(</w:t>
      </w:r>
      <w:r w:rsidR="003A5876" w:rsidRPr="007A11D2">
        <w:t>USA</w:t>
      </w:r>
      <w:r w:rsidR="0013364B" w:rsidRPr="007A11D2">
        <w:t xml:space="preserve">). </w:t>
      </w:r>
      <w:r w:rsidR="004D240B" w:rsidRPr="007A11D2">
        <w:rPr>
          <w:rFonts w:eastAsia="Calibri"/>
          <w:color w:val="000000" w:themeColor="text1"/>
          <w:lang w:val="en-GB" w:bidi="fa-IR"/>
        </w:rPr>
        <w:t>Collagen I</w:t>
      </w:r>
      <w:r w:rsidR="004D240B" w:rsidRPr="007A11D2">
        <w:rPr>
          <w:rFonts w:cs="Times New Roman"/>
        </w:rPr>
        <w:t xml:space="preserve"> was obtained from (PA-26264, </w:t>
      </w:r>
      <w:proofErr w:type="spellStart"/>
      <w:r w:rsidR="004D240B" w:rsidRPr="007A11D2">
        <w:rPr>
          <w:rFonts w:cs="Times New Roman"/>
        </w:rPr>
        <w:t>Thermofisher</w:t>
      </w:r>
      <w:proofErr w:type="spellEnd"/>
      <w:r w:rsidR="004D240B" w:rsidRPr="007A11D2">
        <w:rPr>
          <w:rFonts w:cs="Times New Roman"/>
        </w:rPr>
        <w:t xml:space="preserve">, USA). </w:t>
      </w:r>
      <w:r w:rsidR="00A82BB8" w:rsidRPr="007A11D2">
        <w:rPr>
          <w:rFonts w:cs="Times New Roman"/>
        </w:rPr>
        <w:t>Enzyme-linked immunosorbent assay (ELISA) kits were purchased from Bioassay Technology Laboratory (China).</w:t>
      </w:r>
    </w:p>
    <w:p w14:paraId="1FCB2FBE" w14:textId="77777777" w:rsidR="00496910" w:rsidRPr="006A528A" w:rsidRDefault="006C0711" w:rsidP="001B26D0">
      <w:pPr>
        <w:pStyle w:val="Paperwriting"/>
        <w:rPr>
          <w:b/>
          <w:bCs/>
        </w:rPr>
      </w:pPr>
      <w:r w:rsidRPr="006A528A">
        <w:rPr>
          <w:b/>
          <w:bCs/>
        </w:rPr>
        <w:t xml:space="preserve">Section 2. </w:t>
      </w:r>
      <w:r w:rsidR="009D7ACC" w:rsidRPr="006A528A">
        <w:rPr>
          <w:b/>
          <w:bCs/>
        </w:rPr>
        <w:t>Composite</w:t>
      </w:r>
      <w:r w:rsidR="00F506BB">
        <w:rPr>
          <w:b/>
          <w:bCs/>
        </w:rPr>
        <w:t xml:space="preserve"> NPs</w:t>
      </w:r>
      <w:r w:rsidR="009D7ACC" w:rsidRPr="006A528A">
        <w:rPr>
          <w:b/>
          <w:bCs/>
        </w:rPr>
        <w:t xml:space="preserve"> preparation</w:t>
      </w:r>
    </w:p>
    <w:p w14:paraId="50F344AB" w14:textId="77777777" w:rsidR="00716FDF" w:rsidRPr="00D313FE" w:rsidRDefault="00A05A65" w:rsidP="004D7792">
      <w:pPr>
        <w:pStyle w:val="Paperwriting"/>
        <w:jc w:val="both"/>
      </w:pPr>
      <w:r w:rsidRPr="00D313FE">
        <w:t>We prepared chitosan-based</w:t>
      </w:r>
      <w:r w:rsidR="00F506BB">
        <w:t xml:space="preserve"> NPs</w:t>
      </w:r>
      <w:r w:rsidRPr="00D313FE">
        <w:t xml:space="preserve"> containing both DHA and AMX by employing the ionic gelation method together with alginate</w:t>
      </w:r>
      <w:r w:rsidR="004D7792">
        <w:t>. A polycationic</w:t>
      </w:r>
      <w:r w:rsidRPr="00D313FE">
        <w:t xml:space="preserve"> solution was prepared by dissolving (20 gr) of chitosan powder in acetic acid (0.1, 0.5, and 1</w:t>
      </w:r>
      <w:r w:rsidR="004D7792">
        <w:t>.0</w:t>
      </w:r>
      <w:r w:rsidRPr="00D313FE">
        <w:t xml:space="preserve">% v/v) under magnetic stirring and continuous sonication for 60 min. During the homogenization process, the solution was passed through a filter with a pore size of 1 </w:t>
      </w:r>
      <w:proofErr w:type="spellStart"/>
      <w:r w:rsidRPr="00D313FE">
        <w:t>μm</w:t>
      </w:r>
      <w:proofErr w:type="spellEnd"/>
      <w:r w:rsidRPr="00D313FE">
        <w:t>. Preparation of the polyanionic solution was accomplished by dispersing the alginate powder (20 gr) in distilled water and stirring mechanically.</w:t>
      </w:r>
      <w:r w:rsidR="00716FDF" w:rsidRPr="00D313FE">
        <w:t xml:space="preserve"> The pH of the solution was adjusted to 4.2 with 2 N NaOH. The final solutions were stirred at 50 °C until the solution was completely homogenized (without any aggregation). </w:t>
      </w:r>
    </w:p>
    <w:p w14:paraId="1F9E3A40" w14:textId="306EC8DE" w:rsidR="00716FDF" w:rsidRPr="00D313FE" w:rsidRDefault="00D313FE" w:rsidP="00F506BB">
      <w:pPr>
        <w:pStyle w:val="Paperwriting"/>
        <w:jc w:val="both"/>
      </w:pPr>
      <w:r w:rsidRPr="00D313FE">
        <w:t xml:space="preserve">We prepared three different </w:t>
      </w:r>
      <w:r w:rsidR="0047733C">
        <w:t>concentrations</w:t>
      </w:r>
      <w:r w:rsidR="0073486C">
        <w:t xml:space="preserve"> of DHA </w:t>
      </w:r>
      <w:r w:rsidR="0073486C" w:rsidRPr="00D313FE">
        <w:t>(1.0, 1.5, and 2.0% v/v)</w:t>
      </w:r>
      <w:r w:rsidRPr="00D313FE">
        <w:t>.</w:t>
      </w:r>
      <w:r w:rsidR="00716FDF" w:rsidRPr="00D313FE">
        <w:t xml:space="preserve"> Homogenization was performed in a water bath at 50 °C for 90 min. DHA</w:t>
      </w:r>
      <w:r w:rsidRPr="00D313FE">
        <w:t>,</w:t>
      </w:r>
      <w:r w:rsidR="00716FDF" w:rsidRPr="00D313FE">
        <w:t xml:space="preserve"> AMX and chitosan</w:t>
      </w:r>
      <w:r w:rsidR="004D7792">
        <w:t xml:space="preserve"> solutions</w:t>
      </w:r>
      <w:r w:rsidR="00716FDF" w:rsidRPr="00D313FE">
        <w:t xml:space="preserve"> were gradually dropped into the alginate solution under ice bath conditions for 20 minutes during homogenization and then placed in the</w:t>
      </w:r>
      <w:r w:rsidRPr="00D313FE">
        <w:t xml:space="preserve"> freezer at -20 °C for 2 min</w:t>
      </w:r>
      <w:r w:rsidR="00716FDF" w:rsidRPr="00D313FE">
        <w:t>.</w:t>
      </w:r>
    </w:p>
    <w:p w14:paraId="142D72D5" w14:textId="77777777" w:rsidR="00F506BB" w:rsidRDefault="00716FDF" w:rsidP="00F506BB">
      <w:pPr>
        <w:pStyle w:val="Paperwriting"/>
        <w:jc w:val="both"/>
      </w:pPr>
      <w:r w:rsidRPr="00D313FE">
        <w:t>Finally, ultrasonic treatment was perfo</w:t>
      </w:r>
      <w:r w:rsidR="004D7792">
        <w:t>rmed using an ultrasonic device</w:t>
      </w:r>
      <w:r w:rsidRPr="00D313FE">
        <w:t xml:space="preserve"> in the ice bath for 4 min with a sequence of 0.7 s sonication and 0.3 s rest, resulting in a homogeneous suspension. The resulting particles were collected by centrifugation at 10,000 × g at -20 °C for 30 min. Unloaded DHA and AMX were removed by washing the plate several times with DDW.</w:t>
      </w:r>
      <w:r w:rsidR="0073486C">
        <w:t xml:space="preserve"> Finally, </w:t>
      </w:r>
      <w:r w:rsidR="00F506BB" w:rsidRPr="00F506BB">
        <w:t xml:space="preserve">We prepared CA-DHA NPs in different formulations, chitosan (0.1, 0.5, and 1.0% v/v), DHA (0.0, 0.5, 1.5, and 2.0 v/v), and AMX (40, 60, and 100 mg/ml), </w:t>
      </w:r>
      <w:r w:rsidR="00F506BB" w:rsidRPr="00F506BB">
        <w:rPr>
          <w:i/>
          <w:iCs/>
        </w:rPr>
        <w:t>in vivo</w:t>
      </w:r>
      <w:r w:rsidR="00F506BB" w:rsidRPr="00F506BB">
        <w:t xml:space="preserve"> study was conducted to test CA-</w:t>
      </w:r>
      <w:r w:rsidR="00F506BB" w:rsidRPr="00F506BB">
        <w:lastRenderedPageBreak/>
        <w:t>DHA, CA-AMX, and CA-DHA-AMX NPs by following concentration of components: CA (1.0% v/v), DHA (2.0% v/v), and AMX in two concentration; 10 and 20 mg/kg.</w:t>
      </w:r>
    </w:p>
    <w:p w14:paraId="2E9B1718" w14:textId="77777777" w:rsidR="00A33D4B" w:rsidRPr="006A528A" w:rsidRDefault="00AE13DB" w:rsidP="00F506BB">
      <w:pPr>
        <w:pStyle w:val="Paperwriting"/>
        <w:jc w:val="both"/>
        <w:rPr>
          <w:b/>
          <w:bCs/>
        </w:rPr>
      </w:pPr>
      <w:r w:rsidRPr="006A528A">
        <w:rPr>
          <w:b/>
          <w:bCs/>
        </w:rPr>
        <w:t xml:space="preserve">Section.3 </w:t>
      </w:r>
      <w:r w:rsidR="00A33D4B" w:rsidRPr="006A528A">
        <w:rPr>
          <w:b/>
          <w:bCs/>
        </w:rPr>
        <w:t>Physicochemical characteristics</w:t>
      </w:r>
    </w:p>
    <w:p w14:paraId="0ED1B2A9" w14:textId="77777777" w:rsidR="00A33D4B" w:rsidRPr="006A528A" w:rsidRDefault="00A33D4B" w:rsidP="001B26D0">
      <w:pPr>
        <w:pStyle w:val="Paperwriting"/>
        <w:rPr>
          <w:b/>
          <w:bCs/>
          <w:i/>
          <w:iCs/>
        </w:rPr>
      </w:pPr>
      <w:r w:rsidRPr="006A528A">
        <w:rPr>
          <w:b/>
          <w:bCs/>
          <w:i/>
          <w:iCs/>
        </w:rPr>
        <w:t>Scanning electron microscopy analysis</w:t>
      </w:r>
    </w:p>
    <w:p w14:paraId="1DBFC70D" w14:textId="77777777" w:rsidR="00187441" w:rsidRPr="00D313FE" w:rsidRDefault="00187441" w:rsidP="001B26D0">
      <w:pPr>
        <w:pStyle w:val="Paperwriting"/>
      </w:pPr>
      <w:r w:rsidRPr="00D313FE">
        <w:t>Surface morphology was determined by SEM analysis. The CA -based</w:t>
      </w:r>
      <w:r w:rsidR="00F506BB">
        <w:t xml:space="preserve"> NPs</w:t>
      </w:r>
      <w:r w:rsidRPr="00D313FE">
        <w:t xml:space="preserve"> were mounted on an aluminum stub and coated with gold (30 mM, 8 Pa) for 10 s using a sputter coater (Polaron). The surface of the composite scaffolds was analyzed using SEM (Tokyo, Japan). The gold-coated samples were observed with an accelerating voltage of 10 </w:t>
      </w:r>
      <w:proofErr w:type="spellStart"/>
      <w:r w:rsidRPr="00D313FE">
        <w:t>Kv</w:t>
      </w:r>
      <w:proofErr w:type="spellEnd"/>
      <w:r w:rsidRPr="00D313FE">
        <w:t>.</w:t>
      </w:r>
    </w:p>
    <w:p w14:paraId="61440667" w14:textId="77777777" w:rsidR="00A33D4B" w:rsidRPr="006A528A" w:rsidRDefault="00A33D4B" w:rsidP="001B26D0">
      <w:pPr>
        <w:pStyle w:val="Paperwriting"/>
        <w:rPr>
          <w:b/>
          <w:bCs/>
          <w:i/>
          <w:iCs/>
        </w:rPr>
      </w:pPr>
      <w:r w:rsidRPr="006A528A">
        <w:rPr>
          <w:b/>
          <w:bCs/>
          <w:i/>
          <w:iCs/>
        </w:rPr>
        <w:t>Fourier transform infrared sp</w:t>
      </w:r>
      <w:bookmarkStart w:id="6" w:name="OLE_LINK12"/>
      <w:bookmarkStart w:id="7" w:name="OLE_LINK13"/>
      <w:r w:rsidRPr="006A528A">
        <w:rPr>
          <w:b/>
          <w:bCs/>
          <w:i/>
          <w:iCs/>
        </w:rPr>
        <w:t xml:space="preserve">ectroscopy </w:t>
      </w:r>
      <w:bookmarkEnd w:id="6"/>
      <w:bookmarkEnd w:id="7"/>
      <w:r w:rsidRPr="006A528A">
        <w:rPr>
          <w:b/>
          <w:bCs/>
          <w:i/>
          <w:iCs/>
        </w:rPr>
        <w:t>(FTIR)</w:t>
      </w:r>
    </w:p>
    <w:p w14:paraId="09B67E9B" w14:textId="77777777" w:rsidR="00187441" w:rsidRPr="00D313FE" w:rsidRDefault="00187441" w:rsidP="00F506BB">
      <w:pPr>
        <w:pStyle w:val="Paperwriting"/>
        <w:jc w:val="both"/>
      </w:pPr>
      <w:r w:rsidRPr="00D313FE">
        <w:t>FTIR was used to identify functional groups and evaluate the localization of AMX and DHA in CA</w:t>
      </w:r>
      <w:r w:rsidR="00F506BB">
        <w:t xml:space="preserve"> NPs</w:t>
      </w:r>
      <w:r w:rsidRPr="00D313FE">
        <w:t>. All components were analyzed by FTIR, including chitosan, alginate, DHA, AMX and CA-DHA-AMX</w:t>
      </w:r>
      <w:r w:rsidR="00F506BB">
        <w:t xml:space="preserve"> NPs</w:t>
      </w:r>
      <w:r w:rsidRPr="00D313FE">
        <w:t>. The</w:t>
      </w:r>
      <w:r w:rsidR="00F506BB">
        <w:t xml:space="preserve"> NPs</w:t>
      </w:r>
      <w:r w:rsidRPr="00D313FE">
        <w:t xml:space="preserve"> were first freeze-dried to study the interaction between the amino groups of the components. The</w:t>
      </w:r>
      <w:r w:rsidR="00F506BB">
        <w:t xml:space="preserve"> NPs</w:t>
      </w:r>
      <w:r w:rsidRPr="00D313FE">
        <w:t xml:space="preserve"> were loaded onto potassium bromide (KBr) disks and then analyzed using an FTIR spectrometer (Shimadzu Scientific Instruments, USA). The samples were scanned from 400 to 4000 </w:t>
      </w:r>
      <w:proofErr w:type="gramStart"/>
      <w:r w:rsidRPr="00D313FE">
        <w:t>cm-1</w:t>
      </w:r>
      <w:proofErr w:type="gramEnd"/>
      <w:r w:rsidRPr="00D313FE">
        <w:t>.</w:t>
      </w:r>
    </w:p>
    <w:p w14:paraId="3923A3FA" w14:textId="77777777" w:rsidR="00A33D4B" w:rsidRPr="006A528A" w:rsidRDefault="00A33D4B" w:rsidP="001B26D0">
      <w:pPr>
        <w:pStyle w:val="Paperwriting"/>
        <w:rPr>
          <w:b/>
          <w:bCs/>
          <w:i/>
          <w:iCs/>
        </w:rPr>
      </w:pPr>
      <w:r w:rsidRPr="006A528A">
        <w:rPr>
          <w:b/>
          <w:bCs/>
          <w:i/>
          <w:iCs/>
        </w:rPr>
        <w:t>X-ray diffraction</w:t>
      </w:r>
    </w:p>
    <w:p w14:paraId="275672FB" w14:textId="77777777" w:rsidR="00187441" w:rsidRPr="00F5270E" w:rsidRDefault="00187441" w:rsidP="00F506BB">
      <w:pPr>
        <w:pStyle w:val="Paperwriting"/>
        <w:jc w:val="both"/>
      </w:pPr>
      <w:r w:rsidRPr="00F5270E">
        <w:t>X-ray diffraction (XRD) was used to determine the crystallinity and structure of the composite</w:t>
      </w:r>
      <w:r w:rsidR="00F506BB">
        <w:t xml:space="preserve"> NPs</w:t>
      </w:r>
      <w:r w:rsidRPr="00F5270E">
        <w:t xml:space="preserve">. X-ray diffraction analysis was performed using a Philips </w:t>
      </w:r>
      <w:proofErr w:type="spellStart"/>
      <w:r w:rsidRPr="00F5270E">
        <w:t>X'Pert</w:t>
      </w:r>
      <w:proofErr w:type="spellEnd"/>
      <w:r w:rsidRPr="00F5270E">
        <w:t xml:space="preserve"> MPD diffractometer (Philips, The Netherlands) equipped with Cu Kα radiation (λ = 1,540 Å) at 30 mA and 40 kV. The samples were placed on a sample holder and XRD scans were measured in the 2 θ range from 10° to 80° at a rate of 2°/min.</w:t>
      </w:r>
    </w:p>
    <w:p w14:paraId="3A85D3C3" w14:textId="77777777" w:rsidR="00335E32" w:rsidRPr="006A528A" w:rsidRDefault="00335E32" w:rsidP="001B26D0">
      <w:pPr>
        <w:pStyle w:val="Paperwriting"/>
        <w:rPr>
          <w:b/>
          <w:bCs/>
          <w:i/>
          <w:iCs/>
        </w:rPr>
      </w:pPr>
      <w:r w:rsidRPr="006A528A">
        <w:rPr>
          <w:b/>
          <w:bCs/>
          <w:i/>
          <w:iCs/>
        </w:rPr>
        <w:t>Atomic force microscopy</w:t>
      </w:r>
    </w:p>
    <w:p w14:paraId="3B19ABBE" w14:textId="47A420E8" w:rsidR="00335E32" w:rsidRPr="001B26D0" w:rsidRDefault="00335E32" w:rsidP="00F506BB">
      <w:pPr>
        <w:pStyle w:val="Paperwriting"/>
        <w:jc w:val="both"/>
      </w:pPr>
      <w:r w:rsidRPr="001B26D0">
        <w:t>The surface morphology of</w:t>
      </w:r>
      <w:r w:rsidR="00F506BB">
        <w:t xml:space="preserve"> NPs</w:t>
      </w:r>
      <w:r w:rsidRPr="001B26D0">
        <w:t xml:space="preserve"> and particle size were determined by </w:t>
      </w:r>
      <w:r w:rsidR="0047733C">
        <w:t>a</w:t>
      </w:r>
      <w:r w:rsidRPr="001B26D0">
        <w:t>tomic force microscopy (AFM).</w:t>
      </w:r>
    </w:p>
    <w:p w14:paraId="62DE71F0" w14:textId="77777777" w:rsidR="00CE552E" w:rsidRPr="006A528A" w:rsidRDefault="00CE552E" w:rsidP="001B26D0">
      <w:pPr>
        <w:pStyle w:val="Paperwriting"/>
        <w:rPr>
          <w:b/>
          <w:bCs/>
          <w:i/>
          <w:iCs/>
        </w:rPr>
      </w:pPr>
      <w:r w:rsidRPr="006A528A">
        <w:rPr>
          <w:b/>
          <w:bCs/>
          <w:i/>
          <w:iCs/>
        </w:rPr>
        <w:t>Zeta Potential</w:t>
      </w:r>
    </w:p>
    <w:p w14:paraId="63B58648" w14:textId="783BF8A8" w:rsidR="00574C95" w:rsidRPr="001B26D0" w:rsidRDefault="00CE552E" w:rsidP="00A82BB8">
      <w:pPr>
        <w:pStyle w:val="Paperwriting"/>
        <w:jc w:val="both"/>
      </w:pPr>
      <w:r w:rsidRPr="001B26D0">
        <w:t xml:space="preserve">The zeta potential of </w:t>
      </w:r>
      <w:r w:rsidR="001B26D0" w:rsidRPr="001B26D0">
        <w:t>the composite</w:t>
      </w:r>
      <w:r w:rsidR="00F506BB">
        <w:t xml:space="preserve"> NPs</w:t>
      </w:r>
      <w:r w:rsidR="001B26D0" w:rsidRPr="001B26D0">
        <w:t xml:space="preserve"> was</w:t>
      </w:r>
      <w:r w:rsidRPr="001B26D0">
        <w:t xml:space="preserve"> evaluated by Zeta potential analyzer (Horiba Jobin </w:t>
      </w:r>
      <w:proofErr w:type="spellStart"/>
      <w:r w:rsidRPr="001B26D0">
        <w:t>Jyovin</w:t>
      </w:r>
      <w:proofErr w:type="spellEnd"/>
      <w:r w:rsidRPr="001B26D0">
        <w:t xml:space="preserve">) in buffer solution with different pH values. For each composite nanoparticle, three </w:t>
      </w:r>
      <w:r w:rsidRPr="001B26D0">
        <w:lastRenderedPageBreak/>
        <w:t>replicate samples were measured at different pH values and ±SD for triplicate samples was reported as the mean diameter.</w:t>
      </w:r>
    </w:p>
    <w:p w14:paraId="45ED6D1F" w14:textId="77777777" w:rsidR="002014EB" w:rsidRPr="006A528A" w:rsidRDefault="002014EB" w:rsidP="001B26D0">
      <w:pPr>
        <w:pStyle w:val="Paperwriting"/>
        <w:rPr>
          <w:b/>
          <w:bCs/>
          <w:i/>
          <w:iCs/>
        </w:rPr>
      </w:pPr>
      <w:r w:rsidRPr="006A528A">
        <w:rPr>
          <w:b/>
          <w:bCs/>
          <w:i/>
          <w:iCs/>
        </w:rPr>
        <w:t>Swelling index</w:t>
      </w:r>
    </w:p>
    <w:p w14:paraId="4080067E" w14:textId="77777777" w:rsidR="00187441" w:rsidRPr="001B26D0" w:rsidRDefault="00187441" w:rsidP="00574C95">
      <w:pPr>
        <w:pStyle w:val="Paperwriting"/>
        <w:jc w:val="both"/>
      </w:pPr>
      <w:r w:rsidRPr="001B26D0">
        <w:t>Swelling was studied on composite</w:t>
      </w:r>
      <w:r w:rsidR="00F506BB">
        <w:t xml:space="preserve"> NPs</w:t>
      </w:r>
      <w:r w:rsidRPr="001B26D0">
        <w:t xml:space="preserve"> in different pH media. The composite</w:t>
      </w:r>
      <w:r w:rsidR="00F506BB">
        <w:t xml:space="preserve"> NPs</w:t>
      </w:r>
      <w:r w:rsidRPr="001B26D0">
        <w:t xml:space="preserve"> were dried and weighed (1 g) before immersion in distilled water as medium for 2 h. The composite</w:t>
      </w:r>
      <w:r w:rsidR="00F506BB">
        <w:t xml:space="preserve"> NPs</w:t>
      </w:r>
      <w:r w:rsidRPr="001B26D0">
        <w:t xml:space="preserve"> w</w:t>
      </w:r>
      <w:r w:rsidR="001B26D0" w:rsidRPr="001B26D0">
        <w:t>ere then dried and weighed</w:t>
      </w:r>
      <w:r w:rsidRPr="001B26D0">
        <w:t>. The stability of the composite</w:t>
      </w:r>
      <w:r w:rsidR="00F506BB">
        <w:t xml:space="preserve"> NPs</w:t>
      </w:r>
      <w:r w:rsidRPr="001B26D0">
        <w:t xml:space="preserve"> in different media </w:t>
      </w:r>
      <w:r w:rsidR="00574C95" w:rsidRPr="001B26D0">
        <w:t>(pH 2.5, 4</w:t>
      </w:r>
      <w:r w:rsidR="00574C95">
        <w:t>.0</w:t>
      </w:r>
      <w:r w:rsidR="00574C95" w:rsidRPr="001B26D0">
        <w:t>, and 5.5)</w:t>
      </w:r>
      <w:r w:rsidR="00574C95">
        <w:t xml:space="preserve"> </w:t>
      </w:r>
      <w:r w:rsidRPr="001B26D0">
        <w:t>was determined using a spectrophotometer at a wavelength of 500 nm. The swelling index was determined in the composite</w:t>
      </w:r>
      <w:r w:rsidR="00F506BB">
        <w:t xml:space="preserve"> NPs</w:t>
      </w:r>
      <w:r w:rsidRPr="001B26D0">
        <w:t xml:space="preserve"> using the following formula:</w:t>
      </w:r>
    </w:p>
    <w:p w14:paraId="0A85ED83" w14:textId="77777777" w:rsidR="002014EB" w:rsidRPr="001B26D0" w:rsidRDefault="00187441" w:rsidP="001B26D0">
      <w:pPr>
        <w:pStyle w:val="Paperwriting"/>
        <w:rPr>
          <w:rFonts w:eastAsia="Cambria Math"/>
        </w:rPr>
      </w:pPr>
      <w:r w:rsidRPr="001B26D0">
        <w:t xml:space="preserve"> </w:t>
      </w:r>
      <m:oMath>
        <m:r>
          <w:rPr>
            <w:rFonts w:ascii="Cambria Math" w:eastAsia="Cambria Math" w:hAnsi="Cambria Math"/>
          </w:rPr>
          <m:t>% SI=</m:t>
        </m:r>
        <m:f>
          <m:fPr>
            <m:ctrlPr>
              <w:rPr>
                <w:rFonts w:ascii="Cambria Math" w:eastAsia="Cambria Math" w:hAnsi="Cambria Math"/>
              </w:rPr>
            </m:ctrlPr>
          </m:fPr>
          <m:num>
            <m:d>
              <m:dPr>
                <m:ctrlPr>
                  <w:rPr>
                    <w:rFonts w:ascii="Cambria Math" w:eastAsia="Cambria Math" w:hAnsi="Cambria Math"/>
                  </w:rPr>
                </m:ctrlPr>
              </m:dPr>
              <m:e>
                <m:r>
                  <w:rPr>
                    <w:rFonts w:ascii="Cambria Math" w:eastAsia="Cambria Math" w:hAnsi="Cambria Math"/>
                  </w:rPr>
                  <m:t>Ws-Wd</m:t>
                </m:r>
              </m:e>
            </m:d>
          </m:num>
          <m:den>
            <m:r>
              <w:rPr>
                <w:rFonts w:ascii="Cambria Math" w:eastAsia="Cambria Math" w:hAnsi="Cambria Math"/>
              </w:rPr>
              <m:t>wd</m:t>
            </m:r>
          </m:den>
        </m:f>
        <m:r>
          <w:rPr>
            <w:rFonts w:ascii="Cambria Math" w:eastAsia="Cambria Math" w:hAnsi="Cambria Math"/>
          </w:rPr>
          <m:t xml:space="preserve"> ×100</m:t>
        </m:r>
      </m:oMath>
    </w:p>
    <w:p w14:paraId="4EF576FB" w14:textId="77777777" w:rsidR="00187441" w:rsidRPr="001B26D0" w:rsidRDefault="00187441" w:rsidP="001B26D0">
      <w:pPr>
        <w:pStyle w:val="Paperwriting"/>
      </w:pPr>
      <w:r w:rsidRPr="001B26D0">
        <w:t>Where SI indicates the swelling index and "</w:t>
      </w:r>
      <w:proofErr w:type="spellStart"/>
      <w:r w:rsidRPr="001B26D0">
        <w:t>Ws</w:t>
      </w:r>
      <w:proofErr w:type="spellEnd"/>
      <w:r w:rsidRPr="001B26D0">
        <w:t>" and "Wd" represent the weight of the swollen and dry composite</w:t>
      </w:r>
      <w:r w:rsidR="00F506BB">
        <w:t xml:space="preserve"> NPs</w:t>
      </w:r>
      <w:r w:rsidRPr="001B26D0">
        <w:t>, respectively.</w:t>
      </w:r>
    </w:p>
    <w:p w14:paraId="39E26475" w14:textId="77777777" w:rsidR="00AE13DB" w:rsidRPr="006A528A" w:rsidRDefault="00AE13DB" w:rsidP="001B26D0">
      <w:pPr>
        <w:pStyle w:val="Paperwriting"/>
        <w:rPr>
          <w:b/>
          <w:bCs/>
          <w:i/>
          <w:iCs/>
        </w:rPr>
      </w:pPr>
      <w:r w:rsidRPr="006A528A">
        <w:rPr>
          <w:b/>
          <w:bCs/>
          <w:i/>
          <w:iCs/>
        </w:rPr>
        <w:t>Drug content</w:t>
      </w:r>
    </w:p>
    <w:p w14:paraId="3D34BE36" w14:textId="77777777" w:rsidR="00187441" w:rsidRPr="001B26D0" w:rsidRDefault="00187441" w:rsidP="006A528A">
      <w:pPr>
        <w:pStyle w:val="Paperwriting"/>
        <w:jc w:val="both"/>
      </w:pPr>
      <w:r w:rsidRPr="001B26D0">
        <w:t xml:space="preserve">Stock solutions of AMX were prepared by dissolving AMX in methanol at a concentration of 10 </w:t>
      </w:r>
      <w:proofErr w:type="spellStart"/>
      <w:r w:rsidRPr="001B26D0">
        <w:t>μg</w:t>
      </w:r>
      <w:proofErr w:type="spellEnd"/>
      <w:r w:rsidRPr="001B26D0">
        <w:t xml:space="preserve">/ml. Finally, working solutions were prepared in concentration ranges of 5, 10, 15, 20, and 25 </w:t>
      </w:r>
      <w:proofErr w:type="spellStart"/>
      <w:r w:rsidRPr="001B26D0">
        <w:t>μg</w:t>
      </w:r>
      <w:proofErr w:type="spellEnd"/>
      <w:r w:rsidRPr="001B26D0">
        <w:t>/ml with methanol.</w:t>
      </w:r>
      <w:r w:rsidR="00574C95">
        <w:t xml:space="preserve"> </w:t>
      </w:r>
    </w:p>
    <w:p w14:paraId="2B71F210" w14:textId="77777777" w:rsidR="00187441" w:rsidRPr="001B26D0" w:rsidRDefault="00187441" w:rsidP="00574C95">
      <w:pPr>
        <w:pStyle w:val="Paperwriting"/>
        <w:jc w:val="both"/>
      </w:pPr>
      <w:r w:rsidRPr="001B26D0">
        <w:t>Twenty milligrams of NPs were accurately weighed, compressed, and crushed by sonication. The released contents were washed with PBS. Tween 80 was used to increase the solubility of AMX. The resulting solution was made up to a volume of 100 ml in a 100 ml volumetric flask containing PBS. The solution was filtered through a 0.45 µm membrane filter to collect the</w:t>
      </w:r>
      <w:r w:rsidR="00FE0F0A">
        <w:t xml:space="preserve"> NP</w:t>
      </w:r>
      <w:r w:rsidR="002370F3">
        <w:t xml:space="preserve"> </w:t>
      </w:r>
      <w:r w:rsidRPr="001B26D0">
        <w:t xml:space="preserve">debris. The filtered solution was analyzed for AMX at 272 nm and for DHA at 205 nm using a UV/Vis spectrophotometer (JENWAY/6105). Measurements were performed in triplicate for </w:t>
      </w:r>
      <w:r w:rsidR="00574C95">
        <w:t xml:space="preserve">60 mg/ml AMX and 100 </w:t>
      </w:r>
      <w:r w:rsidR="00574C95">
        <w:rPr>
          <w:rFonts w:cs="Times New Roman"/>
        </w:rPr>
        <w:t>µ</w:t>
      </w:r>
      <w:r w:rsidR="00574C95">
        <w:t>M DHA</w:t>
      </w:r>
      <w:r w:rsidRPr="001B26D0">
        <w:t>. The drug content was expressed as drug entrapment (DE %) and calculated using the following equation:</w:t>
      </w:r>
    </w:p>
    <w:p w14:paraId="4D601E7D" w14:textId="77777777" w:rsidR="00823547" w:rsidRPr="001B26D0" w:rsidRDefault="001B26D0" w:rsidP="006A528A">
      <w:pPr>
        <w:pStyle w:val="Paperwriting"/>
        <w:jc w:val="both"/>
      </w:pPr>
      <m:oMathPara>
        <m:oMath>
          <m:r>
            <w:rPr>
              <w:rFonts w:ascii="Cambria Math" w:eastAsia="Cambria Math" w:hAnsi="Cambria Math"/>
            </w:rPr>
            <m:t>%DE =</m:t>
          </m:r>
          <m:f>
            <m:fPr>
              <m:ctrlPr>
                <w:rPr>
                  <w:rFonts w:ascii="Cambria Math" w:eastAsia="Cambria Math" w:hAnsi="Cambria Math"/>
                </w:rPr>
              </m:ctrlPr>
            </m:fPr>
            <m:num>
              <m:r>
                <w:rPr>
                  <w:rFonts w:ascii="Cambria Math" w:eastAsia="Cambria Math" w:hAnsi="Cambria Math"/>
                </w:rPr>
                <m:t>M1</m:t>
              </m:r>
            </m:num>
            <m:den>
              <m:r>
                <w:rPr>
                  <w:rFonts w:ascii="Cambria Math" w:eastAsia="Cambria Math" w:hAnsi="Cambria Math"/>
                </w:rPr>
                <m:t>M0</m:t>
              </m:r>
            </m:den>
          </m:f>
          <m:r>
            <w:rPr>
              <w:rFonts w:ascii="Cambria Math" w:eastAsia="Cambria Math" w:hAnsi="Cambria Math"/>
            </w:rPr>
            <m:t xml:space="preserve"> ×100</m:t>
          </m:r>
        </m:oMath>
      </m:oMathPara>
    </w:p>
    <w:p w14:paraId="7B7E709B" w14:textId="77777777" w:rsidR="000D5A9C" w:rsidRDefault="000D5A9C" w:rsidP="006A528A">
      <w:pPr>
        <w:pStyle w:val="Paperwriting"/>
        <w:jc w:val="both"/>
      </w:pPr>
      <w:r w:rsidRPr="001B26D0">
        <w:t>"M1" and "M0" represent the amount of AMX or DHA in the</w:t>
      </w:r>
      <w:r w:rsidR="00F506BB">
        <w:t xml:space="preserve"> NPs</w:t>
      </w:r>
      <w:r w:rsidRPr="001B26D0">
        <w:t xml:space="preserve"> and the amount of drug used in the formulation, respectively.</w:t>
      </w:r>
    </w:p>
    <w:p w14:paraId="3CB2EA49" w14:textId="77777777" w:rsidR="00574C95" w:rsidRDefault="00574C95" w:rsidP="006A528A">
      <w:pPr>
        <w:pStyle w:val="Paperwriting"/>
        <w:jc w:val="both"/>
      </w:pPr>
    </w:p>
    <w:p w14:paraId="36D2D5A7" w14:textId="77777777" w:rsidR="00574C95" w:rsidRPr="001B26D0" w:rsidRDefault="00574C95" w:rsidP="006A528A">
      <w:pPr>
        <w:pStyle w:val="Paperwriting"/>
        <w:jc w:val="both"/>
      </w:pPr>
    </w:p>
    <w:p w14:paraId="515B270E" w14:textId="77777777" w:rsidR="00A33BBB" w:rsidRPr="006A528A" w:rsidRDefault="00A33BBB" w:rsidP="001B26D0">
      <w:pPr>
        <w:pStyle w:val="Paperwriting"/>
        <w:rPr>
          <w:b/>
          <w:bCs/>
        </w:rPr>
      </w:pPr>
      <w:bookmarkStart w:id="8" w:name="OLE_LINK10"/>
      <w:bookmarkStart w:id="9" w:name="OLE_LINK11"/>
      <w:r w:rsidRPr="006A528A">
        <w:rPr>
          <w:b/>
          <w:bCs/>
        </w:rPr>
        <w:t xml:space="preserve">Section. 4 </w:t>
      </w:r>
      <w:bookmarkEnd w:id="8"/>
      <w:bookmarkEnd w:id="9"/>
      <w:r w:rsidR="003A5876" w:rsidRPr="006A528A">
        <w:rPr>
          <w:b/>
          <w:bCs/>
        </w:rPr>
        <w:t>Bacterial isolation and antibacterial a</w:t>
      </w:r>
      <w:r w:rsidRPr="006A528A">
        <w:rPr>
          <w:b/>
          <w:bCs/>
        </w:rPr>
        <w:t>ctivity</w:t>
      </w:r>
    </w:p>
    <w:p w14:paraId="30F6378D" w14:textId="1A7F1853" w:rsidR="0083048F" w:rsidRPr="007A11D2" w:rsidRDefault="000D5A9C" w:rsidP="005437B2">
      <w:pPr>
        <w:pStyle w:val="Paperwriting"/>
        <w:jc w:val="both"/>
      </w:pPr>
      <w:r w:rsidRPr="000D5A9C">
        <w:t xml:space="preserve">The </w:t>
      </w:r>
      <w:r w:rsidR="006A528A">
        <w:t xml:space="preserve">clinically isolated </w:t>
      </w:r>
      <w:r w:rsidR="006A528A" w:rsidRPr="006A528A">
        <w:rPr>
          <w:i/>
          <w:iCs/>
        </w:rPr>
        <w:t>H. pylori</w:t>
      </w:r>
      <w:r w:rsidRPr="000D5A9C">
        <w:t xml:space="preserve"> was obtained from a gastric biopsy specimen from a patient with gastric ulceration </w:t>
      </w:r>
      <w:bookmarkStart w:id="10" w:name="OLE_LINK1"/>
      <w:bookmarkStart w:id="11" w:name="OLE_LINK2"/>
      <w:r w:rsidRPr="000D5A9C">
        <w:t>(H.12.5)</w:t>
      </w:r>
      <w:bookmarkEnd w:id="10"/>
      <w:bookmarkEnd w:id="11"/>
      <w:r w:rsidR="005261B2">
        <w:t xml:space="preserve">. </w:t>
      </w:r>
      <w:r w:rsidR="005261B2" w:rsidRPr="007A11D2">
        <w:t xml:space="preserve">H.12.5 </w:t>
      </w:r>
      <w:r w:rsidR="005437B2" w:rsidRPr="007A11D2">
        <w:t xml:space="preserve">showed amoxicillin and metronidazole sensitivity </w:t>
      </w:r>
      <w:r w:rsidR="005261B2" w:rsidRPr="007A11D2">
        <w:t xml:space="preserve">and clarithromycin resistance </w:t>
      </w:r>
      <w:r w:rsidR="005437B2" w:rsidRPr="007A11D2">
        <w:t>phenotype (data not published)</w:t>
      </w:r>
      <w:r w:rsidRPr="007A11D2">
        <w:t xml:space="preserve">. Isolation was performed on Brucella agar supplemented with sheep blood, fetal bovine serum (FBS) 5%, trimethoprim (5 </w:t>
      </w:r>
      <w:proofErr w:type="spellStart"/>
      <w:r w:rsidRPr="007A11D2">
        <w:t>μg</w:t>
      </w:r>
      <w:proofErr w:type="spellEnd"/>
      <w:r w:rsidRPr="007A11D2">
        <w:t xml:space="preserve">/mL), vancomycin (10 </w:t>
      </w:r>
      <w:proofErr w:type="spellStart"/>
      <w:r w:rsidRPr="007A11D2">
        <w:t>μg</w:t>
      </w:r>
      <w:proofErr w:type="spellEnd"/>
      <w:r w:rsidRPr="007A11D2">
        <w:t xml:space="preserve">/mL), and polymyxin B (0.25 </w:t>
      </w:r>
      <w:proofErr w:type="spellStart"/>
      <w:r w:rsidRPr="007A11D2">
        <w:t>μg</w:t>
      </w:r>
      <w:proofErr w:type="spellEnd"/>
      <w:r w:rsidRPr="007A11D2">
        <w:t>/mL) under microaerophilic conditions (</w:t>
      </w:r>
      <w:proofErr w:type="spellStart"/>
      <w:r w:rsidRPr="007A11D2">
        <w:t>Gaspack</w:t>
      </w:r>
      <w:proofErr w:type="spellEnd"/>
      <w:r w:rsidRPr="007A11D2">
        <w:t xml:space="preserve"> C, Merck, USA). A stock solution of the bacteria was prepared in </w:t>
      </w:r>
      <w:r w:rsidR="009016BA" w:rsidRPr="007A11D2">
        <w:t xml:space="preserve">Columbia broth medium </w:t>
      </w:r>
      <w:r w:rsidRPr="007A11D2">
        <w:t>and adjusted to 10</w:t>
      </w:r>
      <w:r w:rsidRPr="007A11D2">
        <w:rPr>
          <w:vertAlign w:val="superscript"/>
        </w:rPr>
        <w:t xml:space="preserve">9 </w:t>
      </w:r>
      <w:r w:rsidRPr="007A11D2">
        <w:t xml:space="preserve">CFU/ml. Under microaerophilic conditions at 37˚C, 10 µl of the bacteria suspended in </w:t>
      </w:r>
      <w:r w:rsidR="006A528A" w:rsidRPr="007A11D2">
        <w:t xml:space="preserve">culture </w:t>
      </w:r>
      <w:r w:rsidRPr="007A11D2">
        <w:t xml:space="preserve">medium (without antibiotics) </w:t>
      </w:r>
      <w:r w:rsidR="006A528A" w:rsidRPr="007A11D2">
        <w:t xml:space="preserve">was </w:t>
      </w:r>
      <w:r w:rsidRPr="007A11D2">
        <w:t xml:space="preserve">added to the 96-well plate and stirred continuously. The antibacterial activity of CA, DHA, CA-DHA, CA-AMX and CA - DHA-AMX was determined by calculating the growth inhibition rate. At </w:t>
      </w:r>
      <w:r w:rsidR="006A528A" w:rsidRPr="007A11D2">
        <w:t>intervals of 6, 12, and 24 h</w:t>
      </w:r>
      <w:r w:rsidRPr="007A11D2">
        <w:t xml:space="preserve">, the bacterial growth ratio was measured using a spectrophotometer at a wavelength of 600 nm. </w:t>
      </w:r>
      <w:r w:rsidR="00AF7D90" w:rsidRPr="007A11D2">
        <w:t xml:space="preserve">AMX </w:t>
      </w:r>
      <w:r w:rsidRPr="007A11D2">
        <w:t xml:space="preserve">and medium served as negative </w:t>
      </w:r>
      <w:r w:rsidR="00596DEE" w:rsidRPr="007A11D2">
        <w:t>and positive</w:t>
      </w:r>
      <w:r w:rsidRPr="007A11D2">
        <w:t xml:space="preserve"> control groups, respectively. </w:t>
      </w:r>
      <w:r w:rsidR="0083048F" w:rsidRPr="007A11D2">
        <w:t>Unloaded CA</w:t>
      </w:r>
      <w:r w:rsidR="00F506BB" w:rsidRPr="007A11D2">
        <w:t xml:space="preserve"> NPs</w:t>
      </w:r>
      <w:r w:rsidR="0083048F" w:rsidRPr="007A11D2">
        <w:t xml:space="preserve"> were </w:t>
      </w:r>
      <w:r w:rsidR="006A528A" w:rsidRPr="007A11D2">
        <w:t>examined</w:t>
      </w:r>
      <w:r w:rsidR="0083048F" w:rsidRPr="007A11D2">
        <w:t xml:space="preserve"> at different concentrations (0.1, 0.5, and 1%). DHA was tested at three different concentrations (25, 50 and 100 µM) against </w:t>
      </w:r>
      <w:r w:rsidR="0083048F" w:rsidRPr="007A11D2">
        <w:rPr>
          <w:i/>
          <w:iCs/>
        </w:rPr>
        <w:t>H. pylori</w:t>
      </w:r>
      <w:r w:rsidR="0083048F" w:rsidRPr="007A11D2">
        <w:t xml:space="preserve"> at the time intervals of 6, 1</w:t>
      </w:r>
      <w:r w:rsidR="006A528A" w:rsidRPr="007A11D2">
        <w:t>2 and 24 h.</w:t>
      </w:r>
    </w:p>
    <w:p w14:paraId="70BDF28A" w14:textId="755AE831" w:rsidR="0083048F" w:rsidRPr="00B73F77" w:rsidRDefault="00B73F77" w:rsidP="00B73F77">
      <w:pPr>
        <w:spacing w:line="360" w:lineRule="auto"/>
        <w:jc w:val="both"/>
        <w:rPr>
          <w:rFonts w:ascii="Times New Roman" w:hAnsi="Times New Roman" w:cstheme="majorBidi"/>
          <w:sz w:val="24"/>
          <w:szCs w:val="24"/>
        </w:rPr>
      </w:pPr>
      <w:r w:rsidRPr="007A11D2">
        <w:rPr>
          <w:rFonts w:ascii="Times New Roman" w:eastAsia="Calibri" w:hAnsi="Times New Roman" w:cs="Times New Roman"/>
          <w:sz w:val="24"/>
          <w:szCs w:val="24"/>
        </w:rPr>
        <w:t xml:space="preserve">Based on the number of CFU/g stomach, the antibacterial activity was determined </w:t>
      </w:r>
      <w:r w:rsidRPr="007A11D2">
        <w:rPr>
          <w:rFonts w:ascii="Times New Roman" w:eastAsia="Calibri" w:hAnsi="Times New Roman" w:cs="Times New Roman"/>
          <w:i/>
          <w:iCs/>
          <w:sz w:val="24"/>
          <w:szCs w:val="24"/>
        </w:rPr>
        <w:t xml:space="preserve">in vivo </w:t>
      </w:r>
      <w:r w:rsidRPr="007A11D2">
        <w:rPr>
          <w:rFonts w:ascii="Times New Roman" w:eastAsia="Calibri" w:hAnsi="Times New Roman" w:cs="Times New Roman"/>
          <w:sz w:val="24"/>
          <w:szCs w:val="24"/>
        </w:rPr>
        <w:t xml:space="preserve">at day 7. The biopsy sample is gently homogenized and suspended in 2 ml PBS and centrifuged. The supernatant was </w:t>
      </w:r>
      <w:proofErr w:type="gramStart"/>
      <w:r w:rsidRPr="007A11D2">
        <w:rPr>
          <w:rFonts w:ascii="Times New Roman" w:eastAsia="Calibri" w:hAnsi="Times New Roman" w:cs="Times New Roman"/>
          <w:sz w:val="24"/>
          <w:szCs w:val="24"/>
        </w:rPr>
        <w:t>removed</w:t>
      </w:r>
      <w:proofErr w:type="gramEnd"/>
      <w:r w:rsidRPr="007A11D2">
        <w:rPr>
          <w:rFonts w:ascii="Times New Roman" w:eastAsia="Calibri" w:hAnsi="Times New Roman" w:cs="Times New Roman"/>
          <w:sz w:val="24"/>
          <w:szCs w:val="24"/>
        </w:rPr>
        <w:t xml:space="preserve"> and the plate was suspended in 0.5 ml PBS and cultured on enriched blood agar. The plate was incubated at 37°C for 24 h. </w:t>
      </w:r>
      <w:r w:rsidRPr="007A11D2">
        <w:rPr>
          <w:rFonts w:ascii="Times New Roman" w:hAnsi="Times New Roman" w:cstheme="majorBidi"/>
          <w:sz w:val="24"/>
          <w:szCs w:val="24"/>
        </w:rPr>
        <w:t>To</w:t>
      </w:r>
      <w:r w:rsidR="0083048F" w:rsidRPr="007A11D2">
        <w:rPr>
          <w:rFonts w:ascii="Times New Roman" w:hAnsi="Times New Roman" w:cstheme="majorBidi"/>
          <w:sz w:val="24"/>
          <w:szCs w:val="24"/>
        </w:rPr>
        <w:t xml:space="preserve"> </w:t>
      </w:r>
      <w:r w:rsidR="0083048F" w:rsidRPr="007A11D2">
        <w:rPr>
          <w:rFonts w:ascii="Times New Roman" w:hAnsi="Times New Roman" w:cstheme="majorBidi"/>
          <w:i/>
          <w:iCs/>
          <w:sz w:val="24"/>
          <w:szCs w:val="24"/>
        </w:rPr>
        <w:t>in vivo</w:t>
      </w:r>
      <w:r w:rsidR="0083048F" w:rsidRPr="007A11D2">
        <w:rPr>
          <w:rFonts w:ascii="Times New Roman" w:hAnsi="Times New Roman" w:cstheme="majorBidi"/>
          <w:sz w:val="24"/>
          <w:szCs w:val="24"/>
        </w:rPr>
        <w:t xml:space="preserve"> antibacterial activity, we </w:t>
      </w:r>
      <w:r w:rsidR="00596DEE" w:rsidRPr="007A11D2">
        <w:rPr>
          <w:rFonts w:ascii="Times New Roman" w:hAnsi="Times New Roman" w:cstheme="majorBidi"/>
          <w:sz w:val="24"/>
          <w:szCs w:val="24"/>
        </w:rPr>
        <w:t>administrated</w:t>
      </w:r>
      <w:r w:rsidR="0083048F" w:rsidRPr="007A11D2">
        <w:rPr>
          <w:rFonts w:ascii="Times New Roman" w:hAnsi="Times New Roman" w:cstheme="majorBidi"/>
          <w:sz w:val="24"/>
          <w:szCs w:val="24"/>
        </w:rPr>
        <w:t xml:space="preserve"> pure chitosan (50 g/kg)</w:t>
      </w:r>
      <w:r w:rsidR="00596DEE" w:rsidRPr="007A11D2">
        <w:rPr>
          <w:rFonts w:ascii="Times New Roman" w:hAnsi="Times New Roman" w:cstheme="majorBidi"/>
          <w:sz w:val="24"/>
          <w:szCs w:val="24"/>
        </w:rPr>
        <w:t xml:space="preserve">, free- DHA (1 ml, 100 µM), AMX, CA-AMX, </w:t>
      </w:r>
      <w:r w:rsidR="0083048F" w:rsidRPr="007A11D2">
        <w:rPr>
          <w:rFonts w:ascii="Times New Roman" w:hAnsi="Times New Roman" w:cstheme="majorBidi"/>
          <w:sz w:val="24"/>
          <w:szCs w:val="24"/>
        </w:rPr>
        <w:t>CA-DHA</w:t>
      </w:r>
      <w:r w:rsidR="009016BA" w:rsidRPr="007A11D2">
        <w:rPr>
          <w:rFonts w:ascii="Times New Roman" w:hAnsi="Times New Roman" w:cstheme="majorBidi"/>
          <w:sz w:val="24"/>
          <w:szCs w:val="24"/>
        </w:rPr>
        <w:t>, and CA-DHA-AMX.</w:t>
      </w:r>
      <w:r w:rsidR="00A36977" w:rsidRPr="00B73F77">
        <w:rPr>
          <w:rFonts w:ascii="Times New Roman" w:hAnsi="Times New Roman" w:cstheme="majorBidi"/>
          <w:sz w:val="24"/>
          <w:szCs w:val="24"/>
        </w:rPr>
        <w:t xml:space="preserve"> </w:t>
      </w:r>
    </w:p>
    <w:p w14:paraId="420E7B90" w14:textId="77777777" w:rsidR="00360F09" w:rsidRPr="00FE0F0A" w:rsidRDefault="000D5A9C" w:rsidP="001B26D0">
      <w:pPr>
        <w:pStyle w:val="Paperwriting"/>
        <w:rPr>
          <w:b/>
          <w:bCs/>
        </w:rPr>
      </w:pPr>
      <w:r w:rsidRPr="00FE0F0A">
        <w:rPr>
          <w:b/>
          <w:bCs/>
        </w:rPr>
        <w:t xml:space="preserve">Section. 5 </w:t>
      </w:r>
      <w:r w:rsidR="00360F09" w:rsidRPr="00FE0F0A">
        <w:rPr>
          <w:b/>
          <w:bCs/>
        </w:rPr>
        <w:t>Nanoparticle-</w:t>
      </w:r>
      <w:bookmarkStart w:id="12" w:name="OLE_LINK59"/>
      <w:bookmarkStart w:id="13" w:name="OLE_LINK60"/>
      <w:r w:rsidR="00360F09" w:rsidRPr="0047733C">
        <w:rPr>
          <w:b/>
          <w:bCs/>
          <w:i/>
          <w:iCs/>
        </w:rPr>
        <w:t>H. pylori</w:t>
      </w:r>
      <w:r w:rsidR="00360F09" w:rsidRPr="00FE0F0A">
        <w:rPr>
          <w:b/>
          <w:bCs/>
        </w:rPr>
        <w:t xml:space="preserve"> </w:t>
      </w:r>
      <w:bookmarkEnd w:id="12"/>
      <w:bookmarkEnd w:id="13"/>
      <w:r w:rsidR="00360F09" w:rsidRPr="00FE0F0A">
        <w:rPr>
          <w:b/>
          <w:bCs/>
        </w:rPr>
        <w:t>interaction</w:t>
      </w:r>
    </w:p>
    <w:p w14:paraId="40A71EA6" w14:textId="77777777" w:rsidR="00360F09" w:rsidRPr="00FE0F0A" w:rsidRDefault="00927FD2" w:rsidP="001B26D0">
      <w:pPr>
        <w:pStyle w:val="Paperwriting"/>
        <w:rPr>
          <w:b/>
          <w:bCs/>
          <w:i/>
          <w:iCs/>
        </w:rPr>
      </w:pPr>
      <w:bookmarkStart w:id="14" w:name="OLE_LINK8"/>
      <w:bookmarkStart w:id="15" w:name="OLE_LINK9"/>
      <w:r w:rsidRPr="00FE0F0A">
        <w:rPr>
          <w:b/>
          <w:bCs/>
          <w:i/>
          <w:iCs/>
        </w:rPr>
        <w:t xml:space="preserve">Preparation of FITC-labelled NPs </w:t>
      </w:r>
    </w:p>
    <w:bookmarkEnd w:id="14"/>
    <w:bookmarkEnd w:id="15"/>
    <w:p w14:paraId="664FB040" w14:textId="77777777" w:rsidR="00360F09" w:rsidRPr="009475D8" w:rsidRDefault="00927FD2" w:rsidP="00FE0F0A">
      <w:pPr>
        <w:pStyle w:val="Paperwriting"/>
        <w:jc w:val="both"/>
      </w:pPr>
      <w:r w:rsidRPr="009475D8">
        <w:t>The isothiocyanate group of FITC and the amino group of chitosan react to form FITC-labeled NPs (FITC-NPs).</w:t>
      </w:r>
      <w:r w:rsidR="00360F09" w:rsidRPr="009475D8">
        <w:t xml:space="preserve"> </w:t>
      </w:r>
      <w:r w:rsidR="009475D8" w:rsidRPr="009475D8">
        <w:t xml:space="preserve">Briefly, 30 mg of NPs was dissolved in 15 mL of 1 M HCl and a pH of 6.9 was adjusted with 1 M NaOH. The solution above was added with FITC dissolved in alcohol (2.1 mg). </w:t>
      </w:r>
      <w:r w:rsidR="009475D8" w:rsidRPr="009475D8">
        <w:lastRenderedPageBreak/>
        <w:t>After 24 hours of stirring at room temperature, the mixture was dialyzed with distilled water using a cellulose membrane</w:t>
      </w:r>
      <w:r w:rsidR="00360F09" w:rsidRPr="009475D8">
        <w:t xml:space="preserve"> for 2 days, and lyophilized. </w:t>
      </w:r>
      <w:r w:rsidR="009475D8" w:rsidRPr="009475D8">
        <w:t>The entire procedure was conducted in the dark</w:t>
      </w:r>
      <w:r w:rsidR="00360F09" w:rsidRPr="009475D8">
        <w:t xml:space="preserve">. </w:t>
      </w:r>
      <w:r w:rsidR="009475D8" w:rsidRPr="009475D8">
        <w:t>A UV/VIS spectrophotometer was used to determin</w:t>
      </w:r>
      <w:r w:rsidR="00FE0F0A">
        <w:t>e the FITC-labelled NPs content</w:t>
      </w:r>
      <w:r w:rsidR="00360F09" w:rsidRPr="009475D8">
        <w:t xml:space="preserve"> by comparison of the visible absorption at the maximum wavelength of about 491 nm between the conjugate</w:t>
      </w:r>
      <w:r w:rsidR="00FE0F0A">
        <w:t xml:space="preserve"> NPs</w:t>
      </w:r>
      <w:r w:rsidR="00360F09" w:rsidRPr="009475D8">
        <w:t xml:space="preserve"> and FITC.</w:t>
      </w:r>
      <w:r w:rsidR="009475D8" w:rsidRPr="009475D8">
        <w:t xml:space="preserve"> </w:t>
      </w:r>
    </w:p>
    <w:p w14:paraId="1A298150" w14:textId="77777777" w:rsidR="00414246" w:rsidRDefault="00FE0F0A" w:rsidP="0008020D">
      <w:pPr>
        <w:pStyle w:val="Paperwriting"/>
        <w:jc w:val="both"/>
      </w:pPr>
      <w:r>
        <w:t xml:space="preserve">The </w:t>
      </w:r>
      <w:r w:rsidR="009475D8" w:rsidRPr="00FC754F">
        <w:t>suspensions of FITC-composite</w:t>
      </w:r>
      <w:r>
        <w:t xml:space="preserve"> NPs </w:t>
      </w:r>
      <w:r w:rsidR="009475D8" w:rsidRPr="00FC754F">
        <w:t>(50 g/ml) were incubated with PBS containing 1*10</w:t>
      </w:r>
      <w:r w:rsidR="009475D8" w:rsidRPr="00FC754F">
        <w:rPr>
          <w:vertAlign w:val="superscript"/>
        </w:rPr>
        <w:t xml:space="preserve">7 </w:t>
      </w:r>
      <w:r w:rsidR="009475D8" w:rsidRPr="00FC754F">
        <w:t xml:space="preserve">CFU/ml of </w:t>
      </w:r>
      <w:r w:rsidR="009475D8" w:rsidRPr="00944339">
        <w:rPr>
          <w:i/>
          <w:iCs/>
        </w:rPr>
        <w:t>H. pylori</w:t>
      </w:r>
      <w:r w:rsidR="009475D8" w:rsidRPr="00FC754F">
        <w:t xml:space="preserve"> for 30 minutes at 37°C.</w:t>
      </w:r>
      <w:r w:rsidR="00360F09" w:rsidRPr="00FC754F">
        <w:t xml:space="preserve"> </w:t>
      </w:r>
      <w:r w:rsidR="009475D8" w:rsidRPr="00FC754F">
        <w:t>Flow cytometry was used to determine the adherence of</w:t>
      </w:r>
      <w:r w:rsidR="00F506BB">
        <w:t xml:space="preserve"> NPs</w:t>
      </w:r>
      <w:r w:rsidR="009475D8" w:rsidRPr="00FC754F">
        <w:t xml:space="preserve"> to bacterial cells.</w:t>
      </w:r>
      <w:r w:rsidR="00FC754F">
        <w:t xml:space="preserve"> </w:t>
      </w:r>
      <w:r w:rsidR="00FC754F" w:rsidRPr="00FC754F">
        <w:t>The adherence rate of</w:t>
      </w:r>
      <w:r w:rsidR="00F506BB">
        <w:t xml:space="preserve"> NPs</w:t>
      </w:r>
      <w:r w:rsidR="00FC754F" w:rsidRPr="00FC754F">
        <w:t xml:space="preserve"> to bacterial cell surfaces was measured using flow cytometry at 2 and 4 h intervals.</w:t>
      </w:r>
      <w:r w:rsidR="00FC754F">
        <w:t xml:space="preserve"> </w:t>
      </w:r>
    </w:p>
    <w:p w14:paraId="4552896B" w14:textId="77777777" w:rsidR="00414246" w:rsidRDefault="00414246" w:rsidP="001B26D0">
      <w:pPr>
        <w:pStyle w:val="Paperwriting"/>
      </w:pPr>
    </w:p>
    <w:p w14:paraId="0A6E9FEC" w14:textId="7220CBB0" w:rsidR="00414246" w:rsidRDefault="00414246" w:rsidP="001B26D0">
      <w:pPr>
        <w:pStyle w:val="Paperwriting"/>
      </w:pPr>
      <w:r>
        <w:rPr>
          <w:rFonts w:ascii="Calibri" w:hAnsi="Calibri" w:cs="Calibri"/>
          <w:noProof/>
        </w:rPr>
        <w:fldChar w:fldCharType="begin"/>
      </w:r>
      <w:r>
        <w:instrText xml:space="preserve"> ADDIN EN.REFLIST </w:instrText>
      </w:r>
      <w:r>
        <w:rPr>
          <w:rFonts w:ascii="Calibri" w:hAnsi="Calibri" w:cs="Calibri"/>
          <w:noProof/>
        </w:rPr>
        <w:fldChar w:fldCharType="separate"/>
      </w:r>
      <w:r w:rsidRPr="00414246">
        <w:t>1.</w:t>
      </w:r>
      <w:r w:rsidRPr="00414246">
        <w:tab/>
        <w:t xml:space="preserve">Arora, S., et al., </w:t>
      </w:r>
      <w:r w:rsidRPr="00414246">
        <w:rPr>
          <w:i/>
        </w:rPr>
        <w:t>Amoxicillin loaded chitosan–alginate polyelectrolyte complex</w:t>
      </w:r>
      <w:r w:rsidR="00F506BB">
        <w:rPr>
          <w:i/>
        </w:rPr>
        <w:t xml:space="preserve"> NPs</w:t>
      </w:r>
      <w:r w:rsidRPr="00414246">
        <w:rPr>
          <w:i/>
        </w:rPr>
        <w:t xml:space="preserve"> as mucopenetrating delivery system for H. pylori.</w:t>
      </w:r>
      <w:r w:rsidRPr="00414246">
        <w:t xml:space="preserve"> Scientia pharmaceutica, 2011. 79(3): p. 673-694.</w:t>
      </w:r>
    </w:p>
    <w:p w14:paraId="724DAD49" w14:textId="19C61D3F" w:rsidR="00DC7468" w:rsidRDefault="00DC7468" w:rsidP="001B26D0">
      <w:pPr>
        <w:pStyle w:val="Paperwriting"/>
      </w:pPr>
      <w:r>
        <w:t>Supplementary Figure 1</w:t>
      </w:r>
    </w:p>
    <w:p w14:paraId="605CB6A7" w14:textId="77777777" w:rsidR="00DC7468" w:rsidRPr="00414246" w:rsidRDefault="00DC7468" w:rsidP="001B26D0">
      <w:pPr>
        <w:pStyle w:val="Paperwriting"/>
      </w:pPr>
    </w:p>
    <w:p w14:paraId="3B8ACF14" w14:textId="04C738E3" w:rsidR="0047733C" w:rsidRDefault="00414246" w:rsidP="0047733C">
      <w:pPr>
        <w:pStyle w:val="Paperwriting"/>
      </w:pPr>
      <w:r>
        <w:lastRenderedPageBreak/>
        <w:fldChar w:fldCharType="end"/>
      </w:r>
      <w:r w:rsidR="0047733C">
        <w:rPr>
          <w:noProof/>
        </w:rPr>
        <w:drawing>
          <wp:inline distT="0" distB="0" distL="0" distR="0" wp14:anchorId="3BB9CD23" wp14:editId="22A29BBA">
            <wp:extent cx="5760720" cy="53620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5362042"/>
                    </a:xfrm>
                    <a:prstGeom prst="rect">
                      <a:avLst/>
                    </a:prstGeom>
                  </pic:spPr>
                </pic:pic>
              </a:graphicData>
            </a:graphic>
          </wp:inline>
        </w:drawing>
      </w:r>
      <w:r w:rsidR="0047733C" w:rsidRPr="0047733C">
        <w:rPr>
          <w:b/>
          <w:bCs/>
        </w:rPr>
        <w:t>Figure 1.</w:t>
      </w:r>
      <w:r w:rsidR="0047733C" w:rsidRPr="0047733C">
        <w:t xml:space="preserve"> (A) The swelling index of composite NPs. (B) The swelling index of composite NPs containing different concentrations of DHA.  </w:t>
      </w:r>
    </w:p>
    <w:p w14:paraId="69DE10FD" w14:textId="073EA06A" w:rsidR="00CB1B1B" w:rsidRDefault="00CB1B1B" w:rsidP="0047733C">
      <w:pPr>
        <w:pStyle w:val="Paperwriting"/>
      </w:pPr>
    </w:p>
    <w:p w14:paraId="089CC892" w14:textId="01C73626" w:rsidR="00CB1B1B" w:rsidRDefault="00CB1B1B" w:rsidP="0047733C">
      <w:pPr>
        <w:pStyle w:val="Paperwriting"/>
      </w:pPr>
    </w:p>
    <w:p w14:paraId="5275109E" w14:textId="700B5BCF" w:rsidR="00CB1B1B" w:rsidRDefault="00CB1B1B" w:rsidP="0047733C">
      <w:pPr>
        <w:pStyle w:val="Paperwriting"/>
      </w:pPr>
    </w:p>
    <w:p w14:paraId="7ECDFFF1" w14:textId="3FE0C88C" w:rsidR="00CB1B1B" w:rsidRDefault="00CB1B1B" w:rsidP="0047733C">
      <w:pPr>
        <w:pStyle w:val="Paperwriting"/>
      </w:pPr>
    </w:p>
    <w:p w14:paraId="67040DEA" w14:textId="06FFD4FE" w:rsidR="00E81102" w:rsidRDefault="00E81102" w:rsidP="0047733C">
      <w:pPr>
        <w:pStyle w:val="Paperwriting"/>
        <w:sectPr w:rsidR="00E81102">
          <w:pgSz w:w="12240" w:h="15840"/>
          <w:pgMar w:top="1440" w:right="1440" w:bottom="1440" w:left="1440" w:header="720" w:footer="720" w:gutter="0"/>
          <w:cols w:space="720"/>
          <w:docGrid w:linePitch="360"/>
        </w:sectPr>
      </w:pPr>
    </w:p>
    <w:p w14:paraId="004196E8" w14:textId="1F9ACF78" w:rsidR="00DD1505" w:rsidRPr="007A11D2" w:rsidRDefault="00DD1505" w:rsidP="00DD1505">
      <w:pPr>
        <w:rPr>
          <w:rFonts w:ascii="Times New Roman" w:eastAsia="Calibri" w:hAnsi="Times New Roman" w:cs="Times New Roman"/>
          <w:sz w:val="24"/>
          <w:szCs w:val="24"/>
        </w:rPr>
      </w:pPr>
      <w:bookmarkStart w:id="16" w:name="OLE_LINK74"/>
      <w:bookmarkStart w:id="17" w:name="OLE_LINK75"/>
      <w:bookmarkStart w:id="18" w:name="OLE_LINK76"/>
      <w:r w:rsidRPr="007A11D2">
        <w:rPr>
          <w:rFonts w:ascii="Times New Roman" w:eastAsia="Calibri" w:hAnsi="Times New Roman" w:cs="Times New Roman"/>
          <w:sz w:val="24"/>
          <w:szCs w:val="24"/>
        </w:rPr>
        <w:lastRenderedPageBreak/>
        <w:t xml:space="preserve">Supplementary Table 1. The experimental groups of infected rats and treatment options. </w:t>
      </w:r>
    </w:p>
    <w:tbl>
      <w:tblPr>
        <w:tblStyle w:val="TableGrid"/>
        <w:tblpPr w:leftFromText="180" w:rightFromText="180" w:vertAnchor="text" w:tblpY="1"/>
        <w:tblOverlap w:val="never"/>
        <w:tblW w:w="0" w:type="auto"/>
        <w:tblLook w:val="04A0" w:firstRow="1" w:lastRow="0" w:firstColumn="1" w:lastColumn="0" w:noHBand="0" w:noVBand="1"/>
      </w:tblPr>
      <w:tblGrid>
        <w:gridCol w:w="1849"/>
        <w:gridCol w:w="2376"/>
        <w:gridCol w:w="2700"/>
      </w:tblGrid>
      <w:tr w:rsidR="00DD1505" w:rsidRPr="007A11D2" w14:paraId="6DFD586F" w14:textId="77777777" w:rsidTr="00DD1505">
        <w:tc>
          <w:tcPr>
            <w:tcW w:w="1849" w:type="dxa"/>
          </w:tcPr>
          <w:bookmarkEnd w:id="16"/>
          <w:bookmarkEnd w:id="17"/>
          <w:bookmarkEnd w:id="18"/>
          <w:p w14:paraId="6F46FAB3" w14:textId="77777777" w:rsidR="00DD1505" w:rsidRPr="007A11D2" w:rsidRDefault="00DD1505" w:rsidP="00DD1505">
            <w:pPr>
              <w:rPr>
                <w:rFonts w:asciiTheme="majorBidi" w:eastAsia="Calibri" w:hAnsiTheme="majorBidi" w:cstheme="majorBidi"/>
                <w:sz w:val="24"/>
                <w:szCs w:val="24"/>
              </w:rPr>
            </w:pPr>
            <w:r w:rsidRPr="007A11D2">
              <w:rPr>
                <w:rFonts w:asciiTheme="majorBidi" w:eastAsia="Calibri" w:hAnsiTheme="majorBidi" w:cstheme="majorBidi"/>
                <w:sz w:val="24"/>
                <w:szCs w:val="24"/>
              </w:rPr>
              <w:t xml:space="preserve">Groups </w:t>
            </w:r>
          </w:p>
          <w:p w14:paraId="110C9C9E" w14:textId="77777777" w:rsidR="00DD1505" w:rsidRPr="007A11D2" w:rsidRDefault="00DD1505" w:rsidP="00DD1505">
            <w:pPr>
              <w:rPr>
                <w:rFonts w:asciiTheme="majorBidi" w:eastAsia="Calibri" w:hAnsiTheme="majorBidi" w:cstheme="majorBidi"/>
                <w:sz w:val="24"/>
                <w:szCs w:val="24"/>
              </w:rPr>
            </w:pPr>
          </w:p>
        </w:tc>
        <w:tc>
          <w:tcPr>
            <w:tcW w:w="2376" w:type="dxa"/>
          </w:tcPr>
          <w:p w14:paraId="2BE1175E" w14:textId="77777777" w:rsidR="00DD1505" w:rsidRPr="007A11D2" w:rsidRDefault="00DD1505" w:rsidP="00DD1505">
            <w:pPr>
              <w:rPr>
                <w:rFonts w:asciiTheme="majorBidi" w:eastAsia="Calibri" w:hAnsiTheme="majorBidi" w:cstheme="majorBidi"/>
                <w:sz w:val="24"/>
                <w:szCs w:val="24"/>
              </w:rPr>
            </w:pPr>
            <w:r w:rsidRPr="007A11D2">
              <w:rPr>
                <w:rFonts w:asciiTheme="majorBidi" w:eastAsia="Calibri" w:hAnsiTheme="majorBidi" w:cstheme="majorBidi"/>
                <w:sz w:val="24"/>
                <w:szCs w:val="24"/>
              </w:rPr>
              <w:t>Name</w:t>
            </w:r>
          </w:p>
        </w:tc>
        <w:tc>
          <w:tcPr>
            <w:tcW w:w="2700" w:type="dxa"/>
          </w:tcPr>
          <w:p w14:paraId="754A2CF0" w14:textId="77777777" w:rsidR="00DD1505" w:rsidRPr="007A11D2" w:rsidRDefault="00DD1505" w:rsidP="00DD1505">
            <w:pPr>
              <w:rPr>
                <w:rFonts w:asciiTheme="majorBidi" w:eastAsia="Calibri" w:hAnsiTheme="majorBidi" w:cstheme="majorBidi"/>
                <w:sz w:val="24"/>
                <w:szCs w:val="24"/>
              </w:rPr>
            </w:pPr>
            <w:r w:rsidRPr="007A11D2">
              <w:rPr>
                <w:rFonts w:asciiTheme="majorBidi" w:eastAsia="Calibri" w:hAnsiTheme="majorBidi" w:cstheme="majorBidi"/>
                <w:sz w:val="24"/>
                <w:szCs w:val="24"/>
              </w:rPr>
              <w:t>Treatment</w:t>
            </w:r>
          </w:p>
          <w:p w14:paraId="39AAF171" w14:textId="77777777" w:rsidR="00DD1505" w:rsidRPr="007A11D2" w:rsidRDefault="00DD1505" w:rsidP="00DD1505">
            <w:pPr>
              <w:rPr>
                <w:rFonts w:asciiTheme="majorBidi" w:eastAsia="Calibri" w:hAnsiTheme="majorBidi" w:cstheme="majorBidi"/>
                <w:sz w:val="24"/>
                <w:szCs w:val="24"/>
              </w:rPr>
            </w:pPr>
            <w:r w:rsidRPr="007A11D2">
              <w:rPr>
                <w:rFonts w:asciiTheme="majorBidi" w:eastAsia="Calibri" w:hAnsiTheme="majorBidi" w:cstheme="majorBidi"/>
                <w:sz w:val="24"/>
                <w:szCs w:val="24"/>
              </w:rPr>
              <w:t>Drugs (mg/kg)</w:t>
            </w:r>
          </w:p>
        </w:tc>
      </w:tr>
      <w:tr w:rsidR="00DD1505" w:rsidRPr="007A11D2" w14:paraId="5248AFF2" w14:textId="77777777" w:rsidTr="00DD1505">
        <w:tc>
          <w:tcPr>
            <w:tcW w:w="6925" w:type="dxa"/>
            <w:gridSpan w:val="3"/>
          </w:tcPr>
          <w:p w14:paraId="2B36991B" w14:textId="77777777" w:rsidR="00DD1505" w:rsidRPr="007A11D2" w:rsidRDefault="00DD1505" w:rsidP="00DD1505">
            <w:pPr>
              <w:rPr>
                <w:rFonts w:asciiTheme="majorBidi" w:eastAsia="Calibri" w:hAnsiTheme="majorBidi" w:cstheme="majorBidi"/>
                <w:sz w:val="24"/>
                <w:szCs w:val="24"/>
              </w:rPr>
            </w:pPr>
            <w:r w:rsidRPr="007A11D2">
              <w:rPr>
                <w:rFonts w:asciiTheme="majorBidi" w:eastAsia="Calibri" w:hAnsiTheme="majorBidi" w:cstheme="majorBidi"/>
                <w:i/>
                <w:iCs/>
                <w:sz w:val="24"/>
                <w:szCs w:val="24"/>
              </w:rPr>
              <w:t>In vivo</w:t>
            </w:r>
            <w:r w:rsidRPr="007A11D2">
              <w:rPr>
                <w:rFonts w:asciiTheme="majorBidi" w:eastAsia="Calibri" w:hAnsiTheme="majorBidi" w:cstheme="majorBidi"/>
                <w:sz w:val="24"/>
                <w:szCs w:val="24"/>
              </w:rPr>
              <w:t xml:space="preserve"> antibacterial activity*</w:t>
            </w:r>
          </w:p>
          <w:p w14:paraId="689C612B" w14:textId="77777777" w:rsidR="00DD1505" w:rsidRPr="007A11D2" w:rsidRDefault="00DD1505" w:rsidP="00DD1505">
            <w:pPr>
              <w:rPr>
                <w:rFonts w:asciiTheme="majorBidi" w:eastAsia="Calibri" w:hAnsiTheme="majorBidi" w:cstheme="majorBidi"/>
                <w:sz w:val="24"/>
                <w:szCs w:val="24"/>
              </w:rPr>
            </w:pPr>
          </w:p>
        </w:tc>
      </w:tr>
      <w:tr w:rsidR="00DD1505" w:rsidRPr="007A11D2" w14:paraId="7B4E8C7E" w14:textId="77777777" w:rsidTr="00DD1505">
        <w:tc>
          <w:tcPr>
            <w:tcW w:w="1849" w:type="dxa"/>
          </w:tcPr>
          <w:p w14:paraId="4992C462" w14:textId="77777777" w:rsidR="00DD1505" w:rsidRPr="007A11D2" w:rsidRDefault="00DD1505" w:rsidP="00DD1505">
            <w:pPr>
              <w:rPr>
                <w:rFonts w:asciiTheme="majorBidi" w:eastAsia="Calibri" w:hAnsiTheme="majorBidi" w:cstheme="majorBidi"/>
                <w:sz w:val="24"/>
                <w:szCs w:val="24"/>
              </w:rPr>
            </w:pPr>
            <w:r w:rsidRPr="007A11D2">
              <w:rPr>
                <w:rFonts w:asciiTheme="majorBidi" w:eastAsia="Calibri" w:hAnsiTheme="majorBidi" w:cstheme="majorBidi"/>
                <w:sz w:val="24"/>
                <w:szCs w:val="24"/>
              </w:rPr>
              <w:t xml:space="preserve">AG1 </w:t>
            </w:r>
          </w:p>
        </w:tc>
        <w:tc>
          <w:tcPr>
            <w:tcW w:w="2376" w:type="dxa"/>
          </w:tcPr>
          <w:p w14:paraId="1E84CBE7" w14:textId="77777777" w:rsidR="00DD1505" w:rsidRPr="007A11D2" w:rsidRDefault="00DD1505" w:rsidP="00DD1505">
            <w:pPr>
              <w:rPr>
                <w:rFonts w:asciiTheme="majorBidi" w:eastAsia="Calibri" w:hAnsiTheme="majorBidi" w:cstheme="majorBidi"/>
                <w:sz w:val="24"/>
                <w:szCs w:val="24"/>
              </w:rPr>
            </w:pPr>
            <w:r w:rsidRPr="007A11D2">
              <w:rPr>
                <w:rFonts w:asciiTheme="majorBidi" w:eastAsia="Calibri" w:hAnsiTheme="majorBidi" w:cstheme="majorBidi"/>
                <w:sz w:val="24"/>
                <w:szCs w:val="24"/>
              </w:rPr>
              <w:t>Chitosan</w:t>
            </w:r>
          </w:p>
        </w:tc>
        <w:tc>
          <w:tcPr>
            <w:tcW w:w="2700" w:type="dxa"/>
          </w:tcPr>
          <w:p w14:paraId="678F30C3" w14:textId="77777777" w:rsidR="00DD1505" w:rsidRPr="007A11D2" w:rsidRDefault="00DD1505" w:rsidP="00DD1505">
            <w:pPr>
              <w:rPr>
                <w:rFonts w:asciiTheme="majorBidi" w:eastAsia="Calibri" w:hAnsiTheme="majorBidi" w:cstheme="majorBidi"/>
                <w:sz w:val="24"/>
                <w:szCs w:val="24"/>
              </w:rPr>
            </w:pPr>
            <w:r w:rsidRPr="007A11D2">
              <w:rPr>
                <w:rFonts w:asciiTheme="majorBidi" w:eastAsia="Calibri" w:hAnsiTheme="majorBidi" w:cstheme="majorBidi"/>
                <w:sz w:val="24"/>
                <w:szCs w:val="24"/>
              </w:rPr>
              <w:t>50 g/kg</w:t>
            </w:r>
          </w:p>
        </w:tc>
      </w:tr>
      <w:tr w:rsidR="00DD1505" w:rsidRPr="007A11D2" w14:paraId="31559FFC" w14:textId="77777777" w:rsidTr="00DD1505">
        <w:tc>
          <w:tcPr>
            <w:tcW w:w="1849" w:type="dxa"/>
          </w:tcPr>
          <w:p w14:paraId="0F70ADF2" w14:textId="77777777" w:rsidR="00DD1505" w:rsidRPr="007A11D2" w:rsidRDefault="00DD1505" w:rsidP="00DD1505">
            <w:pPr>
              <w:rPr>
                <w:rFonts w:asciiTheme="majorBidi" w:eastAsia="Calibri" w:hAnsiTheme="majorBidi" w:cstheme="majorBidi"/>
                <w:sz w:val="24"/>
                <w:szCs w:val="24"/>
              </w:rPr>
            </w:pPr>
            <w:r w:rsidRPr="007A11D2">
              <w:rPr>
                <w:rFonts w:asciiTheme="majorBidi" w:eastAsia="Calibri" w:hAnsiTheme="majorBidi" w:cstheme="majorBidi"/>
                <w:sz w:val="24"/>
                <w:szCs w:val="24"/>
              </w:rPr>
              <w:t>AG2</w:t>
            </w:r>
          </w:p>
        </w:tc>
        <w:tc>
          <w:tcPr>
            <w:tcW w:w="2376" w:type="dxa"/>
          </w:tcPr>
          <w:p w14:paraId="70CDCD3D" w14:textId="77777777" w:rsidR="00DD1505" w:rsidRPr="007A11D2" w:rsidRDefault="00DD1505" w:rsidP="00DD1505">
            <w:pPr>
              <w:rPr>
                <w:rFonts w:asciiTheme="majorBidi" w:eastAsia="Calibri" w:hAnsiTheme="majorBidi" w:cstheme="majorBidi"/>
                <w:sz w:val="24"/>
                <w:szCs w:val="24"/>
              </w:rPr>
            </w:pPr>
            <w:r w:rsidRPr="007A11D2">
              <w:rPr>
                <w:rFonts w:asciiTheme="majorBidi" w:eastAsia="Calibri" w:hAnsiTheme="majorBidi" w:cstheme="majorBidi"/>
                <w:sz w:val="24"/>
                <w:szCs w:val="24"/>
              </w:rPr>
              <w:t>DHA</w:t>
            </w:r>
          </w:p>
        </w:tc>
        <w:tc>
          <w:tcPr>
            <w:tcW w:w="2700" w:type="dxa"/>
          </w:tcPr>
          <w:p w14:paraId="2247A36F" w14:textId="77777777" w:rsidR="00DD1505" w:rsidRPr="007A11D2" w:rsidRDefault="00DD1505" w:rsidP="00DD1505">
            <w:pPr>
              <w:rPr>
                <w:rFonts w:asciiTheme="majorBidi" w:eastAsia="Calibri" w:hAnsiTheme="majorBidi" w:cstheme="majorBidi"/>
                <w:sz w:val="24"/>
                <w:szCs w:val="24"/>
              </w:rPr>
            </w:pPr>
            <w:r w:rsidRPr="007A11D2">
              <w:rPr>
                <w:rFonts w:asciiTheme="majorBidi" w:eastAsia="Calibri" w:hAnsiTheme="majorBidi" w:cstheme="majorBidi"/>
                <w:sz w:val="24"/>
                <w:szCs w:val="24"/>
              </w:rPr>
              <w:t xml:space="preserve">1 ml (100 </w:t>
            </w:r>
            <w:proofErr w:type="spellStart"/>
            <w:r w:rsidRPr="007A11D2">
              <w:rPr>
                <w:rFonts w:asciiTheme="majorBidi" w:eastAsia="Calibri" w:hAnsiTheme="majorBidi" w:cstheme="majorBidi"/>
                <w:sz w:val="24"/>
                <w:szCs w:val="24"/>
              </w:rPr>
              <w:t>μm</w:t>
            </w:r>
            <w:proofErr w:type="spellEnd"/>
            <w:r w:rsidRPr="007A11D2">
              <w:rPr>
                <w:rFonts w:asciiTheme="majorBidi" w:eastAsia="Calibri" w:hAnsiTheme="majorBidi" w:cstheme="majorBidi"/>
                <w:sz w:val="24"/>
                <w:szCs w:val="24"/>
              </w:rPr>
              <w:t>)</w:t>
            </w:r>
          </w:p>
        </w:tc>
      </w:tr>
      <w:tr w:rsidR="00DD1505" w:rsidRPr="007A11D2" w14:paraId="2BCA1B87" w14:textId="77777777" w:rsidTr="00DD1505">
        <w:tc>
          <w:tcPr>
            <w:tcW w:w="1849" w:type="dxa"/>
          </w:tcPr>
          <w:p w14:paraId="3CE7450A" w14:textId="77777777" w:rsidR="00DD1505" w:rsidRPr="007A11D2" w:rsidRDefault="00DD1505" w:rsidP="00DD1505">
            <w:pPr>
              <w:rPr>
                <w:rFonts w:asciiTheme="majorBidi" w:eastAsia="Calibri" w:hAnsiTheme="majorBidi" w:cstheme="majorBidi"/>
                <w:sz w:val="24"/>
                <w:szCs w:val="24"/>
              </w:rPr>
            </w:pPr>
            <w:r w:rsidRPr="007A11D2">
              <w:rPr>
                <w:rFonts w:asciiTheme="majorBidi" w:eastAsia="Calibri" w:hAnsiTheme="majorBidi" w:cstheme="majorBidi"/>
                <w:sz w:val="24"/>
                <w:szCs w:val="24"/>
              </w:rPr>
              <w:t>AG3</w:t>
            </w:r>
          </w:p>
        </w:tc>
        <w:tc>
          <w:tcPr>
            <w:tcW w:w="2376" w:type="dxa"/>
          </w:tcPr>
          <w:p w14:paraId="0F5056D8" w14:textId="77777777" w:rsidR="00DD1505" w:rsidRPr="007A11D2" w:rsidRDefault="00DD1505" w:rsidP="00DD1505">
            <w:pPr>
              <w:rPr>
                <w:rFonts w:asciiTheme="majorBidi" w:eastAsia="Calibri" w:hAnsiTheme="majorBidi" w:cstheme="majorBidi"/>
                <w:sz w:val="24"/>
                <w:szCs w:val="24"/>
              </w:rPr>
            </w:pPr>
            <w:r w:rsidRPr="007A11D2">
              <w:rPr>
                <w:rFonts w:asciiTheme="majorBidi" w:eastAsia="Calibri" w:hAnsiTheme="majorBidi" w:cstheme="majorBidi"/>
                <w:sz w:val="24"/>
                <w:szCs w:val="24"/>
              </w:rPr>
              <w:t>CA-DHA</w:t>
            </w:r>
          </w:p>
        </w:tc>
        <w:tc>
          <w:tcPr>
            <w:tcW w:w="2700" w:type="dxa"/>
          </w:tcPr>
          <w:p w14:paraId="18205784" w14:textId="77777777" w:rsidR="00DD1505" w:rsidRPr="007A11D2" w:rsidRDefault="00DD1505" w:rsidP="00DD1505">
            <w:pPr>
              <w:rPr>
                <w:rFonts w:asciiTheme="majorBidi" w:eastAsia="Calibri" w:hAnsiTheme="majorBidi" w:cstheme="majorBidi"/>
                <w:sz w:val="24"/>
                <w:szCs w:val="24"/>
              </w:rPr>
            </w:pPr>
            <w:r w:rsidRPr="007A11D2">
              <w:rPr>
                <w:rFonts w:asciiTheme="majorBidi" w:eastAsia="Calibri" w:hAnsiTheme="majorBidi" w:cstheme="majorBidi"/>
                <w:sz w:val="24"/>
                <w:szCs w:val="24"/>
              </w:rPr>
              <w:t>(1% v/v)- (2%)</w:t>
            </w:r>
          </w:p>
        </w:tc>
      </w:tr>
      <w:tr w:rsidR="00DD1505" w:rsidRPr="007A11D2" w14:paraId="46D01598" w14:textId="77777777" w:rsidTr="00DD1505">
        <w:tc>
          <w:tcPr>
            <w:tcW w:w="1849" w:type="dxa"/>
          </w:tcPr>
          <w:p w14:paraId="038EC2D8" w14:textId="77777777" w:rsidR="00DD1505" w:rsidRPr="007A11D2" w:rsidRDefault="00DD1505" w:rsidP="00DD1505">
            <w:pPr>
              <w:rPr>
                <w:rFonts w:asciiTheme="majorBidi" w:eastAsia="Calibri" w:hAnsiTheme="majorBidi" w:cstheme="majorBidi"/>
                <w:sz w:val="24"/>
                <w:szCs w:val="24"/>
              </w:rPr>
            </w:pPr>
            <w:r w:rsidRPr="007A11D2">
              <w:rPr>
                <w:rFonts w:asciiTheme="majorBidi" w:eastAsia="Calibri" w:hAnsiTheme="majorBidi" w:cstheme="majorBidi"/>
                <w:sz w:val="24"/>
                <w:szCs w:val="24"/>
              </w:rPr>
              <w:t>AG4</w:t>
            </w:r>
          </w:p>
        </w:tc>
        <w:tc>
          <w:tcPr>
            <w:tcW w:w="2376" w:type="dxa"/>
          </w:tcPr>
          <w:p w14:paraId="16D57FCF" w14:textId="77777777" w:rsidR="00DD1505" w:rsidRPr="007A11D2" w:rsidRDefault="00DD1505" w:rsidP="00DD1505">
            <w:pPr>
              <w:rPr>
                <w:rFonts w:asciiTheme="majorBidi" w:eastAsia="Calibri" w:hAnsiTheme="majorBidi" w:cstheme="majorBidi"/>
                <w:sz w:val="24"/>
                <w:szCs w:val="24"/>
              </w:rPr>
            </w:pPr>
            <w:r w:rsidRPr="007A11D2">
              <w:rPr>
                <w:rFonts w:asciiTheme="majorBidi" w:eastAsia="Calibri" w:hAnsiTheme="majorBidi" w:cstheme="majorBidi"/>
                <w:sz w:val="24"/>
                <w:szCs w:val="24"/>
              </w:rPr>
              <w:t>NS</w:t>
            </w:r>
          </w:p>
        </w:tc>
        <w:tc>
          <w:tcPr>
            <w:tcW w:w="2700" w:type="dxa"/>
          </w:tcPr>
          <w:p w14:paraId="1794E98A" w14:textId="77777777" w:rsidR="00DD1505" w:rsidRPr="007A11D2" w:rsidRDefault="00DD1505" w:rsidP="00DD1505">
            <w:pPr>
              <w:rPr>
                <w:rFonts w:asciiTheme="majorBidi" w:eastAsia="Calibri" w:hAnsiTheme="majorBidi" w:cstheme="majorBidi"/>
                <w:sz w:val="24"/>
                <w:szCs w:val="24"/>
              </w:rPr>
            </w:pPr>
            <w:r w:rsidRPr="007A11D2">
              <w:rPr>
                <w:rFonts w:asciiTheme="majorBidi" w:eastAsia="Calibri" w:hAnsiTheme="majorBidi" w:cstheme="majorBidi"/>
                <w:sz w:val="24"/>
                <w:szCs w:val="24"/>
              </w:rPr>
              <w:t>Normal saline (1ml)</w:t>
            </w:r>
          </w:p>
        </w:tc>
      </w:tr>
      <w:tr w:rsidR="00DD1505" w:rsidRPr="007A11D2" w14:paraId="11FAB9DC" w14:textId="77777777" w:rsidTr="00DD1505">
        <w:tc>
          <w:tcPr>
            <w:tcW w:w="1849" w:type="dxa"/>
          </w:tcPr>
          <w:p w14:paraId="37D9467B" w14:textId="77777777" w:rsidR="00DD1505" w:rsidRPr="007A11D2" w:rsidRDefault="00DD1505" w:rsidP="00DD1505">
            <w:pPr>
              <w:rPr>
                <w:rFonts w:asciiTheme="majorBidi" w:eastAsia="Calibri" w:hAnsiTheme="majorBidi" w:cstheme="majorBidi"/>
                <w:sz w:val="24"/>
                <w:szCs w:val="24"/>
              </w:rPr>
            </w:pPr>
            <w:r w:rsidRPr="007A11D2">
              <w:rPr>
                <w:rFonts w:asciiTheme="majorBidi" w:eastAsia="Calibri" w:hAnsiTheme="majorBidi" w:cstheme="majorBidi"/>
                <w:sz w:val="24"/>
                <w:szCs w:val="24"/>
              </w:rPr>
              <w:t>AG5</w:t>
            </w:r>
          </w:p>
        </w:tc>
        <w:tc>
          <w:tcPr>
            <w:tcW w:w="2376" w:type="dxa"/>
          </w:tcPr>
          <w:p w14:paraId="2571A37E" w14:textId="77777777" w:rsidR="00DD1505" w:rsidRPr="007A11D2" w:rsidRDefault="00DD1505" w:rsidP="00DD1505">
            <w:pPr>
              <w:rPr>
                <w:rFonts w:asciiTheme="majorBidi" w:eastAsia="Calibri" w:hAnsiTheme="majorBidi" w:cstheme="majorBidi"/>
                <w:sz w:val="24"/>
                <w:szCs w:val="24"/>
              </w:rPr>
            </w:pPr>
            <w:r w:rsidRPr="007A11D2">
              <w:rPr>
                <w:rFonts w:asciiTheme="majorBidi" w:eastAsia="Calibri" w:hAnsiTheme="majorBidi" w:cstheme="majorBidi"/>
                <w:sz w:val="24"/>
                <w:szCs w:val="24"/>
              </w:rPr>
              <w:t>AMX-10</w:t>
            </w:r>
          </w:p>
        </w:tc>
        <w:tc>
          <w:tcPr>
            <w:tcW w:w="2700" w:type="dxa"/>
          </w:tcPr>
          <w:p w14:paraId="1399E534" w14:textId="77777777" w:rsidR="00DD1505" w:rsidRPr="007A11D2" w:rsidRDefault="00DD1505" w:rsidP="00DD1505">
            <w:pPr>
              <w:rPr>
                <w:rFonts w:asciiTheme="majorBidi" w:eastAsia="Calibri" w:hAnsiTheme="majorBidi" w:cstheme="majorBidi"/>
                <w:sz w:val="24"/>
                <w:szCs w:val="24"/>
              </w:rPr>
            </w:pPr>
            <w:r w:rsidRPr="007A11D2">
              <w:rPr>
                <w:rFonts w:asciiTheme="majorBidi" w:eastAsia="Calibri" w:hAnsiTheme="majorBidi" w:cstheme="majorBidi"/>
                <w:sz w:val="24"/>
                <w:szCs w:val="24"/>
              </w:rPr>
              <w:t xml:space="preserve">AMX= 10 mg/kg </w:t>
            </w:r>
          </w:p>
        </w:tc>
      </w:tr>
      <w:tr w:rsidR="00DD1505" w:rsidRPr="007A11D2" w14:paraId="3542141A" w14:textId="77777777" w:rsidTr="00DD1505">
        <w:tc>
          <w:tcPr>
            <w:tcW w:w="1849" w:type="dxa"/>
          </w:tcPr>
          <w:p w14:paraId="5AB8E8B7" w14:textId="77777777" w:rsidR="00DD1505" w:rsidRPr="007A11D2" w:rsidRDefault="00DD1505" w:rsidP="00DD1505">
            <w:pPr>
              <w:rPr>
                <w:rFonts w:asciiTheme="majorBidi" w:eastAsia="Calibri" w:hAnsiTheme="majorBidi" w:cstheme="majorBidi"/>
                <w:sz w:val="24"/>
                <w:szCs w:val="24"/>
              </w:rPr>
            </w:pPr>
            <w:r w:rsidRPr="007A11D2">
              <w:rPr>
                <w:rFonts w:asciiTheme="majorBidi" w:eastAsia="Calibri" w:hAnsiTheme="majorBidi" w:cstheme="majorBidi"/>
                <w:sz w:val="24"/>
                <w:szCs w:val="24"/>
              </w:rPr>
              <w:t>AG6</w:t>
            </w:r>
          </w:p>
        </w:tc>
        <w:tc>
          <w:tcPr>
            <w:tcW w:w="2376" w:type="dxa"/>
          </w:tcPr>
          <w:p w14:paraId="02C48C60" w14:textId="77777777" w:rsidR="00DD1505" w:rsidRPr="007A11D2" w:rsidRDefault="00DD1505" w:rsidP="00DD1505">
            <w:pPr>
              <w:rPr>
                <w:rFonts w:asciiTheme="majorBidi" w:eastAsia="Calibri" w:hAnsiTheme="majorBidi" w:cstheme="majorBidi"/>
                <w:sz w:val="24"/>
                <w:szCs w:val="24"/>
              </w:rPr>
            </w:pPr>
            <w:r w:rsidRPr="007A11D2">
              <w:rPr>
                <w:rFonts w:asciiTheme="majorBidi" w:eastAsia="Calibri" w:hAnsiTheme="majorBidi" w:cstheme="majorBidi"/>
                <w:sz w:val="24"/>
                <w:szCs w:val="24"/>
              </w:rPr>
              <w:t>AMX-20</w:t>
            </w:r>
          </w:p>
        </w:tc>
        <w:tc>
          <w:tcPr>
            <w:tcW w:w="2700" w:type="dxa"/>
          </w:tcPr>
          <w:p w14:paraId="4949F4D3" w14:textId="77777777" w:rsidR="00DD1505" w:rsidRPr="007A11D2" w:rsidRDefault="00DD1505" w:rsidP="00DD1505">
            <w:pPr>
              <w:rPr>
                <w:rFonts w:asciiTheme="majorBidi" w:eastAsia="Calibri" w:hAnsiTheme="majorBidi" w:cstheme="majorBidi"/>
                <w:sz w:val="24"/>
                <w:szCs w:val="24"/>
              </w:rPr>
            </w:pPr>
            <w:r w:rsidRPr="007A11D2">
              <w:rPr>
                <w:rFonts w:asciiTheme="majorBidi" w:eastAsia="Calibri" w:hAnsiTheme="majorBidi" w:cstheme="majorBidi"/>
                <w:sz w:val="24"/>
                <w:szCs w:val="24"/>
              </w:rPr>
              <w:t>AMX= 20 mg/kg</w:t>
            </w:r>
          </w:p>
        </w:tc>
      </w:tr>
      <w:tr w:rsidR="00DD1505" w:rsidRPr="007A11D2" w14:paraId="61AA388F" w14:textId="77777777" w:rsidTr="00DD1505">
        <w:tc>
          <w:tcPr>
            <w:tcW w:w="1849" w:type="dxa"/>
          </w:tcPr>
          <w:p w14:paraId="430A04EF" w14:textId="77777777" w:rsidR="00DD1505" w:rsidRPr="007A11D2" w:rsidRDefault="00DD1505" w:rsidP="00DD1505">
            <w:pPr>
              <w:rPr>
                <w:rFonts w:asciiTheme="majorBidi" w:eastAsia="Calibri" w:hAnsiTheme="majorBidi" w:cstheme="majorBidi"/>
                <w:sz w:val="24"/>
                <w:szCs w:val="24"/>
              </w:rPr>
            </w:pPr>
            <w:r w:rsidRPr="007A11D2">
              <w:rPr>
                <w:rFonts w:asciiTheme="majorBidi" w:eastAsia="Calibri" w:hAnsiTheme="majorBidi" w:cstheme="majorBidi"/>
                <w:sz w:val="24"/>
                <w:szCs w:val="24"/>
              </w:rPr>
              <w:t>AG7</w:t>
            </w:r>
          </w:p>
        </w:tc>
        <w:tc>
          <w:tcPr>
            <w:tcW w:w="2376" w:type="dxa"/>
          </w:tcPr>
          <w:p w14:paraId="726C1658" w14:textId="77777777" w:rsidR="00DD1505" w:rsidRPr="007A11D2" w:rsidRDefault="00DD1505" w:rsidP="00DD1505">
            <w:pPr>
              <w:rPr>
                <w:rFonts w:asciiTheme="majorBidi" w:eastAsia="Calibri" w:hAnsiTheme="majorBidi" w:cstheme="majorBidi"/>
                <w:sz w:val="24"/>
                <w:szCs w:val="24"/>
              </w:rPr>
            </w:pPr>
            <w:r w:rsidRPr="007A11D2">
              <w:rPr>
                <w:rFonts w:asciiTheme="majorBidi" w:eastAsia="Calibri" w:hAnsiTheme="majorBidi" w:cstheme="majorBidi"/>
                <w:sz w:val="24"/>
                <w:szCs w:val="24"/>
              </w:rPr>
              <w:t>CA-AMX-10</w:t>
            </w:r>
          </w:p>
        </w:tc>
        <w:tc>
          <w:tcPr>
            <w:tcW w:w="2700" w:type="dxa"/>
          </w:tcPr>
          <w:p w14:paraId="37A21FC9" w14:textId="77777777" w:rsidR="00DD1505" w:rsidRPr="007A11D2" w:rsidRDefault="00DD1505" w:rsidP="00DD1505">
            <w:pPr>
              <w:rPr>
                <w:rFonts w:asciiTheme="majorBidi" w:eastAsia="Calibri" w:hAnsiTheme="majorBidi" w:cstheme="majorBidi"/>
                <w:sz w:val="24"/>
                <w:szCs w:val="24"/>
              </w:rPr>
            </w:pPr>
            <w:r w:rsidRPr="007A11D2">
              <w:rPr>
                <w:rFonts w:asciiTheme="majorBidi" w:eastAsia="Calibri" w:hAnsiTheme="majorBidi" w:cstheme="majorBidi"/>
                <w:sz w:val="24"/>
                <w:szCs w:val="24"/>
              </w:rPr>
              <w:t>AMX= 10 mg/kg</w:t>
            </w:r>
          </w:p>
        </w:tc>
      </w:tr>
      <w:tr w:rsidR="00DD1505" w:rsidRPr="007A11D2" w14:paraId="403FAD12" w14:textId="77777777" w:rsidTr="00DD1505">
        <w:tc>
          <w:tcPr>
            <w:tcW w:w="1849" w:type="dxa"/>
          </w:tcPr>
          <w:p w14:paraId="5A48BE48" w14:textId="77777777" w:rsidR="00DD1505" w:rsidRPr="007A11D2" w:rsidRDefault="00DD1505" w:rsidP="00DD1505">
            <w:pPr>
              <w:rPr>
                <w:rFonts w:asciiTheme="majorBidi" w:eastAsia="Calibri" w:hAnsiTheme="majorBidi" w:cstheme="majorBidi"/>
                <w:sz w:val="24"/>
                <w:szCs w:val="24"/>
              </w:rPr>
            </w:pPr>
            <w:r w:rsidRPr="007A11D2">
              <w:rPr>
                <w:rFonts w:asciiTheme="majorBidi" w:eastAsia="Calibri" w:hAnsiTheme="majorBidi" w:cstheme="majorBidi"/>
                <w:sz w:val="24"/>
                <w:szCs w:val="24"/>
              </w:rPr>
              <w:t>AG8</w:t>
            </w:r>
          </w:p>
        </w:tc>
        <w:tc>
          <w:tcPr>
            <w:tcW w:w="2376" w:type="dxa"/>
          </w:tcPr>
          <w:p w14:paraId="33B8C56C" w14:textId="77777777" w:rsidR="00DD1505" w:rsidRPr="007A11D2" w:rsidRDefault="00DD1505" w:rsidP="00DD1505">
            <w:pPr>
              <w:rPr>
                <w:rFonts w:asciiTheme="majorBidi" w:eastAsia="Calibri" w:hAnsiTheme="majorBidi" w:cstheme="majorBidi"/>
                <w:sz w:val="24"/>
                <w:szCs w:val="24"/>
              </w:rPr>
            </w:pPr>
            <w:r w:rsidRPr="007A11D2">
              <w:rPr>
                <w:rFonts w:asciiTheme="majorBidi" w:eastAsia="Calibri" w:hAnsiTheme="majorBidi" w:cstheme="majorBidi"/>
                <w:sz w:val="24"/>
                <w:szCs w:val="24"/>
              </w:rPr>
              <w:t>CA-AMX-20</w:t>
            </w:r>
          </w:p>
        </w:tc>
        <w:tc>
          <w:tcPr>
            <w:tcW w:w="2700" w:type="dxa"/>
          </w:tcPr>
          <w:p w14:paraId="527A7DF9" w14:textId="77777777" w:rsidR="00DD1505" w:rsidRPr="007A11D2" w:rsidRDefault="00DD1505" w:rsidP="00DD1505">
            <w:pPr>
              <w:rPr>
                <w:rFonts w:asciiTheme="majorBidi" w:eastAsia="Calibri" w:hAnsiTheme="majorBidi" w:cstheme="majorBidi"/>
                <w:sz w:val="24"/>
                <w:szCs w:val="24"/>
              </w:rPr>
            </w:pPr>
            <w:r w:rsidRPr="007A11D2">
              <w:rPr>
                <w:rFonts w:asciiTheme="majorBidi" w:eastAsia="Calibri" w:hAnsiTheme="majorBidi" w:cstheme="majorBidi"/>
                <w:sz w:val="24"/>
                <w:szCs w:val="24"/>
              </w:rPr>
              <w:t>AMX= 20 mg/kg</w:t>
            </w:r>
          </w:p>
        </w:tc>
      </w:tr>
      <w:tr w:rsidR="00DD1505" w:rsidRPr="007A11D2" w14:paraId="40208AAE" w14:textId="77777777" w:rsidTr="00DD1505">
        <w:tc>
          <w:tcPr>
            <w:tcW w:w="1849" w:type="dxa"/>
          </w:tcPr>
          <w:p w14:paraId="65DF6FCB" w14:textId="77777777" w:rsidR="00DD1505" w:rsidRPr="007A11D2" w:rsidRDefault="00DD1505" w:rsidP="00DD1505">
            <w:pPr>
              <w:rPr>
                <w:rFonts w:asciiTheme="majorBidi" w:eastAsia="Calibri" w:hAnsiTheme="majorBidi" w:cstheme="majorBidi"/>
                <w:sz w:val="24"/>
                <w:szCs w:val="24"/>
              </w:rPr>
            </w:pPr>
            <w:r w:rsidRPr="007A11D2">
              <w:rPr>
                <w:rFonts w:asciiTheme="majorBidi" w:eastAsia="Calibri" w:hAnsiTheme="majorBidi" w:cstheme="majorBidi"/>
                <w:sz w:val="24"/>
                <w:szCs w:val="24"/>
              </w:rPr>
              <w:t>AG9</w:t>
            </w:r>
          </w:p>
        </w:tc>
        <w:tc>
          <w:tcPr>
            <w:tcW w:w="2376" w:type="dxa"/>
          </w:tcPr>
          <w:p w14:paraId="47D099EF" w14:textId="77777777" w:rsidR="00DD1505" w:rsidRPr="007A11D2" w:rsidRDefault="00DD1505" w:rsidP="00DD1505">
            <w:pPr>
              <w:rPr>
                <w:rFonts w:asciiTheme="majorBidi" w:eastAsia="Calibri" w:hAnsiTheme="majorBidi" w:cstheme="majorBidi"/>
                <w:sz w:val="24"/>
                <w:szCs w:val="24"/>
              </w:rPr>
            </w:pPr>
            <w:r w:rsidRPr="007A11D2">
              <w:rPr>
                <w:rFonts w:asciiTheme="majorBidi" w:eastAsia="Calibri" w:hAnsiTheme="majorBidi" w:cstheme="majorBidi"/>
                <w:sz w:val="24"/>
                <w:szCs w:val="24"/>
              </w:rPr>
              <w:t>CA-DHA-AMX-10</w:t>
            </w:r>
          </w:p>
        </w:tc>
        <w:tc>
          <w:tcPr>
            <w:tcW w:w="2700" w:type="dxa"/>
          </w:tcPr>
          <w:p w14:paraId="28AE41D7" w14:textId="77777777" w:rsidR="00DD1505" w:rsidRPr="007A11D2" w:rsidRDefault="00DD1505" w:rsidP="00DD1505">
            <w:pPr>
              <w:rPr>
                <w:rFonts w:asciiTheme="majorBidi" w:eastAsia="Calibri" w:hAnsiTheme="majorBidi" w:cstheme="majorBidi"/>
                <w:sz w:val="24"/>
                <w:szCs w:val="24"/>
              </w:rPr>
            </w:pPr>
            <w:r w:rsidRPr="007A11D2">
              <w:rPr>
                <w:rFonts w:asciiTheme="majorBidi" w:eastAsia="Calibri" w:hAnsiTheme="majorBidi" w:cstheme="majorBidi"/>
                <w:sz w:val="24"/>
                <w:szCs w:val="24"/>
              </w:rPr>
              <w:t>AMX= 10 mg/kg</w:t>
            </w:r>
          </w:p>
        </w:tc>
      </w:tr>
      <w:tr w:rsidR="00DD1505" w:rsidRPr="007A11D2" w14:paraId="208F51AD" w14:textId="77777777" w:rsidTr="00DD1505">
        <w:tc>
          <w:tcPr>
            <w:tcW w:w="1849" w:type="dxa"/>
          </w:tcPr>
          <w:p w14:paraId="3B750A2E" w14:textId="77777777" w:rsidR="00DD1505" w:rsidRPr="007A11D2" w:rsidRDefault="00DD1505" w:rsidP="00DD1505">
            <w:pPr>
              <w:rPr>
                <w:rFonts w:asciiTheme="majorBidi" w:eastAsia="Calibri" w:hAnsiTheme="majorBidi" w:cstheme="majorBidi"/>
                <w:sz w:val="24"/>
                <w:szCs w:val="24"/>
              </w:rPr>
            </w:pPr>
            <w:r w:rsidRPr="007A11D2">
              <w:rPr>
                <w:rFonts w:asciiTheme="majorBidi" w:eastAsia="Calibri" w:hAnsiTheme="majorBidi" w:cstheme="majorBidi"/>
                <w:sz w:val="24"/>
                <w:szCs w:val="24"/>
              </w:rPr>
              <w:t>AG10</w:t>
            </w:r>
          </w:p>
        </w:tc>
        <w:tc>
          <w:tcPr>
            <w:tcW w:w="2376" w:type="dxa"/>
          </w:tcPr>
          <w:p w14:paraId="14145FCE" w14:textId="77777777" w:rsidR="00DD1505" w:rsidRPr="007A11D2" w:rsidRDefault="00DD1505" w:rsidP="00DD1505">
            <w:pPr>
              <w:rPr>
                <w:rFonts w:asciiTheme="majorBidi" w:eastAsia="Calibri" w:hAnsiTheme="majorBidi" w:cstheme="majorBidi"/>
                <w:sz w:val="24"/>
                <w:szCs w:val="24"/>
              </w:rPr>
            </w:pPr>
            <w:r w:rsidRPr="007A11D2">
              <w:rPr>
                <w:rFonts w:asciiTheme="majorBidi" w:eastAsia="Calibri" w:hAnsiTheme="majorBidi" w:cstheme="majorBidi"/>
                <w:sz w:val="24"/>
                <w:szCs w:val="24"/>
              </w:rPr>
              <w:t>CA-DHA-AMX-20</w:t>
            </w:r>
          </w:p>
        </w:tc>
        <w:tc>
          <w:tcPr>
            <w:tcW w:w="2700" w:type="dxa"/>
          </w:tcPr>
          <w:p w14:paraId="6CAC142F" w14:textId="77777777" w:rsidR="00DD1505" w:rsidRPr="007A11D2" w:rsidRDefault="00DD1505" w:rsidP="00DD1505">
            <w:pPr>
              <w:rPr>
                <w:rFonts w:asciiTheme="majorBidi" w:eastAsia="Calibri" w:hAnsiTheme="majorBidi" w:cstheme="majorBidi"/>
                <w:sz w:val="24"/>
                <w:szCs w:val="24"/>
              </w:rPr>
            </w:pPr>
            <w:r w:rsidRPr="007A11D2">
              <w:rPr>
                <w:rFonts w:asciiTheme="majorBidi" w:eastAsia="Calibri" w:hAnsiTheme="majorBidi" w:cstheme="majorBidi"/>
                <w:sz w:val="24"/>
                <w:szCs w:val="24"/>
              </w:rPr>
              <w:t>AMX= 20 mg/kg</w:t>
            </w:r>
          </w:p>
        </w:tc>
      </w:tr>
      <w:tr w:rsidR="00DD1505" w:rsidRPr="007A11D2" w14:paraId="723EB05D" w14:textId="77777777" w:rsidTr="00DD1505">
        <w:tc>
          <w:tcPr>
            <w:tcW w:w="6925" w:type="dxa"/>
            <w:gridSpan w:val="3"/>
          </w:tcPr>
          <w:p w14:paraId="353D2467" w14:textId="77777777" w:rsidR="00DD1505" w:rsidRPr="007A11D2" w:rsidRDefault="00DD1505" w:rsidP="00DD1505">
            <w:pPr>
              <w:rPr>
                <w:rFonts w:asciiTheme="majorBidi" w:eastAsia="Calibri" w:hAnsiTheme="majorBidi" w:cstheme="majorBidi"/>
                <w:sz w:val="24"/>
                <w:szCs w:val="24"/>
              </w:rPr>
            </w:pPr>
            <w:r w:rsidRPr="007A11D2">
              <w:rPr>
                <w:rFonts w:asciiTheme="majorBidi" w:eastAsia="Calibri" w:hAnsiTheme="majorBidi" w:cstheme="majorBidi"/>
                <w:i/>
                <w:iCs/>
                <w:sz w:val="24"/>
                <w:szCs w:val="24"/>
              </w:rPr>
              <w:t>In vivo H. pylori</w:t>
            </w:r>
            <w:r w:rsidRPr="007A11D2">
              <w:rPr>
                <w:rFonts w:asciiTheme="majorBidi" w:eastAsia="Calibri" w:hAnsiTheme="majorBidi" w:cstheme="majorBidi"/>
                <w:sz w:val="24"/>
                <w:szCs w:val="24"/>
              </w:rPr>
              <w:t xml:space="preserve"> eradication and gastric ulcer healing**</w:t>
            </w:r>
          </w:p>
          <w:p w14:paraId="05AA52FF" w14:textId="77777777" w:rsidR="00DD1505" w:rsidRPr="007A11D2" w:rsidRDefault="00DD1505" w:rsidP="00DD1505">
            <w:pPr>
              <w:rPr>
                <w:rFonts w:asciiTheme="majorBidi" w:eastAsia="Calibri" w:hAnsiTheme="majorBidi" w:cstheme="majorBidi"/>
                <w:sz w:val="24"/>
                <w:szCs w:val="24"/>
              </w:rPr>
            </w:pPr>
          </w:p>
        </w:tc>
      </w:tr>
      <w:tr w:rsidR="00DD1505" w:rsidRPr="007A11D2" w14:paraId="1EB2F4ED" w14:textId="77777777" w:rsidTr="00DD1505">
        <w:tc>
          <w:tcPr>
            <w:tcW w:w="1849" w:type="dxa"/>
          </w:tcPr>
          <w:p w14:paraId="6A00D4AC" w14:textId="77777777" w:rsidR="00DD1505" w:rsidRPr="007A11D2" w:rsidRDefault="00DD1505" w:rsidP="00DD1505">
            <w:pPr>
              <w:rPr>
                <w:rFonts w:asciiTheme="majorBidi" w:eastAsia="Calibri" w:hAnsiTheme="majorBidi" w:cstheme="majorBidi"/>
                <w:sz w:val="24"/>
                <w:szCs w:val="24"/>
              </w:rPr>
            </w:pPr>
            <w:r w:rsidRPr="007A11D2">
              <w:rPr>
                <w:rFonts w:asciiTheme="majorBidi" w:eastAsia="Calibri" w:hAnsiTheme="majorBidi" w:cstheme="majorBidi"/>
                <w:sz w:val="24"/>
                <w:szCs w:val="24"/>
              </w:rPr>
              <w:t xml:space="preserve">G1 </w:t>
            </w:r>
          </w:p>
        </w:tc>
        <w:tc>
          <w:tcPr>
            <w:tcW w:w="2376" w:type="dxa"/>
          </w:tcPr>
          <w:p w14:paraId="3CEBB21C" w14:textId="77777777" w:rsidR="00DD1505" w:rsidRPr="007A11D2" w:rsidRDefault="00DD1505" w:rsidP="00DD1505">
            <w:pPr>
              <w:rPr>
                <w:rFonts w:asciiTheme="majorBidi" w:eastAsia="Calibri" w:hAnsiTheme="majorBidi" w:cstheme="majorBidi"/>
                <w:sz w:val="24"/>
                <w:szCs w:val="24"/>
              </w:rPr>
            </w:pPr>
            <w:r w:rsidRPr="007A11D2">
              <w:rPr>
                <w:rFonts w:asciiTheme="majorBidi" w:eastAsia="Calibri" w:hAnsiTheme="majorBidi" w:cstheme="majorBidi"/>
                <w:sz w:val="24"/>
                <w:szCs w:val="24"/>
              </w:rPr>
              <w:t>Control</w:t>
            </w:r>
          </w:p>
        </w:tc>
        <w:tc>
          <w:tcPr>
            <w:tcW w:w="2700" w:type="dxa"/>
          </w:tcPr>
          <w:p w14:paraId="391CBE07" w14:textId="77777777" w:rsidR="00DD1505" w:rsidRPr="007A11D2" w:rsidRDefault="00DD1505" w:rsidP="00DD1505">
            <w:pPr>
              <w:rPr>
                <w:rFonts w:asciiTheme="majorBidi" w:eastAsia="Calibri" w:hAnsiTheme="majorBidi" w:cstheme="majorBidi"/>
                <w:sz w:val="24"/>
                <w:szCs w:val="24"/>
              </w:rPr>
            </w:pPr>
            <w:r w:rsidRPr="007A11D2">
              <w:rPr>
                <w:rFonts w:asciiTheme="majorBidi" w:eastAsia="Calibri" w:hAnsiTheme="majorBidi" w:cstheme="majorBidi"/>
                <w:sz w:val="24"/>
                <w:szCs w:val="24"/>
              </w:rPr>
              <w:t>Healthy rat</w:t>
            </w:r>
          </w:p>
        </w:tc>
      </w:tr>
      <w:tr w:rsidR="00DD1505" w:rsidRPr="007A11D2" w14:paraId="0E62A0ED" w14:textId="77777777" w:rsidTr="00DD1505">
        <w:tc>
          <w:tcPr>
            <w:tcW w:w="1849" w:type="dxa"/>
          </w:tcPr>
          <w:p w14:paraId="526AEE88" w14:textId="77777777" w:rsidR="00DD1505" w:rsidRPr="007A11D2" w:rsidRDefault="00DD1505" w:rsidP="00DD1505">
            <w:pPr>
              <w:rPr>
                <w:rFonts w:asciiTheme="majorBidi" w:eastAsia="Calibri" w:hAnsiTheme="majorBidi" w:cstheme="majorBidi"/>
                <w:sz w:val="24"/>
                <w:szCs w:val="24"/>
              </w:rPr>
            </w:pPr>
            <w:r w:rsidRPr="007A11D2">
              <w:rPr>
                <w:rFonts w:asciiTheme="majorBidi" w:eastAsia="Calibri" w:hAnsiTheme="majorBidi" w:cstheme="majorBidi"/>
                <w:sz w:val="24"/>
                <w:szCs w:val="24"/>
              </w:rPr>
              <w:t>G2</w:t>
            </w:r>
          </w:p>
        </w:tc>
        <w:tc>
          <w:tcPr>
            <w:tcW w:w="2376" w:type="dxa"/>
          </w:tcPr>
          <w:p w14:paraId="6B4DA75A" w14:textId="77777777" w:rsidR="00DD1505" w:rsidRPr="007A11D2" w:rsidRDefault="00DD1505" w:rsidP="00DD1505">
            <w:pPr>
              <w:rPr>
                <w:rFonts w:asciiTheme="majorBidi" w:eastAsia="Calibri" w:hAnsiTheme="majorBidi" w:cstheme="majorBidi"/>
                <w:sz w:val="24"/>
                <w:szCs w:val="24"/>
              </w:rPr>
            </w:pPr>
            <w:r w:rsidRPr="007A11D2">
              <w:rPr>
                <w:rFonts w:asciiTheme="majorBidi" w:eastAsia="Calibri" w:hAnsiTheme="majorBidi" w:cstheme="majorBidi"/>
                <w:sz w:val="24"/>
                <w:szCs w:val="24"/>
              </w:rPr>
              <w:t>NS</w:t>
            </w:r>
          </w:p>
        </w:tc>
        <w:tc>
          <w:tcPr>
            <w:tcW w:w="2700" w:type="dxa"/>
          </w:tcPr>
          <w:p w14:paraId="1D1A20A2" w14:textId="77777777" w:rsidR="00DD1505" w:rsidRPr="007A11D2" w:rsidRDefault="00DD1505" w:rsidP="00DD1505">
            <w:pPr>
              <w:rPr>
                <w:rFonts w:asciiTheme="majorBidi" w:eastAsia="Calibri" w:hAnsiTheme="majorBidi" w:cstheme="majorBidi"/>
                <w:sz w:val="24"/>
                <w:szCs w:val="24"/>
              </w:rPr>
            </w:pPr>
            <w:r w:rsidRPr="007A11D2">
              <w:rPr>
                <w:rFonts w:asciiTheme="majorBidi" w:eastAsia="Calibri" w:hAnsiTheme="majorBidi" w:cstheme="majorBidi"/>
                <w:sz w:val="24"/>
                <w:szCs w:val="24"/>
              </w:rPr>
              <w:t>Normal saline (1ml)</w:t>
            </w:r>
          </w:p>
        </w:tc>
      </w:tr>
      <w:tr w:rsidR="00DD1505" w:rsidRPr="007A11D2" w14:paraId="26B9019F" w14:textId="77777777" w:rsidTr="00DD1505">
        <w:tc>
          <w:tcPr>
            <w:tcW w:w="1849" w:type="dxa"/>
          </w:tcPr>
          <w:p w14:paraId="78C44ECE" w14:textId="77777777" w:rsidR="00DD1505" w:rsidRPr="007A11D2" w:rsidRDefault="00DD1505" w:rsidP="00DD1505">
            <w:pPr>
              <w:rPr>
                <w:rFonts w:asciiTheme="majorBidi" w:eastAsia="Calibri" w:hAnsiTheme="majorBidi" w:cstheme="majorBidi"/>
                <w:sz w:val="24"/>
                <w:szCs w:val="24"/>
              </w:rPr>
            </w:pPr>
            <w:r w:rsidRPr="007A11D2">
              <w:rPr>
                <w:rFonts w:asciiTheme="majorBidi" w:eastAsia="Calibri" w:hAnsiTheme="majorBidi" w:cstheme="majorBidi"/>
                <w:sz w:val="24"/>
                <w:szCs w:val="24"/>
              </w:rPr>
              <w:t>G3</w:t>
            </w:r>
          </w:p>
        </w:tc>
        <w:tc>
          <w:tcPr>
            <w:tcW w:w="2376" w:type="dxa"/>
          </w:tcPr>
          <w:p w14:paraId="1E102335" w14:textId="77777777" w:rsidR="00DD1505" w:rsidRPr="007A11D2" w:rsidRDefault="00DD1505" w:rsidP="00DD1505">
            <w:pPr>
              <w:rPr>
                <w:rFonts w:asciiTheme="majorBidi" w:eastAsia="Calibri" w:hAnsiTheme="majorBidi" w:cstheme="majorBidi"/>
                <w:sz w:val="24"/>
                <w:szCs w:val="24"/>
              </w:rPr>
            </w:pPr>
            <w:r w:rsidRPr="007A11D2">
              <w:rPr>
                <w:rFonts w:asciiTheme="majorBidi" w:eastAsia="Calibri" w:hAnsiTheme="majorBidi" w:cstheme="majorBidi"/>
                <w:sz w:val="24"/>
                <w:szCs w:val="24"/>
              </w:rPr>
              <w:t>AMX-10</w:t>
            </w:r>
          </w:p>
        </w:tc>
        <w:tc>
          <w:tcPr>
            <w:tcW w:w="2700" w:type="dxa"/>
          </w:tcPr>
          <w:p w14:paraId="6C237128" w14:textId="77777777" w:rsidR="00DD1505" w:rsidRPr="007A11D2" w:rsidRDefault="00DD1505" w:rsidP="00DD1505">
            <w:pPr>
              <w:rPr>
                <w:rFonts w:asciiTheme="majorBidi" w:eastAsia="Calibri" w:hAnsiTheme="majorBidi" w:cstheme="majorBidi"/>
                <w:sz w:val="24"/>
                <w:szCs w:val="24"/>
              </w:rPr>
            </w:pPr>
            <w:r w:rsidRPr="007A11D2">
              <w:rPr>
                <w:rFonts w:asciiTheme="majorBidi" w:eastAsia="Calibri" w:hAnsiTheme="majorBidi" w:cstheme="majorBidi"/>
                <w:sz w:val="24"/>
                <w:szCs w:val="24"/>
              </w:rPr>
              <w:t xml:space="preserve">AMX= 10 mg/kg </w:t>
            </w:r>
          </w:p>
        </w:tc>
      </w:tr>
      <w:tr w:rsidR="00DD1505" w:rsidRPr="007A11D2" w14:paraId="27CDF45F" w14:textId="77777777" w:rsidTr="00DD1505">
        <w:tc>
          <w:tcPr>
            <w:tcW w:w="1849" w:type="dxa"/>
          </w:tcPr>
          <w:p w14:paraId="227FEE6E" w14:textId="77777777" w:rsidR="00DD1505" w:rsidRPr="007A11D2" w:rsidRDefault="00DD1505" w:rsidP="00DD1505">
            <w:pPr>
              <w:rPr>
                <w:rFonts w:asciiTheme="majorBidi" w:eastAsia="Calibri" w:hAnsiTheme="majorBidi" w:cstheme="majorBidi"/>
                <w:sz w:val="24"/>
                <w:szCs w:val="24"/>
              </w:rPr>
            </w:pPr>
            <w:r w:rsidRPr="007A11D2">
              <w:rPr>
                <w:rFonts w:asciiTheme="majorBidi" w:eastAsia="Calibri" w:hAnsiTheme="majorBidi" w:cstheme="majorBidi"/>
                <w:sz w:val="24"/>
                <w:szCs w:val="24"/>
              </w:rPr>
              <w:t>G4</w:t>
            </w:r>
          </w:p>
        </w:tc>
        <w:tc>
          <w:tcPr>
            <w:tcW w:w="2376" w:type="dxa"/>
          </w:tcPr>
          <w:p w14:paraId="20EAB83F" w14:textId="77777777" w:rsidR="00DD1505" w:rsidRPr="007A11D2" w:rsidRDefault="00DD1505" w:rsidP="00DD1505">
            <w:pPr>
              <w:rPr>
                <w:rFonts w:asciiTheme="majorBidi" w:eastAsia="Calibri" w:hAnsiTheme="majorBidi" w:cstheme="majorBidi"/>
                <w:sz w:val="24"/>
                <w:szCs w:val="24"/>
              </w:rPr>
            </w:pPr>
            <w:r w:rsidRPr="007A11D2">
              <w:rPr>
                <w:rFonts w:asciiTheme="majorBidi" w:eastAsia="Calibri" w:hAnsiTheme="majorBidi" w:cstheme="majorBidi"/>
                <w:sz w:val="24"/>
                <w:szCs w:val="24"/>
              </w:rPr>
              <w:t>AMX-20</w:t>
            </w:r>
          </w:p>
        </w:tc>
        <w:tc>
          <w:tcPr>
            <w:tcW w:w="2700" w:type="dxa"/>
          </w:tcPr>
          <w:p w14:paraId="67AB0AE5" w14:textId="77777777" w:rsidR="00DD1505" w:rsidRPr="007A11D2" w:rsidRDefault="00DD1505" w:rsidP="00DD1505">
            <w:pPr>
              <w:rPr>
                <w:rFonts w:asciiTheme="majorBidi" w:eastAsia="Calibri" w:hAnsiTheme="majorBidi" w:cstheme="majorBidi"/>
                <w:sz w:val="24"/>
                <w:szCs w:val="24"/>
              </w:rPr>
            </w:pPr>
            <w:r w:rsidRPr="007A11D2">
              <w:rPr>
                <w:rFonts w:asciiTheme="majorBidi" w:eastAsia="Calibri" w:hAnsiTheme="majorBidi" w:cstheme="majorBidi"/>
                <w:sz w:val="24"/>
                <w:szCs w:val="24"/>
              </w:rPr>
              <w:t>AMX= 20 mg/kg</w:t>
            </w:r>
          </w:p>
        </w:tc>
      </w:tr>
      <w:tr w:rsidR="00DD1505" w:rsidRPr="007A11D2" w14:paraId="69B096F3" w14:textId="77777777" w:rsidTr="00DD1505">
        <w:tc>
          <w:tcPr>
            <w:tcW w:w="1849" w:type="dxa"/>
          </w:tcPr>
          <w:p w14:paraId="232499AF" w14:textId="77777777" w:rsidR="00DD1505" w:rsidRPr="007A11D2" w:rsidRDefault="00DD1505" w:rsidP="00DD1505">
            <w:pPr>
              <w:rPr>
                <w:rFonts w:asciiTheme="majorBidi" w:eastAsia="Calibri" w:hAnsiTheme="majorBidi" w:cstheme="majorBidi"/>
                <w:sz w:val="24"/>
                <w:szCs w:val="24"/>
              </w:rPr>
            </w:pPr>
            <w:r w:rsidRPr="007A11D2">
              <w:rPr>
                <w:rFonts w:asciiTheme="majorBidi" w:eastAsia="Calibri" w:hAnsiTheme="majorBidi" w:cstheme="majorBidi"/>
                <w:sz w:val="24"/>
                <w:szCs w:val="24"/>
              </w:rPr>
              <w:t>G5</w:t>
            </w:r>
          </w:p>
        </w:tc>
        <w:tc>
          <w:tcPr>
            <w:tcW w:w="2376" w:type="dxa"/>
          </w:tcPr>
          <w:p w14:paraId="4E2898C1" w14:textId="77777777" w:rsidR="00DD1505" w:rsidRPr="007A11D2" w:rsidRDefault="00DD1505" w:rsidP="00DD1505">
            <w:pPr>
              <w:rPr>
                <w:rFonts w:asciiTheme="majorBidi" w:eastAsia="Calibri" w:hAnsiTheme="majorBidi" w:cstheme="majorBidi"/>
                <w:sz w:val="24"/>
                <w:szCs w:val="24"/>
              </w:rPr>
            </w:pPr>
            <w:r w:rsidRPr="007A11D2">
              <w:rPr>
                <w:rFonts w:asciiTheme="majorBidi" w:eastAsia="Calibri" w:hAnsiTheme="majorBidi" w:cstheme="majorBidi"/>
                <w:sz w:val="24"/>
                <w:szCs w:val="24"/>
              </w:rPr>
              <w:t>CA-AMX-10</w:t>
            </w:r>
          </w:p>
        </w:tc>
        <w:tc>
          <w:tcPr>
            <w:tcW w:w="2700" w:type="dxa"/>
          </w:tcPr>
          <w:p w14:paraId="0678F736" w14:textId="77777777" w:rsidR="00DD1505" w:rsidRPr="007A11D2" w:rsidRDefault="00DD1505" w:rsidP="00DD1505">
            <w:pPr>
              <w:rPr>
                <w:rFonts w:asciiTheme="majorBidi" w:eastAsia="Calibri" w:hAnsiTheme="majorBidi" w:cstheme="majorBidi"/>
                <w:sz w:val="24"/>
                <w:szCs w:val="24"/>
              </w:rPr>
            </w:pPr>
            <w:r w:rsidRPr="007A11D2">
              <w:rPr>
                <w:rFonts w:asciiTheme="majorBidi" w:eastAsia="Calibri" w:hAnsiTheme="majorBidi" w:cstheme="majorBidi"/>
                <w:sz w:val="24"/>
                <w:szCs w:val="24"/>
              </w:rPr>
              <w:t>AMX= 10 mg/kg</w:t>
            </w:r>
          </w:p>
        </w:tc>
      </w:tr>
      <w:tr w:rsidR="00DD1505" w:rsidRPr="007A11D2" w14:paraId="51C2BA51" w14:textId="77777777" w:rsidTr="00DD1505">
        <w:tc>
          <w:tcPr>
            <w:tcW w:w="1849" w:type="dxa"/>
          </w:tcPr>
          <w:p w14:paraId="369BDB4B" w14:textId="77777777" w:rsidR="00DD1505" w:rsidRPr="007A11D2" w:rsidRDefault="00DD1505" w:rsidP="00DD1505">
            <w:pPr>
              <w:rPr>
                <w:rFonts w:asciiTheme="majorBidi" w:eastAsia="Calibri" w:hAnsiTheme="majorBidi" w:cstheme="majorBidi"/>
                <w:sz w:val="24"/>
                <w:szCs w:val="24"/>
              </w:rPr>
            </w:pPr>
            <w:r w:rsidRPr="007A11D2">
              <w:rPr>
                <w:rFonts w:asciiTheme="majorBidi" w:eastAsia="Calibri" w:hAnsiTheme="majorBidi" w:cstheme="majorBidi"/>
                <w:sz w:val="24"/>
                <w:szCs w:val="24"/>
              </w:rPr>
              <w:t>G6</w:t>
            </w:r>
          </w:p>
        </w:tc>
        <w:tc>
          <w:tcPr>
            <w:tcW w:w="2376" w:type="dxa"/>
          </w:tcPr>
          <w:p w14:paraId="14389F1F" w14:textId="77777777" w:rsidR="00DD1505" w:rsidRPr="007A11D2" w:rsidRDefault="00DD1505" w:rsidP="00DD1505">
            <w:pPr>
              <w:rPr>
                <w:rFonts w:asciiTheme="majorBidi" w:eastAsia="Calibri" w:hAnsiTheme="majorBidi" w:cstheme="majorBidi"/>
                <w:sz w:val="24"/>
                <w:szCs w:val="24"/>
              </w:rPr>
            </w:pPr>
            <w:r w:rsidRPr="007A11D2">
              <w:rPr>
                <w:rFonts w:asciiTheme="majorBidi" w:eastAsia="Calibri" w:hAnsiTheme="majorBidi" w:cstheme="majorBidi"/>
                <w:sz w:val="24"/>
                <w:szCs w:val="24"/>
              </w:rPr>
              <w:t>CA-AMX-20</w:t>
            </w:r>
          </w:p>
        </w:tc>
        <w:tc>
          <w:tcPr>
            <w:tcW w:w="2700" w:type="dxa"/>
          </w:tcPr>
          <w:p w14:paraId="5B3D17B1" w14:textId="77777777" w:rsidR="00DD1505" w:rsidRPr="007A11D2" w:rsidRDefault="00DD1505" w:rsidP="00DD1505">
            <w:pPr>
              <w:rPr>
                <w:rFonts w:asciiTheme="majorBidi" w:eastAsia="Calibri" w:hAnsiTheme="majorBidi" w:cstheme="majorBidi"/>
                <w:sz w:val="24"/>
                <w:szCs w:val="24"/>
              </w:rPr>
            </w:pPr>
            <w:r w:rsidRPr="007A11D2">
              <w:rPr>
                <w:rFonts w:asciiTheme="majorBidi" w:eastAsia="Calibri" w:hAnsiTheme="majorBidi" w:cstheme="majorBidi"/>
                <w:sz w:val="24"/>
                <w:szCs w:val="24"/>
              </w:rPr>
              <w:t>AMX= 20 mg/kg</w:t>
            </w:r>
          </w:p>
        </w:tc>
      </w:tr>
      <w:tr w:rsidR="00DD1505" w:rsidRPr="007A11D2" w14:paraId="47315208" w14:textId="77777777" w:rsidTr="00DD1505">
        <w:tc>
          <w:tcPr>
            <w:tcW w:w="1849" w:type="dxa"/>
          </w:tcPr>
          <w:p w14:paraId="3672872C" w14:textId="77777777" w:rsidR="00DD1505" w:rsidRPr="007A11D2" w:rsidRDefault="00DD1505" w:rsidP="00DD1505">
            <w:pPr>
              <w:rPr>
                <w:rFonts w:asciiTheme="majorBidi" w:eastAsia="Calibri" w:hAnsiTheme="majorBidi" w:cstheme="majorBidi"/>
                <w:sz w:val="24"/>
                <w:szCs w:val="24"/>
              </w:rPr>
            </w:pPr>
            <w:r w:rsidRPr="007A11D2">
              <w:rPr>
                <w:rFonts w:asciiTheme="majorBidi" w:eastAsia="Calibri" w:hAnsiTheme="majorBidi" w:cstheme="majorBidi"/>
                <w:sz w:val="24"/>
                <w:szCs w:val="24"/>
              </w:rPr>
              <w:t>G7</w:t>
            </w:r>
          </w:p>
        </w:tc>
        <w:tc>
          <w:tcPr>
            <w:tcW w:w="2376" w:type="dxa"/>
          </w:tcPr>
          <w:p w14:paraId="62B88357" w14:textId="77777777" w:rsidR="00DD1505" w:rsidRPr="007A11D2" w:rsidRDefault="00DD1505" w:rsidP="00DD1505">
            <w:pPr>
              <w:rPr>
                <w:rFonts w:asciiTheme="majorBidi" w:eastAsia="Calibri" w:hAnsiTheme="majorBidi" w:cstheme="majorBidi"/>
                <w:sz w:val="24"/>
                <w:szCs w:val="24"/>
              </w:rPr>
            </w:pPr>
            <w:r w:rsidRPr="007A11D2">
              <w:rPr>
                <w:rFonts w:asciiTheme="majorBidi" w:eastAsia="Calibri" w:hAnsiTheme="majorBidi" w:cstheme="majorBidi"/>
                <w:sz w:val="24"/>
                <w:szCs w:val="24"/>
              </w:rPr>
              <w:t>CA-DHA-AMX-10</w:t>
            </w:r>
          </w:p>
        </w:tc>
        <w:tc>
          <w:tcPr>
            <w:tcW w:w="2700" w:type="dxa"/>
          </w:tcPr>
          <w:p w14:paraId="5B939112" w14:textId="77777777" w:rsidR="00DD1505" w:rsidRPr="007A11D2" w:rsidRDefault="00DD1505" w:rsidP="00DD1505">
            <w:pPr>
              <w:rPr>
                <w:rFonts w:asciiTheme="majorBidi" w:eastAsia="Calibri" w:hAnsiTheme="majorBidi" w:cstheme="majorBidi"/>
                <w:sz w:val="24"/>
                <w:szCs w:val="24"/>
              </w:rPr>
            </w:pPr>
            <w:r w:rsidRPr="007A11D2">
              <w:rPr>
                <w:rFonts w:asciiTheme="majorBidi" w:eastAsia="Calibri" w:hAnsiTheme="majorBidi" w:cstheme="majorBidi"/>
                <w:sz w:val="24"/>
                <w:szCs w:val="24"/>
              </w:rPr>
              <w:t>AMX= 10 mg/kg</w:t>
            </w:r>
          </w:p>
        </w:tc>
      </w:tr>
      <w:tr w:rsidR="00DD1505" w:rsidRPr="007A11D2" w14:paraId="06EEF65E" w14:textId="77777777" w:rsidTr="00DD1505">
        <w:tc>
          <w:tcPr>
            <w:tcW w:w="1849" w:type="dxa"/>
          </w:tcPr>
          <w:p w14:paraId="4A24C55D" w14:textId="77777777" w:rsidR="00DD1505" w:rsidRPr="007A11D2" w:rsidRDefault="00DD1505" w:rsidP="00DD1505">
            <w:pPr>
              <w:rPr>
                <w:rFonts w:asciiTheme="majorBidi" w:eastAsia="Calibri" w:hAnsiTheme="majorBidi" w:cstheme="majorBidi"/>
                <w:sz w:val="24"/>
                <w:szCs w:val="24"/>
              </w:rPr>
            </w:pPr>
            <w:r w:rsidRPr="007A11D2">
              <w:rPr>
                <w:rFonts w:asciiTheme="majorBidi" w:eastAsia="Calibri" w:hAnsiTheme="majorBidi" w:cstheme="majorBidi"/>
                <w:sz w:val="24"/>
                <w:szCs w:val="24"/>
              </w:rPr>
              <w:t>G8</w:t>
            </w:r>
          </w:p>
        </w:tc>
        <w:tc>
          <w:tcPr>
            <w:tcW w:w="2376" w:type="dxa"/>
          </w:tcPr>
          <w:p w14:paraId="7FB44D0F" w14:textId="77777777" w:rsidR="00DD1505" w:rsidRPr="007A11D2" w:rsidRDefault="00DD1505" w:rsidP="00DD1505">
            <w:pPr>
              <w:rPr>
                <w:rFonts w:asciiTheme="majorBidi" w:eastAsia="Calibri" w:hAnsiTheme="majorBidi" w:cstheme="majorBidi"/>
                <w:sz w:val="24"/>
                <w:szCs w:val="24"/>
              </w:rPr>
            </w:pPr>
            <w:r w:rsidRPr="007A11D2">
              <w:rPr>
                <w:rFonts w:asciiTheme="majorBidi" w:eastAsia="Calibri" w:hAnsiTheme="majorBidi" w:cstheme="majorBidi"/>
                <w:sz w:val="24"/>
                <w:szCs w:val="24"/>
              </w:rPr>
              <w:t>CA-DHA-AMX-20</w:t>
            </w:r>
          </w:p>
        </w:tc>
        <w:tc>
          <w:tcPr>
            <w:tcW w:w="2700" w:type="dxa"/>
          </w:tcPr>
          <w:p w14:paraId="42FD3534" w14:textId="77777777" w:rsidR="00DD1505" w:rsidRPr="007A11D2" w:rsidRDefault="00DD1505" w:rsidP="00DD1505">
            <w:pPr>
              <w:rPr>
                <w:rFonts w:asciiTheme="majorBidi" w:eastAsia="Calibri" w:hAnsiTheme="majorBidi" w:cstheme="majorBidi"/>
                <w:sz w:val="24"/>
                <w:szCs w:val="24"/>
              </w:rPr>
            </w:pPr>
            <w:r w:rsidRPr="007A11D2">
              <w:rPr>
                <w:rFonts w:asciiTheme="majorBidi" w:eastAsia="Calibri" w:hAnsiTheme="majorBidi" w:cstheme="majorBidi"/>
                <w:sz w:val="24"/>
                <w:szCs w:val="24"/>
              </w:rPr>
              <w:t>AMX= 20 mg/kg</w:t>
            </w:r>
          </w:p>
        </w:tc>
      </w:tr>
    </w:tbl>
    <w:p w14:paraId="186E2BE6" w14:textId="4F0EEEF3" w:rsidR="00DD1505" w:rsidRPr="007A11D2" w:rsidRDefault="00DD1505" w:rsidP="00DD1505">
      <w:pPr>
        <w:rPr>
          <w:rFonts w:ascii="Times New Roman" w:eastAsia="Calibri" w:hAnsi="Times New Roman" w:cs="Times New Roman"/>
          <w:sz w:val="24"/>
          <w:szCs w:val="24"/>
        </w:rPr>
      </w:pPr>
      <w:r w:rsidRPr="007A11D2">
        <w:rPr>
          <w:rFonts w:ascii="Times New Roman" w:eastAsia="Calibri" w:hAnsi="Times New Roman" w:cs="Times New Roman"/>
          <w:sz w:val="24"/>
          <w:szCs w:val="24"/>
        </w:rPr>
        <w:br w:type="textWrapping" w:clear="all"/>
        <w:t>NS: Normal Saline; AMX: Amoxicillin; CA: Chitosan/Alginate; DHA: Docosahexaenoic acid.</w:t>
      </w:r>
    </w:p>
    <w:p w14:paraId="5596CF6D" w14:textId="77777777" w:rsidR="00DD1505" w:rsidRPr="007A11D2" w:rsidRDefault="00DD1505" w:rsidP="00DD1505">
      <w:pPr>
        <w:rPr>
          <w:rFonts w:ascii="Times New Roman" w:eastAsia="Calibri" w:hAnsi="Times New Roman" w:cs="Times New Roman"/>
          <w:sz w:val="24"/>
          <w:szCs w:val="24"/>
        </w:rPr>
      </w:pPr>
      <w:r w:rsidRPr="007A11D2">
        <w:rPr>
          <w:rFonts w:ascii="Times New Roman" w:eastAsia="Calibri" w:hAnsi="Times New Roman" w:cs="Times New Roman"/>
          <w:sz w:val="24"/>
          <w:szCs w:val="24"/>
        </w:rPr>
        <w:t>*</w:t>
      </w:r>
      <w:r w:rsidRPr="007A11D2">
        <w:rPr>
          <w:rFonts w:ascii="Times New Roman" w:eastAsia="Calibri" w:hAnsi="Times New Roman" w:cs="Times New Roman"/>
          <w:i/>
          <w:iCs/>
          <w:sz w:val="24"/>
          <w:szCs w:val="24"/>
        </w:rPr>
        <w:t>In vivo</w:t>
      </w:r>
      <w:r w:rsidRPr="007A11D2">
        <w:rPr>
          <w:rFonts w:ascii="Times New Roman" w:eastAsia="Calibri" w:hAnsi="Times New Roman" w:cs="Times New Roman"/>
          <w:sz w:val="24"/>
          <w:szCs w:val="24"/>
        </w:rPr>
        <w:t xml:space="preserve"> antibacterial activity was evaluated at day 7 post-infection.</w:t>
      </w:r>
    </w:p>
    <w:p w14:paraId="15A05D45" w14:textId="77777777" w:rsidR="00DD1505" w:rsidRPr="007A11D2" w:rsidRDefault="00DD1505" w:rsidP="00DD1505">
      <w:pPr>
        <w:rPr>
          <w:rFonts w:ascii="Times New Roman" w:eastAsia="Calibri" w:hAnsi="Times New Roman" w:cs="Times New Roman"/>
          <w:sz w:val="24"/>
          <w:szCs w:val="24"/>
        </w:rPr>
      </w:pPr>
      <w:r w:rsidRPr="007A11D2">
        <w:rPr>
          <w:rFonts w:ascii="Times New Roman" w:eastAsia="Calibri" w:hAnsi="Times New Roman" w:cs="Times New Roman"/>
          <w:sz w:val="24"/>
          <w:szCs w:val="24"/>
        </w:rPr>
        <w:t xml:space="preserve">** </w:t>
      </w:r>
      <w:r w:rsidRPr="007A11D2">
        <w:rPr>
          <w:rFonts w:ascii="Times New Roman" w:eastAsia="Calibri" w:hAnsi="Times New Roman" w:cs="Times New Roman"/>
          <w:i/>
          <w:iCs/>
          <w:sz w:val="24"/>
          <w:szCs w:val="24"/>
        </w:rPr>
        <w:t>In vivo</w:t>
      </w:r>
      <w:r w:rsidRPr="007A11D2">
        <w:rPr>
          <w:rFonts w:ascii="Times New Roman" w:eastAsia="Calibri" w:hAnsi="Times New Roman" w:cs="Times New Roman"/>
          <w:sz w:val="24"/>
          <w:szCs w:val="24"/>
        </w:rPr>
        <w:t xml:space="preserve"> </w:t>
      </w:r>
      <w:r w:rsidRPr="007A11D2">
        <w:rPr>
          <w:rFonts w:ascii="Times New Roman" w:eastAsia="Calibri" w:hAnsi="Times New Roman" w:cs="Times New Roman"/>
          <w:i/>
          <w:iCs/>
          <w:sz w:val="24"/>
          <w:szCs w:val="24"/>
        </w:rPr>
        <w:t>H. pylori</w:t>
      </w:r>
      <w:r w:rsidRPr="007A11D2">
        <w:rPr>
          <w:rFonts w:ascii="Times New Roman" w:eastAsia="Calibri" w:hAnsi="Times New Roman" w:cs="Times New Roman"/>
          <w:sz w:val="24"/>
          <w:szCs w:val="24"/>
        </w:rPr>
        <w:t xml:space="preserve"> eradication and gastric ulcer healing were assessed at day 14 post-infection, while the recurrence of H. pylori was evaluated at day 21 post-infection. </w:t>
      </w:r>
    </w:p>
    <w:p w14:paraId="4426DD48" w14:textId="77777777" w:rsidR="00DD1505" w:rsidRPr="007A11D2" w:rsidRDefault="00DD1505" w:rsidP="00DD1505">
      <w:pPr>
        <w:rPr>
          <w:rFonts w:ascii="Times New Roman" w:eastAsia="Calibri" w:hAnsi="Times New Roman" w:cs="Times New Roman"/>
          <w:sz w:val="24"/>
          <w:szCs w:val="24"/>
        </w:rPr>
      </w:pPr>
    </w:p>
    <w:p w14:paraId="1B53A531" w14:textId="72F4F874" w:rsidR="00E81102" w:rsidRPr="007A11D2" w:rsidRDefault="00E81102" w:rsidP="0047733C">
      <w:pPr>
        <w:pStyle w:val="Paperwriting"/>
      </w:pPr>
    </w:p>
    <w:tbl>
      <w:tblPr>
        <w:tblStyle w:val="TableGrid"/>
        <w:tblpPr w:leftFromText="180" w:rightFromText="180" w:vertAnchor="text" w:horzAnchor="margin" w:tblpY="736"/>
        <w:tblW w:w="12685" w:type="dxa"/>
        <w:tblLook w:val="04A0" w:firstRow="1" w:lastRow="0" w:firstColumn="1" w:lastColumn="0" w:noHBand="0" w:noVBand="1"/>
      </w:tblPr>
      <w:tblGrid>
        <w:gridCol w:w="2156"/>
        <w:gridCol w:w="1259"/>
        <w:gridCol w:w="1550"/>
        <w:gridCol w:w="1227"/>
        <w:gridCol w:w="1728"/>
        <w:gridCol w:w="1310"/>
        <w:gridCol w:w="1150"/>
        <w:gridCol w:w="1137"/>
        <w:gridCol w:w="1168"/>
      </w:tblGrid>
      <w:tr w:rsidR="00DD1505" w:rsidRPr="007A11D2" w14:paraId="05E05588" w14:textId="77777777" w:rsidTr="00FC45EA">
        <w:trPr>
          <w:trHeight w:val="1631"/>
        </w:trPr>
        <w:tc>
          <w:tcPr>
            <w:tcW w:w="2156" w:type="dxa"/>
          </w:tcPr>
          <w:p w14:paraId="36C64975" w14:textId="77777777" w:rsidR="00DD1505" w:rsidRPr="007A11D2" w:rsidRDefault="00DD1505" w:rsidP="00FC45EA">
            <w:pPr>
              <w:pStyle w:val="Paperwriting"/>
            </w:pPr>
            <w:r w:rsidRPr="007A11D2">
              <w:t xml:space="preserve">Treatment groups </w:t>
            </w:r>
          </w:p>
        </w:tc>
        <w:tc>
          <w:tcPr>
            <w:tcW w:w="1259" w:type="dxa"/>
          </w:tcPr>
          <w:p w14:paraId="6FFCCD1E" w14:textId="77777777" w:rsidR="00DD1505" w:rsidRPr="007A11D2" w:rsidRDefault="00DD1505" w:rsidP="00FC45EA">
            <w:pPr>
              <w:pStyle w:val="Paperwriting"/>
            </w:pPr>
            <w:r w:rsidRPr="007A11D2">
              <w:t>Particle size (nm)</w:t>
            </w:r>
          </w:p>
        </w:tc>
        <w:tc>
          <w:tcPr>
            <w:tcW w:w="1550" w:type="dxa"/>
          </w:tcPr>
          <w:p w14:paraId="5055D9E7" w14:textId="77777777" w:rsidR="00DD1505" w:rsidRPr="007A11D2" w:rsidRDefault="00DD1505" w:rsidP="00FC45EA">
            <w:pPr>
              <w:pStyle w:val="Paperwriting"/>
            </w:pPr>
            <w:r w:rsidRPr="007A11D2">
              <w:t xml:space="preserve">Zeta potential (pH = </w:t>
            </w:r>
            <w:proofErr w:type="gramStart"/>
            <w:r w:rsidRPr="007A11D2">
              <w:t>6.8 )</w:t>
            </w:r>
            <w:proofErr w:type="gramEnd"/>
          </w:p>
        </w:tc>
        <w:tc>
          <w:tcPr>
            <w:tcW w:w="1227" w:type="dxa"/>
          </w:tcPr>
          <w:p w14:paraId="0895633D" w14:textId="77777777" w:rsidR="00DD1505" w:rsidRPr="007A11D2" w:rsidRDefault="00DD1505" w:rsidP="00FC45EA">
            <w:pPr>
              <w:pStyle w:val="Paperwriting"/>
            </w:pPr>
            <w:r w:rsidRPr="007A11D2">
              <w:t>Swelling index**</w:t>
            </w:r>
          </w:p>
        </w:tc>
        <w:tc>
          <w:tcPr>
            <w:tcW w:w="1728" w:type="dxa"/>
          </w:tcPr>
          <w:p w14:paraId="660CD959" w14:textId="77777777" w:rsidR="00DD1505" w:rsidRPr="007A11D2" w:rsidRDefault="00DD1505" w:rsidP="00FC45EA">
            <w:pPr>
              <w:pStyle w:val="Paperwriting"/>
            </w:pPr>
            <w:r w:rsidRPr="007A11D2">
              <w:t>In vitro Mucoadhesive potential*</w:t>
            </w:r>
          </w:p>
        </w:tc>
        <w:tc>
          <w:tcPr>
            <w:tcW w:w="1310" w:type="dxa"/>
          </w:tcPr>
          <w:p w14:paraId="15FB2265" w14:textId="77777777" w:rsidR="00DD1505" w:rsidRPr="007A11D2" w:rsidRDefault="00DD1505" w:rsidP="00FC45EA">
            <w:pPr>
              <w:pStyle w:val="Paperwriting"/>
            </w:pPr>
            <w:r w:rsidRPr="007A11D2">
              <w:t>Bacterial adhesion**</w:t>
            </w:r>
          </w:p>
        </w:tc>
        <w:tc>
          <w:tcPr>
            <w:tcW w:w="1150" w:type="dxa"/>
          </w:tcPr>
          <w:p w14:paraId="5E634838" w14:textId="77777777" w:rsidR="00DD1505" w:rsidRPr="007A11D2" w:rsidRDefault="00DD1505" w:rsidP="00FC45EA">
            <w:pPr>
              <w:pStyle w:val="Paperwriting"/>
            </w:pPr>
            <w:r w:rsidRPr="007A11D2">
              <w:t xml:space="preserve"> Growth inhibition (10</w:t>
            </w:r>
            <w:r w:rsidRPr="007A11D2">
              <w:rPr>
                <w:vertAlign w:val="superscript"/>
              </w:rPr>
              <w:t>3</w:t>
            </w:r>
            <w:r w:rsidRPr="007A11D2">
              <w:t>)</w:t>
            </w:r>
          </w:p>
        </w:tc>
        <w:tc>
          <w:tcPr>
            <w:tcW w:w="1137" w:type="dxa"/>
          </w:tcPr>
          <w:p w14:paraId="21D669C8" w14:textId="77777777" w:rsidR="00DD1505" w:rsidRPr="007A11D2" w:rsidRDefault="00DD1505" w:rsidP="00FC45EA">
            <w:pPr>
              <w:pStyle w:val="Paperwriting"/>
            </w:pPr>
            <w:r w:rsidRPr="007A11D2">
              <w:t>Ulcer area (mm</w:t>
            </w:r>
            <w:r w:rsidRPr="007A11D2">
              <w:rPr>
                <w:vertAlign w:val="superscript"/>
              </w:rPr>
              <w:t>2</w:t>
            </w:r>
            <w:r w:rsidRPr="007A11D2">
              <w:t>)</w:t>
            </w:r>
          </w:p>
        </w:tc>
        <w:tc>
          <w:tcPr>
            <w:tcW w:w="1168" w:type="dxa"/>
          </w:tcPr>
          <w:p w14:paraId="39A4E48A" w14:textId="77777777" w:rsidR="00DD1505" w:rsidRPr="007A11D2" w:rsidRDefault="00DD1505" w:rsidP="00FC45EA">
            <w:pPr>
              <w:pStyle w:val="Paperwriting"/>
            </w:pPr>
            <w:r w:rsidRPr="007A11D2">
              <w:t>Ulcer thickness (</w:t>
            </w:r>
            <w:proofErr w:type="spellStart"/>
            <w:r w:rsidRPr="007A11D2">
              <w:rPr>
                <w:rFonts w:cs="Times New Roman"/>
              </w:rPr>
              <w:t>μ</w:t>
            </w:r>
            <w:r w:rsidRPr="007A11D2">
              <w:t>m</w:t>
            </w:r>
            <w:proofErr w:type="spellEnd"/>
            <w:r w:rsidRPr="007A11D2">
              <w:t>)</w:t>
            </w:r>
          </w:p>
        </w:tc>
      </w:tr>
      <w:tr w:rsidR="00DD1505" w:rsidRPr="007A11D2" w14:paraId="2FDAC8A4" w14:textId="77777777" w:rsidTr="00FC45EA">
        <w:trPr>
          <w:trHeight w:val="400"/>
        </w:trPr>
        <w:tc>
          <w:tcPr>
            <w:tcW w:w="2156" w:type="dxa"/>
          </w:tcPr>
          <w:p w14:paraId="0A3DFC41" w14:textId="77777777" w:rsidR="00DD1505" w:rsidRPr="007A11D2" w:rsidRDefault="00DD1505" w:rsidP="00FC45EA">
            <w:pPr>
              <w:pStyle w:val="Paperwriting"/>
            </w:pPr>
            <w:r w:rsidRPr="007A11D2">
              <w:t>AMX 10</w:t>
            </w:r>
          </w:p>
        </w:tc>
        <w:tc>
          <w:tcPr>
            <w:tcW w:w="1259" w:type="dxa"/>
          </w:tcPr>
          <w:p w14:paraId="070305C9" w14:textId="77777777" w:rsidR="00DD1505" w:rsidRPr="007A11D2" w:rsidRDefault="00DD1505" w:rsidP="00FC45EA">
            <w:pPr>
              <w:pStyle w:val="Paperwriting"/>
            </w:pPr>
            <w:r w:rsidRPr="007A11D2">
              <w:t>-</w:t>
            </w:r>
          </w:p>
        </w:tc>
        <w:tc>
          <w:tcPr>
            <w:tcW w:w="1550" w:type="dxa"/>
          </w:tcPr>
          <w:p w14:paraId="1A019E07" w14:textId="77777777" w:rsidR="00DD1505" w:rsidRPr="007A11D2" w:rsidRDefault="00DD1505" w:rsidP="00FC45EA">
            <w:pPr>
              <w:pStyle w:val="Paperwriting"/>
            </w:pPr>
            <w:r w:rsidRPr="007A11D2">
              <w:t>-</w:t>
            </w:r>
          </w:p>
        </w:tc>
        <w:tc>
          <w:tcPr>
            <w:tcW w:w="1227" w:type="dxa"/>
          </w:tcPr>
          <w:p w14:paraId="4B183A40" w14:textId="77777777" w:rsidR="00DD1505" w:rsidRPr="007A11D2" w:rsidRDefault="00DD1505" w:rsidP="00FC45EA">
            <w:pPr>
              <w:pStyle w:val="Paperwriting"/>
            </w:pPr>
            <w:r w:rsidRPr="007A11D2">
              <w:t>-</w:t>
            </w:r>
          </w:p>
        </w:tc>
        <w:tc>
          <w:tcPr>
            <w:tcW w:w="1728" w:type="dxa"/>
          </w:tcPr>
          <w:p w14:paraId="7B7F7C91" w14:textId="77777777" w:rsidR="00DD1505" w:rsidRPr="007A11D2" w:rsidRDefault="00DD1505" w:rsidP="00FC45EA">
            <w:pPr>
              <w:pStyle w:val="Paperwriting"/>
            </w:pPr>
            <w:r w:rsidRPr="007A11D2">
              <w:t>-</w:t>
            </w:r>
          </w:p>
        </w:tc>
        <w:tc>
          <w:tcPr>
            <w:tcW w:w="1310" w:type="dxa"/>
          </w:tcPr>
          <w:p w14:paraId="64DAC647" w14:textId="77777777" w:rsidR="00DD1505" w:rsidRPr="007A11D2" w:rsidRDefault="00DD1505" w:rsidP="00FC45EA">
            <w:pPr>
              <w:pStyle w:val="Paperwriting"/>
            </w:pPr>
            <w:r w:rsidRPr="007A11D2">
              <w:t>-</w:t>
            </w:r>
          </w:p>
        </w:tc>
        <w:tc>
          <w:tcPr>
            <w:tcW w:w="1150" w:type="dxa"/>
          </w:tcPr>
          <w:p w14:paraId="37F57885" w14:textId="77777777" w:rsidR="00DD1505" w:rsidRPr="007A11D2" w:rsidRDefault="00DD1505" w:rsidP="00FC45EA">
            <w:pPr>
              <w:pStyle w:val="Paperwriting"/>
            </w:pPr>
            <w:r w:rsidRPr="007A11D2">
              <w:t>383</w:t>
            </w:r>
            <w:r w:rsidRPr="007A11D2">
              <w:rPr>
                <w:rFonts w:cs="Times New Roman"/>
              </w:rPr>
              <w:t>±49</w:t>
            </w:r>
          </w:p>
        </w:tc>
        <w:tc>
          <w:tcPr>
            <w:tcW w:w="1137" w:type="dxa"/>
          </w:tcPr>
          <w:p w14:paraId="5F1D6147" w14:textId="77777777" w:rsidR="00DD1505" w:rsidRPr="007A11D2" w:rsidRDefault="00DD1505" w:rsidP="00FC45EA">
            <w:pPr>
              <w:pStyle w:val="Paperwriting"/>
            </w:pPr>
            <w:r w:rsidRPr="007A11D2">
              <w:t>43</w:t>
            </w:r>
            <w:r w:rsidRPr="007A11D2">
              <w:rPr>
                <w:rFonts w:cs="Times New Roman"/>
              </w:rPr>
              <w:t>±3.1</w:t>
            </w:r>
          </w:p>
        </w:tc>
        <w:tc>
          <w:tcPr>
            <w:tcW w:w="1168" w:type="dxa"/>
          </w:tcPr>
          <w:p w14:paraId="0529CE44" w14:textId="77777777" w:rsidR="00DD1505" w:rsidRPr="007A11D2" w:rsidRDefault="00DD1505" w:rsidP="00FC45EA">
            <w:pPr>
              <w:pStyle w:val="Paperwriting"/>
            </w:pPr>
            <w:r w:rsidRPr="007A11D2">
              <w:t>20</w:t>
            </w:r>
            <w:r w:rsidRPr="007A11D2">
              <w:rPr>
                <w:rFonts w:cs="Times New Roman"/>
              </w:rPr>
              <w:t>±3.2</w:t>
            </w:r>
          </w:p>
        </w:tc>
      </w:tr>
      <w:tr w:rsidR="00DD1505" w:rsidRPr="007A11D2" w14:paraId="2D38C5BD" w14:textId="77777777" w:rsidTr="00FC45EA">
        <w:trPr>
          <w:trHeight w:val="415"/>
        </w:trPr>
        <w:tc>
          <w:tcPr>
            <w:tcW w:w="2156" w:type="dxa"/>
          </w:tcPr>
          <w:p w14:paraId="77500F6B" w14:textId="77777777" w:rsidR="00DD1505" w:rsidRPr="007A11D2" w:rsidRDefault="00DD1505" w:rsidP="00FC45EA">
            <w:pPr>
              <w:pStyle w:val="Paperwriting"/>
            </w:pPr>
            <w:r w:rsidRPr="007A11D2">
              <w:t>AMX 20</w:t>
            </w:r>
          </w:p>
        </w:tc>
        <w:tc>
          <w:tcPr>
            <w:tcW w:w="1259" w:type="dxa"/>
          </w:tcPr>
          <w:p w14:paraId="556C85E3" w14:textId="77777777" w:rsidR="00DD1505" w:rsidRPr="007A11D2" w:rsidRDefault="00DD1505" w:rsidP="00FC45EA">
            <w:pPr>
              <w:pStyle w:val="Paperwriting"/>
            </w:pPr>
            <w:r w:rsidRPr="007A11D2">
              <w:t>-</w:t>
            </w:r>
          </w:p>
        </w:tc>
        <w:tc>
          <w:tcPr>
            <w:tcW w:w="1550" w:type="dxa"/>
          </w:tcPr>
          <w:p w14:paraId="3F5945C8" w14:textId="77777777" w:rsidR="00DD1505" w:rsidRPr="007A11D2" w:rsidRDefault="00DD1505" w:rsidP="00FC45EA">
            <w:pPr>
              <w:pStyle w:val="Paperwriting"/>
            </w:pPr>
            <w:r w:rsidRPr="007A11D2">
              <w:t>-</w:t>
            </w:r>
          </w:p>
        </w:tc>
        <w:tc>
          <w:tcPr>
            <w:tcW w:w="1227" w:type="dxa"/>
          </w:tcPr>
          <w:p w14:paraId="5ED6EE35" w14:textId="77777777" w:rsidR="00DD1505" w:rsidRPr="007A11D2" w:rsidRDefault="00DD1505" w:rsidP="00FC45EA">
            <w:pPr>
              <w:pStyle w:val="Paperwriting"/>
            </w:pPr>
            <w:r w:rsidRPr="007A11D2">
              <w:t>-</w:t>
            </w:r>
          </w:p>
        </w:tc>
        <w:tc>
          <w:tcPr>
            <w:tcW w:w="1728" w:type="dxa"/>
          </w:tcPr>
          <w:p w14:paraId="767D5E50" w14:textId="77777777" w:rsidR="00DD1505" w:rsidRPr="007A11D2" w:rsidRDefault="00DD1505" w:rsidP="00FC45EA">
            <w:pPr>
              <w:pStyle w:val="Paperwriting"/>
            </w:pPr>
            <w:r w:rsidRPr="007A11D2">
              <w:t>-</w:t>
            </w:r>
          </w:p>
        </w:tc>
        <w:tc>
          <w:tcPr>
            <w:tcW w:w="1310" w:type="dxa"/>
          </w:tcPr>
          <w:p w14:paraId="429814F4" w14:textId="77777777" w:rsidR="00DD1505" w:rsidRPr="007A11D2" w:rsidRDefault="00DD1505" w:rsidP="00FC45EA">
            <w:pPr>
              <w:pStyle w:val="Paperwriting"/>
            </w:pPr>
            <w:r w:rsidRPr="007A11D2">
              <w:t>-</w:t>
            </w:r>
          </w:p>
        </w:tc>
        <w:tc>
          <w:tcPr>
            <w:tcW w:w="1150" w:type="dxa"/>
          </w:tcPr>
          <w:p w14:paraId="5F68B213" w14:textId="77777777" w:rsidR="00DD1505" w:rsidRPr="007A11D2" w:rsidRDefault="00DD1505" w:rsidP="00FC45EA">
            <w:pPr>
              <w:pStyle w:val="Paperwriting"/>
            </w:pPr>
            <w:r w:rsidRPr="007A11D2">
              <w:t>293</w:t>
            </w:r>
            <w:r w:rsidRPr="007A11D2">
              <w:rPr>
                <w:rFonts w:cs="Times New Roman"/>
              </w:rPr>
              <w:t>±62</w:t>
            </w:r>
          </w:p>
        </w:tc>
        <w:tc>
          <w:tcPr>
            <w:tcW w:w="1137" w:type="dxa"/>
          </w:tcPr>
          <w:p w14:paraId="4E847026" w14:textId="77777777" w:rsidR="00DD1505" w:rsidRPr="007A11D2" w:rsidRDefault="00DD1505" w:rsidP="00FC45EA">
            <w:pPr>
              <w:pStyle w:val="Paperwriting"/>
            </w:pPr>
            <w:r w:rsidRPr="007A11D2">
              <w:t>36</w:t>
            </w:r>
            <w:r w:rsidRPr="007A11D2">
              <w:rPr>
                <w:rFonts w:cs="Times New Roman"/>
              </w:rPr>
              <w:t>±4.1</w:t>
            </w:r>
          </w:p>
        </w:tc>
        <w:tc>
          <w:tcPr>
            <w:tcW w:w="1168" w:type="dxa"/>
          </w:tcPr>
          <w:p w14:paraId="49CF3533" w14:textId="77777777" w:rsidR="00DD1505" w:rsidRPr="007A11D2" w:rsidRDefault="00DD1505" w:rsidP="00FC45EA">
            <w:pPr>
              <w:pStyle w:val="Paperwriting"/>
            </w:pPr>
            <w:r w:rsidRPr="007A11D2">
              <w:t>40</w:t>
            </w:r>
            <w:r w:rsidRPr="007A11D2">
              <w:rPr>
                <w:rFonts w:cs="Times New Roman"/>
              </w:rPr>
              <w:t>±1.5</w:t>
            </w:r>
          </w:p>
        </w:tc>
      </w:tr>
      <w:tr w:rsidR="00DD1505" w:rsidRPr="007A11D2" w14:paraId="3AE258A7" w14:textId="77777777" w:rsidTr="00FC45EA">
        <w:trPr>
          <w:trHeight w:val="400"/>
        </w:trPr>
        <w:tc>
          <w:tcPr>
            <w:tcW w:w="2156" w:type="dxa"/>
          </w:tcPr>
          <w:p w14:paraId="76069FD3" w14:textId="77777777" w:rsidR="00DD1505" w:rsidRPr="007A11D2" w:rsidRDefault="00DD1505" w:rsidP="00FC45EA">
            <w:pPr>
              <w:pStyle w:val="Paperwriting"/>
            </w:pPr>
            <w:r w:rsidRPr="007A11D2">
              <w:t>CA-AMX 10</w:t>
            </w:r>
          </w:p>
        </w:tc>
        <w:tc>
          <w:tcPr>
            <w:tcW w:w="1259" w:type="dxa"/>
          </w:tcPr>
          <w:p w14:paraId="772E5C62" w14:textId="77777777" w:rsidR="00DD1505" w:rsidRPr="007A11D2" w:rsidRDefault="00DD1505" w:rsidP="00FC45EA">
            <w:pPr>
              <w:pStyle w:val="Paperwriting"/>
            </w:pPr>
            <w:r w:rsidRPr="007A11D2">
              <w:t>600</w:t>
            </w:r>
            <w:r w:rsidRPr="007A11D2">
              <w:rPr>
                <w:rFonts w:cs="Times New Roman"/>
              </w:rPr>
              <w:t>±</w:t>
            </w:r>
            <w:r w:rsidRPr="007A11D2">
              <w:t xml:space="preserve">92 </w:t>
            </w:r>
          </w:p>
        </w:tc>
        <w:tc>
          <w:tcPr>
            <w:tcW w:w="1550" w:type="dxa"/>
          </w:tcPr>
          <w:p w14:paraId="489B09D2" w14:textId="77777777" w:rsidR="00DD1505" w:rsidRPr="007A11D2" w:rsidRDefault="00DD1505" w:rsidP="00FC45EA">
            <w:pPr>
              <w:pStyle w:val="Paperwriting"/>
            </w:pPr>
            <w:r w:rsidRPr="007A11D2">
              <w:t>+21</w:t>
            </w:r>
            <w:r w:rsidRPr="007A11D2">
              <w:rPr>
                <w:rFonts w:cs="Times New Roman"/>
              </w:rPr>
              <w:t>±</w:t>
            </w:r>
            <w:r w:rsidRPr="007A11D2">
              <w:t>3 mv</w:t>
            </w:r>
          </w:p>
        </w:tc>
        <w:tc>
          <w:tcPr>
            <w:tcW w:w="1227" w:type="dxa"/>
          </w:tcPr>
          <w:p w14:paraId="7ED49E9E" w14:textId="77777777" w:rsidR="00DD1505" w:rsidRPr="007A11D2" w:rsidRDefault="00DD1505" w:rsidP="00FC45EA">
            <w:pPr>
              <w:pStyle w:val="Paperwriting"/>
            </w:pPr>
            <w:r w:rsidRPr="007A11D2">
              <w:t>60</w:t>
            </w:r>
            <w:r w:rsidRPr="007A11D2">
              <w:rPr>
                <w:rFonts w:cs="Times New Roman"/>
              </w:rPr>
              <w:t>±3</w:t>
            </w:r>
          </w:p>
        </w:tc>
        <w:tc>
          <w:tcPr>
            <w:tcW w:w="1728" w:type="dxa"/>
          </w:tcPr>
          <w:p w14:paraId="3DD611BA" w14:textId="77777777" w:rsidR="00DD1505" w:rsidRPr="007A11D2" w:rsidRDefault="00DD1505" w:rsidP="00FC45EA">
            <w:pPr>
              <w:pStyle w:val="Paperwriting"/>
            </w:pPr>
            <w:r w:rsidRPr="007A11D2">
              <w:t>57</w:t>
            </w:r>
            <w:r w:rsidRPr="007A11D2">
              <w:rPr>
                <w:rFonts w:cs="Times New Roman"/>
              </w:rPr>
              <w:t>±8</w:t>
            </w:r>
          </w:p>
        </w:tc>
        <w:tc>
          <w:tcPr>
            <w:tcW w:w="1310" w:type="dxa"/>
          </w:tcPr>
          <w:p w14:paraId="5872F000" w14:textId="77777777" w:rsidR="00DD1505" w:rsidRPr="007A11D2" w:rsidRDefault="00DD1505" w:rsidP="00FC45EA">
            <w:pPr>
              <w:pStyle w:val="Paperwriting"/>
            </w:pPr>
            <w:r w:rsidRPr="007A11D2">
              <w:t>67%</w:t>
            </w:r>
          </w:p>
        </w:tc>
        <w:tc>
          <w:tcPr>
            <w:tcW w:w="1150" w:type="dxa"/>
          </w:tcPr>
          <w:p w14:paraId="4C6E0B43" w14:textId="77777777" w:rsidR="00DD1505" w:rsidRPr="007A11D2" w:rsidRDefault="00DD1505" w:rsidP="00FC45EA">
            <w:pPr>
              <w:pStyle w:val="Paperwriting"/>
            </w:pPr>
            <w:r w:rsidRPr="007A11D2">
              <w:t>368</w:t>
            </w:r>
            <w:r w:rsidRPr="007A11D2">
              <w:rPr>
                <w:rFonts w:cs="Times New Roman"/>
              </w:rPr>
              <w:t>±71</w:t>
            </w:r>
          </w:p>
        </w:tc>
        <w:tc>
          <w:tcPr>
            <w:tcW w:w="1137" w:type="dxa"/>
          </w:tcPr>
          <w:p w14:paraId="34B2EC52" w14:textId="77777777" w:rsidR="00DD1505" w:rsidRPr="007A11D2" w:rsidRDefault="00DD1505" w:rsidP="00FC45EA">
            <w:pPr>
              <w:pStyle w:val="Paperwriting"/>
            </w:pPr>
            <w:r w:rsidRPr="007A11D2">
              <w:t>24</w:t>
            </w:r>
            <w:r w:rsidRPr="007A11D2">
              <w:rPr>
                <w:rFonts w:cs="Times New Roman"/>
              </w:rPr>
              <w:t>±3.5</w:t>
            </w:r>
          </w:p>
        </w:tc>
        <w:tc>
          <w:tcPr>
            <w:tcW w:w="1168" w:type="dxa"/>
          </w:tcPr>
          <w:p w14:paraId="4F20DD9B" w14:textId="77777777" w:rsidR="00DD1505" w:rsidRPr="007A11D2" w:rsidRDefault="00DD1505" w:rsidP="00FC45EA">
            <w:pPr>
              <w:pStyle w:val="Paperwriting"/>
            </w:pPr>
            <w:r w:rsidRPr="007A11D2">
              <w:t>38</w:t>
            </w:r>
            <w:r w:rsidRPr="007A11D2">
              <w:rPr>
                <w:rFonts w:cs="Times New Roman"/>
              </w:rPr>
              <w:t>±3.05</w:t>
            </w:r>
          </w:p>
        </w:tc>
      </w:tr>
      <w:tr w:rsidR="00DD1505" w:rsidRPr="007A11D2" w14:paraId="64AFCC24" w14:textId="77777777" w:rsidTr="00FC45EA">
        <w:trPr>
          <w:trHeight w:val="407"/>
        </w:trPr>
        <w:tc>
          <w:tcPr>
            <w:tcW w:w="2156" w:type="dxa"/>
          </w:tcPr>
          <w:p w14:paraId="186FD43D" w14:textId="77777777" w:rsidR="00DD1505" w:rsidRPr="007A11D2" w:rsidRDefault="00DD1505" w:rsidP="00FC45EA">
            <w:pPr>
              <w:pStyle w:val="Paperwriting"/>
            </w:pPr>
            <w:r w:rsidRPr="007A11D2">
              <w:t>CA-AMX 20</w:t>
            </w:r>
          </w:p>
        </w:tc>
        <w:tc>
          <w:tcPr>
            <w:tcW w:w="1259" w:type="dxa"/>
          </w:tcPr>
          <w:p w14:paraId="152DEC46" w14:textId="77777777" w:rsidR="00DD1505" w:rsidRPr="007A11D2" w:rsidRDefault="00DD1505" w:rsidP="00FC45EA">
            <w:pPr>
              <w:pStyle w:val="Paperwriting"/>
            </w:pPr>
            <w:r w:rsidRPr="007A11D2">
              <w:t>600</w:t>
            </w:r>
            <w:r w:rsidRPr="007A11D2">
              <w:rPr>
                <w:rFonts w:cs="Times New Roman"/>
              </w:rPr>
              <w:t>±</w:t>
            </w:r>
            <w:r w:rsidRPr="007A11D2">
              <w:t>92</w:t>
            </w:r>
          </w:p>
        </w:tc>
        <w:tc>
          <w:tcPr>
            <w:tcW w:w="1550" w:type="dxa"/>
          </w:tcPr>
          <w:p w14:paraId="1DCDF12E" w14:textId="77777777" w:rsidR="00DD1505" w:rsidRPr="007A11D2" w:rsidRDefault="00DD1505" w:rsidP="00FC45EA">
            <w:pPr>
              <w:pStyle w:val="Paperwriting"/>
            </w:pPr>
            <w:r w:rsidRPr="007A11D2">
              <w:t>+23</w:t>
            </w:r>
            <w:r w:rsidRPr="007A11D2">
              <w:rPr>
                <w:rFonts w:cs="Times New Roman"/>
              </w:rPr>
              <w:t>± 3</w:t>
            </w:r>
            <w:r w:rsidRPr="007A11D2">
              <w:t xml:space="preserve"> mv</w:t>
            </w:r>
          </w:p>
        </w:tc>
        <w:tc>
          <w:tcPr>
            <w:tcW w:w="1227" w:type="dxa"/>
          </w:tcPr>
          <w:p w14:paraId="00AA2A96" w14:textId="77777777" w:rsidR="00DD1505" w:rsidRPr="007A11D2" w:rsidRDefault="00DD1505" w:rsidP="00FC45EA">
            <w:pPr>
              <w:pStyle w:val="Paperwriting"/>
            </w:pPr>
            <w:r w:rsidRPr="007A11D2">
              <w:t>60</w:t>
            </w:r>
            <w:r w:rsidRPr="007A11D2">
              <w:rPr>
                <w:rFonts w:cs="Times New Roman"/>
              </w:rPr>
              <w:t>±3</w:t>
            </w:r>
          </w:p>
        </w:tc>
        <w:tc>
          <w:tcPr>
            <w:tcW w:w="1728" w:type="dxa"/>
          </w:tcPr>
          <w:p w14:paraId="1B306ACD" w14:textId="77777777" w:rsidR="00DD1505" w:rsidRPr="007A11D2" w:rsidRDefault="00DD1505" w:rsidP="00FC45EA">
            <w:pPr>
              <w:pStyle w:val="Paperwriting"/>
            </w:pPr>
            <w:r w:rsidRPr="007A11D2">
              <w:t>57</w:t>
            </w:r>
            <w:r w:rsidRPr="007A11D2">
              <w:rPr>
                <w:rFonts w:cs="Times New Roman"/>
              </w:rPr>
              <w:t>±8</w:t>
            </w:r>
          </w:p>
        </w:tc>
        <w:tc>
          <w:tcPr>
            <w:tcW w:w="1310" w:type="dxa"/>
          </w:tcPr>
          <w:p w14:paraId="2B7DF7B1" w14:textId="77777777" w:rsidR="00DD1505" w:rsidRPr="007A11D2" w:rsidRDefault="00DD1505" w:rsidP="00FC45EA">
            <w:pPr>
              <w:pStyle w:val="Paperwriting"/>
            </w:pPr>
            <w:r w:rsidRPr="007A11D2">
              <w:t>67%</w:t>
            </w:r>
          </w:p>
        </w:tc>
        <w:tc>
          <w:tcPr>
            <w:tcW w:w="1150" w:type="dxa"/>
          </w:tcPr>
          <w:p w14:paraId="1A940FA4" w14:textId="77777777" w:rsidR="00DD1505" w:rsidRPr="007A11D2" w:rsidRDefault="00DD1505" w:rsidP="00FC45EA">
            <w:pPr>
              <w:pStyle w:val="Paperwriting"/>
            </w:pPr>
            <w:r w:rsidRPr="007A11D2">
              <w:t>188</w:t>
            </w:r>
            <w:r w:rsidRPr="007A11D2">
              <w:rPr>
                <w:rFonts w:cs="Times New Roman"/>
              </w:rPr>
              <w:t>±56</w:t>
            </w:r>
          </w:p>
        </w:tc>
        <w:tc>
          <w:tcPr>
            <w:tcW w:w="1137" w:type="dxa"/>
          </w:tcPr>
          <w:p w14:paraId="3D28C99A" w14:textId="77777777" w:rsidR="00DD1505" w:rsidRPr="007A11D2" w:rsidRDefault="00DD1505" w:rsidP="00FC45EA">
            <w:pPr>
              <w:pStyle w:val="Paperwriting"/>
            </w:pPr>
            <w:r w:rsidRPr="007A11D2">
              <w:t>17</w:t>
            </w:r>
            <w:r w:rsidRPr="007A11D2">
              <w:rPr>
                <w:rFonts w:cs="Times New Roman"/>
              </w:rPr>
              <w:t>±3.6</w:t>
            </w:r>
          </w:p>
        </w:tc>
        <w:tc>
          <w:tcPr>
            <w:tcW w:w="1168" w:type="dxa"/>
          </w:tcPr>
          <w:p w14:paraId="60CAF1EC" w14:textId="77777777" w:rsidR="00DD1505" w:rsidRPr="007A11D2" w:rsidRDefault="00DD1505" w:rsidP="00FC45EA">
            <w:pPr>
              <w:pStyle w:val="Paperwriting"/>
            </w:pPr>
            <w:r w:rsidRPr="007A11D2">
              <w:t>42</w:t>
            </w:r>
            <w:r w:rsidRPr="007A11D2">
              <w:rPr>
                <w:rFonts w:cs="Times New Roman"/>
              </w:rPr>
              <w:t>±3.6</w:t>
            </w:r>
          </w:p>
        </w:tc>
      </w:tr>
      <w:tr w:rsidR="00DD1505" w:rsidRPr="007A11D2" w14:paraId="43DC91C0" w14:textId="77777777" w:rsidTr="00FC45EA">
        <w:trPr>
          <w:trHeight w:val="425"/>
        </w:trPr>
        <w:tc>
          <w:tcPr>
            <w:tcW w:w="2156" w:type="dxa"/>
          </w:tcPr>
          <w:p w14:paraId="47376003" w14:textId="77777777" w:rsidR="00DD1505" w:rsidRPr="007A11D2" w:rsidRDefault="00DD1505" w:rsidP="00FC45EA">
            <w:pPr>
              <w:pStyle w:val="Paperwriting"/>
            </w:pPr>
            <w:r w:rsidRPr="007A11D2">
              <w:t>CA-DHA-AMX 10</w:t>
            </w:r>
          </w:p>
        </w:tc>
        <w:tc>
          <w:tcPr>
            <w:tcW w:w="1259" w:type="dxa"/>
          </w:tcPr>
          <w:p w14:paraId="326B3240" w14:textId="77777777" w:rsidR="00DD1505" w:rsidRPr="007A11D2" w:rsidRDefault="00DD1505" w:rsidP="00FC45EA">
            <w:pPr>
              <w:pStyle w:val="Paperwriting"/>
            </w:pPr>
            <w:r w:rsidRPr="007A11D2">
              <w:t>350</w:t>
            </w:r>
            <w:r w:rsidRPr="007A11D2">
              <w:rPr>
                <w:rFonts w:cs="Times New Roman"/>
              </w:rPr>
              <w:t>±</w:t>
            </w:r>
            <w:r w:rsidRPr="007A11D2">
              <w:t>110</w:t>
            </w:r>
          </w:p>
        </w:tc>
        <w:tc>
          <w:tcPr>
            <w:tcW w:w="1550" w:type="dxa"/>
          </w:tcPr>
          <w:p w14:paraId="55738EF3" w14:textId="77777777" w:rsidR="00DD1505" w:rsidRPr="007A11D2" w:rsidRDefault="00DD1505" w:rsidP="00FC45EA">
            <w:pPr>
              <w:pStyle w:val="Paperwriting"/>
            </w:pPr>
            <w:r w:rsidRPr="007A11D2">
              <w:t xml:space="preserve">+8 </w:t>
            </w:r>
            <w:r w:rsidRPr="007A11D2">
              <w:rPr>
                <w:rFonts w:cs="Times New Roman"/>
              </w:rPr>
              <w:t>± 2</w:t>
            </w:r>
          </w:p>
        </w:tc>
        <w:tc>
          <w:tcPr>
            <w:tcW w:w="1227" w:type="dxa"/>
          </w:tcPr>
          <w:p w14:paraId="4D3FE7FA" w14:textId="77777777" w:rsidR="00DD1505" w:rsidRPr="007A11D2" w:rsidRDefault="00DD1505" w:rsidP="00FC45EA">
            <w:pPr>
              <w:pStyle w:val="Paperwriting"/>
            </w:pPr>
            <w:r w:rsidRPr="007A11D2">
              <w:t>57</w:t>
            </w:r>
            <w:r w:rsidRPr="007A11D2">
              <w:rPr>
                <w:rFonts w:cs="Times New Roman"/>
              </w:rPr>
              <w:t>±5</w:t>
            </w:r>
          </w:p>
        </w:tc>
        <w:tc>
          <w:tcPr>
            <w:tcW w:w="1728" w:type="dxa"/>
          </w:tcPr>
          <w:p w14:paraId="27B34AA6" w14:textId="77777777" w:rsidR="00DD1505" w:rsidRPr="007A11D2" w:rsidRDefault="00DD1505" w:rsidP="00FC45EA">
            <w:pPr>
              <w:pStyle w:val="Paperwriting"/>
            </w:pPr>
            <w:r w:rsidRPr="007A11D2">
              <w:t>22</w:t>
            </w:r>
            <w:r w:rsidRPr="007A11D2">
              <w:rPr>
                <w:rFonts w:cs="Times New Roman"/>
              </w:rPr>
              <w:t>±7</w:t>
            </w:r>
          </w:p>
        </w:tc>
        <w:tc>
          <w:tcPr>
            <w:tcW w:w="1310" w:type="dxa"/>
          </w:tcPr>
          <w:p w14:paraId="24437A34" w14:textId="77777777" w:rsidR="00DD1505" w:rsidRPr="007A11D2" w:rsidRDefault="00DD1505" w:rsidP="00FC45EA">
            <w:pPr>
              <w:pStyle w:val="Paperwriting"/>
            </w:pPr>
            <w:r w:rsidRPr="007A11D2">
              <w:t>53%</w:t>
            </w:r>
          </w:p>
        </w:tc>
        <w:tc>
          <w:tcPr>
            <w:tcW w:w="1150" w:type="dxa"/>
          </w:tcPr>
          <w:p w14:paraId="4BB3E3B3" w14:textId="77777777" w:rsidR="00DD1505" w:rsidRPr="007A11D2" w:rsidRDefault="00DD1505" w:rsidP="00FC45EA">
            <w:pPr>
              <w:pStyle w:val="Paperwriting"/>
            </w:pPr>
            <w:r w:rsidRPr="007A11D2">
              <w:t>207</w:t>
            </w:r>
            <w:r w:rsidRPr="007A11D2">
              <w:rPr>
                <w:rFonts w:cs="Times New Roman"/>
              </w:rPr>
              <w:t>±55</w:t>
            </w:r>
          </w:p>
        </w:tc>
        <w:tc>
          <w:tcPr>
            <w:tcW w:w="1137" w:type="dxa"/>
          </w:tcPr>
          <w:p w14:paraId="4F331674" w14:textId="77777777" w:rsidR="00DD1505" w:rsidRPr="007A11D2" w:rsidRDefault="00DD1505" w:rsidP="00FC45EA">
            <w:pPr>
              <w:pStyle w:val="Paperwriting"/>
            </w:pPr>
            <w:r w:rsidRPr="007A11D2">
              <w:t>9.6</w:t>
            </w:r>
            <w:r w:rsidRPr="007A11D2">
              <w:rPr>
                <w:rFonts w:cs="Times New Roman"/>
              </w:rPr>
              <w:t>±2.08</w:t>
            </w:r>
          </w:p>
        </w:tc>
        <w:tc>
          <w:tcPr>
            <w:tcW w:w="1168" w:type="dxa"/>
          </w:tcPr>
          <w:p w14:paraId="75F14477" w14:textId="77777777" w:rsidR="00DD1505" w:rsidRPr="007A11D2" w:rsidRDefault="00DD1505" w:rsidP="00FC45EA">
            <w:pPr>
              <w:pStyle w:val="Paperwriting"/>
            </w:pPr>
            <w:r w:rsidRPr="007A11D2">
              <w:t>48</w:t>
            </w:r>
            <w:r w:rsidRPr="007A11D2">
              <w:rPr>
                <w:rFonts w:cs="Times New Roman"/>
              </w:rPr>
              <w:t>±4.7</w:t>
            </w:r>
          </w:p>
        </w:tc>
      </w:tr>
      <w:tr w:rsidR="00DD1505" w:rsidRPr="007A11D2" w14:paraId="60E4FFBC" w14:textId="77777777" w:rsidTr="00FC45EA">
        <w:trPr>
          <w:trHeight w:val="470"/>
        </w:trPr>
        <w:tc>
          <w:tcPr>
            <w:tcW w:w="2156" w:type="dxa"/>
          </w:tcPr>
          <w:p w14:paraId="7FD04ACA" w14:textId="77777777" w:rsidR="00DD1505" w:rsidRPr="007A11D2" w:rsidRDefault="00DD1505" w:rsidP="00FC45EA">
            <w:pPr>
              <w:pStyle w:val="Paperwriting"/>
            </w:pPr>
            <w:r w:rsidRPr="007A11D2">
              <w:t>CA-DHA-AMX 20</w:t>
            </w:r>
          </w:p>
        </w:tc>
        <w:tc>
          <w:tcPr>
            <w:tcW w:w="1259" w:type="dxa"/>
          </w:tcPr>
          <w:p w14:paraId="74D211A1" w14:textId="77777777" w:rsidR="00DD1505" w:rsidRPr="007A11D2" w:rsidRDefault="00DD1505" w:rsidP="00FC45EA">
            <w:pPr>
              <w:pStyle w:val="Paperwriting"/>
            </w:pPr>
            <w:r w:rsidRPr="007A11D2">
              <w:t>350</w:t>
            </w:r>
            <w:r w:rsidRPr="007A11D2">
              <w:rPr>
                <w:rFonts w:cs="Times New Roman"/>
              </w:rPr>
              <w:t>±</w:t>
            </w:r>
            <w:r w:rsidRPr="007A11D2">
              <w:t>110</w:t>
            </w:r>
          </w:p>
        </w:tc>
        <w:tc>
          <w:tcPr>
            <w:tcW w:w="1550" w:type="dxa"/>
          </w:tcPr>
          <w:p w14:paraId="39FB3D35" w14:textId="77777777" w:rsidR="00DD1505" w:rsidRPr="007A11D2" w:rsidRDefault="00DD1505" w:rsidP="00FC45EA">
            <w:pPr>
              <w:pStyle w:val="Paperwriting"/>
            </w:pPr>
            <w:r w:rsidRPr="007A11D2">
              <w:rPr>
                <w:rFonts w:cs="Times New Roman"/>
              </w:rPr>
              <w:t>+8 ± 2</w:t>
            </w:r>
          </w:p>
        </w:tc>
        <w:tc>
          <w:tcPr>
            <w:tcW w:w="1227" w:type="dxa"/>
          </w:tcPr>
          <w:p w14:paraId="7667ED7F" w14:textId="77777777" w:rsidR="00DD1505" w:rsidRPr="007A11D2" w:rsidRDefault="00DD1505" w:rsidP="00FC45EA">
            <w:pPr>
              <w:pStyle w:val="Paperwriting"/>
            </w:pPr>
            <w:r w:rsidRPr="007A11D2">
              <w:t>57</w:t>
            </w:r>
            <w:r w:rsidRPr="007A11D2">
              <w:rPr>
                <w:rFonts w:cs="Times New Roman"/>
              </w:rPr>
              <w:t>±5</w:t>
            </w:r>
          </w:p>
        </w:tc>
        <w:tc>
          <w:tcPr>
            <w:tcW w:w="1728" w:type="dxa"/>
          </w:tcPr>
          <w:p w14:paraId="0C0F19C6" w14:textId="77777777" w:rsidR="00DD1505" w:rsidRPr="007A11D2" w:rsidRDefault="00DD1505" w:rsidP="00FC45EA">
            <w:pPr>
              <w:pStyle w:val="Paperwriting"/>
            </w:pPr>
            <w:r w:rsidRPr="007A11D2">
              <w:t>22</w:t>
            </w:r>
            <w:r w:rsidRPr="007A11D2">
              <w:rPr>
                <w:rFonts w:cs="Times New Roman"/>
              </w:rPr>
              <w:t>±7</w:t>
            </w:r>
          </w:p>
        </w:tc>
        <w:tc>
          <w:tcPr>
            <w:tcW w:w="1310" w:type="dxa"/>
          </w:tcPr>
          <w:p w14:paraId="3A5C857D" w14:textId="77777777" w:rsidR="00DD1505" w:rsidRPr="007A11D2" w:rsidRDefault="00DD1505" w:rsidP="00FC45EA">
            <w:pPr>
              <w:pStyle w:val="Paperwriting"/>
            </w:pPr>
            <w:r w:rsidRPr="007A11D2">
              <w:t>53%</w:t>
            </w:r>
          </w:p>
        </w:tc>
        <w:tc>
          <w:tcPr>
            <w:tcW w:w="1150" w:type="dxa"/>
          </w:tcPr>
          <w:p w14:paraId="0A79EDF8" w14:textId="77777777" w:rsidR="00DD1505" w:rsidRPr="007A11D2" w:rsidRDefault="00DD1505" w:rsidP="00FC45EA">
            <w:pPr>
              <w:pStyle w:val="Paperwriting"/>
            </w:pPr>
            <w:r w:rsidRPr="007A11D2">
              <w:t>168</w:t>
            </w:r>
            <w:r w:rsidRPr="007A11D2">
              <w:rPr>
                <w:rFonts w:cs="Times New Roman"/>
              </w:rPr>
              <w:t>±60</w:t>
            </w:r>
          </w:p>
        </w:tc>
        <w:tc>
          <w:tcPr>
            <w:tcW w:w="1137" w:type="dxa"/>
          </w:tcPr>
          <w:p w14:paraId="02AB099B" w14:textId="77777777" w:rsidR="00DD1505" w:rsidRPr="007A11D2" w:rsidRDefault="00DD1505" w:rsidP="00FC45EA">
            <w:pPr>
              <w:pStyle w:val="Paperwriting"/>
            </w:pPr>
            <w:r w:rsidRPr="007A11D2">
              <w:t>7.6</w:t>
            </w:r>
            <w:r w:rsidRPr="007A11D2">
              <w:rPr>
                <w:rFonts w:cs="Times New Roman"/>
              </w:rPr>
              <w:t>±2.8</w:t>
            </w:r>
          </w:p>
        </w:tc>
        <w:tc>
          <w:tcPr>
            <w:tcW w:w="1168" w:type="dxa"/>
          </w:tcPr>
          <w:p w14:paraId="769C2FDC" w14:textId="77777777" w:rsidR="00DD1505" w:rsidRPr="007A11D2" w:rsidRDefault="00DD1505" w:rsidP="00FC45EA">
            <w:pPr>
              <w:pStyle w:val="Paperwriting"/>
            </w:pPr>
            <w:r w:rsidRPr="007A11D2">
              <w:t>55</w:t>
            </w:r>
            <w:r w:rsidRPr="007A11D2">
              <w:rPr>
                <w:rFonts w:cs="Times New Roman"/>
              </w:rPr>
              <w:t>±2</w:t>
            </w:r>
          </w:p>
        </w:tc>
      </w:tr>
    </w:tbl>
    <w:p w14:paraId="4C33C6F5" w14:textId="6B802E00" w:rsidR="00DD1505" w:rsidRPr="007A11D2" w:rsidRDefault="00DD1505" w:rsidP="00DD1505">
      <w:pPr>
        <w:pStyle w:val="Paperwriting"/>
      </w:pPr>
      <w:r w:rsidRPr="007A11D2">
        <w:t>Supplementary Table 2. The summary of physicochemical and biological activity of various formulation</w:t>
      </w:r>
    </w:p>
    <w:p w14:paraId="796481E9" w14:textId="77777777" w:rsidR="00DD1505" w:rsidRPr="007A11D2" w:rsidRDefault="00DD1505" w:rsidP="00DD1505">
      <w:pPr>
        <w:pStyle w:val="Paperwriting"/>
      </w:pPr>
      <w:r w:rsidRPr="007A11D2">
        <w:t>*pH= 4.5, after 4h incubation.</w:t>
      </w:r>
    </w:p>
    <w:p w14:paraId="1FD8D0D7" w14:textId="77777777" w:rsidR="00DD1505" w:rsidRDefault="00DD1505" w:rsidP="00DD1505">
      <w:pPr>
        <w:pStyle w:val="Paperwriting"/>
      </w:pPr>
      <w:r w:rsidRPr="007A11D2">
        <w:t>** pH= 5.5.</w:t>
      </w:r>
    </w:p>
    <w:p w14:paraId="3AEC6810" w14:textId="1A60F346" w:rsidR="00E81102" w:rsidRDefault="00E81102" w:rsidP="0047733C">
      <w:pPr>
        <w:pStyle w:val="Paperwriting"/>
      </w:pPr>
    </w:p>
    <w:p w14:paraId="14618685" w14:textId="7C7257BB" w:rsidR="00E81102" w:rsidRDefault="00E81102" w:rsidP="0047733C">
      <w:pPr>
        <w:pStyle w:val="Paperwriting"/>
      </w:pPr>
    </w:p>
    <w:p w14:paraId="499CA2B6" w14:textId="77777777" w:rsidR="00E81102" w:rsidRDefault="00E81102" w:rsidP="0047733C">
      <w:pPr>
        <w:pStyle w:val="Paperwriting"/>
      </w:pPr>
    </w:p>
    <w:p w14:paraId="0CAE1FA8" w14:textId="41A2A866" w:rsidR="0047733C" w:rsidRDefault="0047733C" w:rsidP="001B26D0">
      <w:pPr>
        <w:pStyle w:val="Paperwriting"/>
      </w:pPr>
    </w:p>
    <w:p w14:paraId="1823219B" w14:textId="16CCF4E7" w:rsidR="00E81102" w:rsidRDefault="00E81102" w:rsidP="001B26D0">
      <w:pPr>
        <w:pStyle w:val="Paperwriting"/>
      </w:pPr>
    </w:p>
    <w:p w14:paraId="4FDC013B" w14:textId="462820EE" w:rsidR="00E81102" w:rsidRDefault="00E81102" w:rsidP="001B26D0">
      <w:pPr>
        <w:pStyle w:val="Paperwriting"/>
      </w:pPr>
    </w:p>
    <w:p w14:paraId="0C8424E7" w14:textId="77777777" w:rsidR="00E81102" w:rsidRPr="00A33D4B" w:rsidRDefault="00E81102" w:rsidP="001B26D0">
      <w:pPr>
        <w:pStyle w:val="Paperwriting"/>
      </w:pPr>
    </w:p>
    <w:sectPr w:rsidR="00E81102" w:rsidRPr="00A33D4B" w:rsidSect="00E8110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538F5" w14:textId="77777777" w:rsidR="006B1461" w:rsidRDefault="006B1461" w:rsidP="00A05A65">
      <w:pPr>
        <w:spacing w:after="0" w:line="240" w:lineRule="auto"/>
      </w:pPr>
      <w:r>
        <w:separator/>
      </w:r>
    </w:p>
  </w:endnote>
  <w:endnote w:type="continuationSeparator" w:id="0">
    <w:p w14:paraId="4DAC72E9" w14:textId="77777777" w:rsidR="006B1461" w:rsidRDefault="006B1461" w:rsidP="00A05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69425" w14:textId="77777777" w:rsidR="006B1461" w:rsidRDefault="006B1461" w:rsidP="00A05A65">
      <w:pPr>
        <w:spacing w:after="0" w:line="240" w:lineRule="auto"/>
      </w:pPr>
      <w:r>
        <w:separator/>
      </w:r>
    </w:p>
  </w:footnote>
  <w:footnote w:type="continuationSeparator" w:id="0">
    <w:p w14:paraId="5A8DF5E8" w14:textId="77777777" w:rsidR="006B1461" w:rsidRDefault="006B1461" w:rsidP="00A05A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931AAB"/>
    <w:multiLevelType w:val="hybridMultilevel"/>
    <w:tmpl w:val="8DEE56DA"/>
    <w:lvl w:ilvl="0" w:tplc="CDD6162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5A19CD"/>
    <w:rsid w:val="00030485"/>
    <w:rsid w:val="000509A9"/>
    <w:rsid w:val="0008020D"/>
    <w:rsid w:val="000D5A9C"/>
    <w:rsid w:val="0013364B"/>
    <w:rsid w:val="00133B73"/>
    <w:rsid w:val="00167E53"/>
    <w:rsid w:val="00172A2C"/>
    <w:rsid w:val="00186FDE"/>
    <w:rsid w:val="00187441"/>
    <w:rsid w:val="001B26D0"/>
    <w:rsid w:val="001D6546"/>
    <w:rsid w:val="002014EB"/>
    <w:rsid w:val="00235BAE"/>
    <w:rsid w:val="002370F3"/>
    <w:rsid w:val="00286BA3"/>
    <w:rsid w:val="002E0013"/>
    <w:rsid w:val="00301B4C"/>
    <w:rsid w:val="00335E32"/>
    <w:rsid w:val="00360F09"/>
    <w:rsid w:val="00395DE1"/>
    <w:rsid w:val="003A5876"/>
    <w:rsid w:val="003D1024"/>
    <w:rsid w:val="00414246"/>
    <w:rsid w:val="00451180"/>
    <w:rsid w:val="00466D24"/>
    <w:rsid w:val="0047733C"/>
    <w:rsid w:val="00496910"/>
    <w:rsid w:val="004D240B"/>
    <w:rsid w:val="004D7792"/>
    <w:rsid w:val="005261B2"/>
    <w:rsid w:val="005437B2"/>
    <w:rsid w:val="00574C95"/>
    <w:rsid w:val="00596DEE"/>
    <w:rsid w:val="005A19CD"/>
    <w:rsid w:val="005D0A23"/>
    <w:rsid w:val="006511FC"/>
    <w:rsid w:val="00651B6E"/>
    <w:rsid w:val="00666AB2"/>
    <w:rsid w:val="006A528A"/>
    <w:rsid w:val="006B1461"/>
    <w:rsid w:val="006C0711"/>
    <w:rsid w:val="00716FDF"/>
    <w:rsid w:val="0073486C"/>
    <w:rsid w:val="007351FE"/>
    <w:rsid w:val="00741E8E"/>
    <w:rsid w:val="007A11D2"/>
    <w:rsid w:val="007D7F1C"/>
    <w:rsid w:val="007E0AD9"/>
    <w:rsid w:val="00823547"/>
    <w:rsid w:val="0083048F"/>
    <w:rsid w:val="00855670"/>
    <w:rsid w:val="0088731C"/>
    <w:rsid w:val="009016BA"/>
    <w:rsid w:val="00927FD2"/>
    <w:rsid w:val="009437F0"/>
    <w:rsid w:val="00944339"/>
    <w:rsid w:val="009475D8"/>
    <w:rsid w:val="009B5DD5"/>
    <w:rsid w:val="009D7ACC"/>
    <w:rsid w:val="009E7AE8"/>
    <w:rsid w:val="009F7AB2"/>
    <w:rsid w:val="00A05A65"/>
    <w:rsid w:val="00A33BBB"/>
    <w:rsid w:val="00A33D4B"/>
    <w:rsid w:val="00A36977"/>
    <w:rsid w:val="00A57ED0"/>
    <w:rsid w:val="00A82BB8"/>
    <w:rsid w:val="00AE13DB"/>
    <w:rsid w:val="00AF5065"/>
    <w:rsid w:val="00AF7D90"/>
    <w:rsid w:val="00B563D1"/>
    <w:rsid w:val="00B73F77"/>
    <w:rsid w:val="00B85EAB"/>
    <w:rsid w:val="00BA4EC9"/>
    <w:rsid w:val="00BA5838"/>
    <w:rsid w:val="00BD1852"/>
    <w:rsid w:val="00BD3603"/>
    <w:rsid w:val="00BD46BD"/>
    <w:rsid w:val="00CB1B1B"/>
    <w:rsid w:val="00CE552E"/>
    <w:rsid w:val="00D108E1"/>
    <w:rsid w:val="00D313FE"/>
    <w:rsid w:val="00DC7468"/>
    <w:rsid w:val="00DD1505"/>
    <w:rsid w:val="00DF2B2E"/>
    <w:rsid w:val="00E018AE"/>
    <w:rsid w:val="00E81102"/>
    <w:rsid w:val="00E85FD4"/>
    <w:rsid w:val="00EA0ECA"/>
    <w:rsid w:val="00EC4549"/>
    <w:rsid w:val="00F506BB"/>
    <w:rsid w:val="00F5270E"/>
    <w:rsid w:val="00FA3481"/>
    <w:rsid w:val="00FB0AF4"/>
    <w:rsid w:val="00FC754F"/>
    <w:rsid w:val="00FE0F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2EB48"/>
  <w15:chartTrackingRefBased/>
  <w15:docId w15:val="{41695036-578E-472C-AD6B-1935A296E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414246"/>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414246"/>
    <w:rPr>
      <w:rFonts w:ascii="Calibri" w:hAnsi="Calibri" w:cs="Calibri"/>
      <w:noProof/>
    </w:rPr>
  </w:style>
  <w:style w:type="paragraph" w:customStyle="1" w:styleId="EndNoteBibliography">
    <w:name w:val="EndNote Bibliography"/>
    <w:basedOn w:val="Normal"/>
    <w:link w:val="EndNoteBibliographyChar"/>
    <w:rsid w:val="00414246"/>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414246"/>
    <w:rPr>
      <w:rFonts w:ascii="Calibri" w:hAnsi="Calibri" w:cs="Calibri"/>
      <w:noProof/>
    </w:rPr>
  </w:style>
  <w:style w:type="paragraph" w:styleId="Header">
    <w:name w:val="header"/>
    <w:basedOn w:val="Normal"/>
    <w:link w:val="HeaderChar"/>
    <w:uiPriority w:val="99"/>
    <w:unhideWhenUsed/>
    <w:rsid w:val="00A05A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A65"/>
  </w:style>
  <w:style w:type="paragraph" w:styleId="Footer">
    <w:name w:val="footer"/>
    <w:basedOn w:val="Normal"/>
    <w:link w:val="FooterChar"/>
    <w:uiPriority w:val="99"/>
    <w:unhideWhenUsed/>
    <w:rsid w:val="00A05A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A65"/>
  </w:style>
  <w:style w:type="paragraph" w:customStyle="1" w:styleId="Paperwriting">
    <w:name w:val="Paper writing"/>
    <w:basedOn w:val="Normal"/>
    <w:link w:val="PaperwritingChar"/>
    <w:qFormat/>
    <w:rsid w:val="001B26D0"/>
    <w:pPr>
      <w:spacing w:line="360" w:lineRule="auto"/>
    </w:pPr>
    <w:rPr>
      <w:rFonts w:ascii="Times New Roman" w:hAnsi="Times New Roman" w:cstheme="majorBidi"/>
      <w:sz w:val="24"/>
      <w:szCs w:val="24"/>
    </w:rPr>
  </w:style>
  <w:style w:type="character" w:customStyle="1" w:styleId="PaperwritingChar">
    <w:name w:val="Paper writing Char"/>
    <w:basedOn w:val="DefaultParagraphFont"/>
    <w:link w:val="Paperwriting"/>
    <w:rsid w:val="001B26D0"/>
    <w:rPr>
      <w:rFonts w:ascii="Times New Roman" w:hAnsi="Times New Roman" w:cstheme="majorBidi"/>
      <w:sz w:val="24"/>
      <w:szCs w:val="24"/>
    </w:rPr>
  </w:style>
  <w:style w:type="table" w:styleId="TableGrid">
    <w:name w:val="Table Grid"/>
    <w:basedOn w:val="TableNormal"/>
    <w:uiPriority w:val="39"/>
    <w:rsid w:val="00E81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58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8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30766">
      <w:bodyDiv w:val="1"/>
      <w:marLeft w:val="0"/>
      <w:marRight w:val="0"/>
      <w:marTop w:val="0"/>
      <w:marBottom w:val="0"/>
      <w:divBdr>
        <w:top w:val="none" w:sz="0" w:space="0" w:color="auto"/>
        <w:left w:val="none" w:sz="0" w:space="0" w:color="auto"/>
        <w:bottom w:val="none" w:sz="0" w:space="0" w:color="auto"/>
        <w:right w:val="none" w:sz="0" w:space="0" w:color="auto"/>
      </w:divBdr>
    </w:div>
    <w:div w:id="99040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haddadi84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1799</Words>
  <Characters>10259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CMRC</dc:creator>
  <cp:keywords/>
  <dc:description/>
  <cp:lastModifiedBy>Abigail Rassette</cp:lastModifiedBy>
  <cp:revision>2</cp:revision>
  <cp:lastPrinted>2022-12-18T09:27:00Z</cp:lastPrinted>
  <dcterms:created xsi:type="dcterms:W3CDTF">2023-01-24T17:20:00Z</dcterms:created>
  <dcterms:modified xsi:type="dcterms:W3CDTF">2023-01-24T17:20:00Z</dcterms:modified>
</cp:coreProperties>
</file>