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139DA" w14:textId="5781CC59" w:rsidR="00E06F62" w:rsidRPr="00421D1C" w:rsidRDefault="00E06F62" w:rsidP="00421D1C">
      <w:pPr>
        <w:jc w:val="both"/>
        <w:rPr>
          <w:rFonts w:ascii="Times New Roman" w:hAnsi="Times New Roman" w:cs="Times New Roman"/>
          <w:b/>
          <w:bCs/>
          <w:sz w:val="24"/>
          <w:szCs w:val="24"/>
        </w:rPr>
      </w:pPr>
      <w:r w:rsidRPr="00421D1C">
        <w:rPr>
          <w:rFonts w:ascii="Times New Roman" w:hAnsi="Times New Roman" w:cs="Times New Roman"/>
          <w:b/>
          <w:bCs/>
          <w:sz w:val="24"/>
          <w:szCs w:val="24"/>
        </w:rPr>
        <w:t>Supplementary Material</w:t>
      </w:r>
    </w:p>
    <w:p w14:paraId="786CEB74" w14:textId="25DED3E2" w:rsidR="002A7C6F" w:rsidRPr="00421D1C" w:rsidRDefault="002A7C6F" w:rsidP="00421D1C">
      <w:pPr>
        <w:jc w:val="both"/>
        <w:rPr>
          <w:rFonts w:ascii="Times New Roman" w:hAnsi="Times New Roman" w:cs="Times New Roman"/>
          <w:i/>
          <w:iCs/>
          <w:sz w:val="24"/>
          <w:szCs w:val="24"/>
        </w:rPr>
      </w:pPr>
      <w:r w:rsidRPr="00421D1C">
        <w:rPr>
          <w:rFonts w:ascii="Times New Roman" w:hAnsi="Times New Roman" w:cs="Times New Roman"/>
          <w:i/>
          <w:iCs/>
          <w:sz w:val="24"/>
          <w:szCs w:val="24"/>
        </w:rPr>
        <w:t>Bile acid homeostasis</w:t>
      </w:r>
    </w:p>
    <w:p w14:paraId="442059CD" w14:textId="36CC6771" w:rsidR="002A7C6F" w:rsidRPr="00421D1C" w:rsidRDefault="002A7C6F" w:rsidP="00421D1C">
      <w:pPr>
        <w:jc w:val="both"/>
        <w:rPr>
          <w:rFonts w:ascii="Times New Roman" w:hAnsi="Times New Roman" w:cs="Times New Roman"/>
          <w:sz w:val="24"/>
          <w:szCs w:val="24"/>
        </w:rPr>
      </w:pPr>
      <w:r w:rsidRPr="00421D1C">
        <w:rPr>
          <w:rFonts w:ascii="Times New Roman" w:hAnsi="Times New Roman" w:cs="Times New Roman"/>
          <w:sz w:val="24"/>
          <w:szCs w:val="24"/>
        </w:rPr>
        <w:t>To briefly summarize key considerations of the bile acid (BA) homeostasis model in DILIsym (</w:t>
      </w:r>
      <w:r w:rsidRPr="00421D1C">
        <w:rPr>
          <w:rFonts w:ascii="Times New Roman" w:hAnsi="Times New Roman" w:cs="Times New Roman"/>
          <w:b/>
          <w:bCs/>
          <w:sz w:val="24"/>
          <w:szCs w:val="24"/>
        </w:rPr>
        <w:t>Figure 1A</w:t>
      </w:r>
      <w:r w:rsidRPr="00421D1C">
        <w:rPr>
          <w:rFonts w:ascii="Times New Roman" w:hAnsi="Times New Roman" w:cs="Times New Roman"/>
          <w:sz w:val="24"/>
          <w:szCs w:val="24"/>
        </w:rPr>
        <w:t xml:space="preserve">), BAs are breakdown products of hepatic cholesterol metabolism that undergo conjugation reactions in the liver (e.g., </w:t>
      </w:r>
      <w:proofErr w:type="spellStart"/>
      <w:r w:rsidRPr="00421D1C">
        <w:rPr>
          <w:rFonts w:ascii="Times New Roman" w:hAnsi="Times New Roman" w:cs="Times New Roman"/>
          <w:sz w:val="24"/>
          <w:szCs w:val="24"/>
        </w:rPr>
        <w:t>amidation</w:t>
      </w:r>
      <w:proofErr w:type="spellEnd"/>
      <w:r w:rsidRPr="00421D1C">
        <w:rPr>
          <w:rFonts w:ascii="Times New Roman" w:hAnsi="Times New Roman" w:cs="Times New Roman"/>
          <w:sz w:val="24"/>
          <w:szCs w:val="24"/>
        </w:rPr>
        <w:t xml:space="preserve"> with taurine or glycine, sulfation). While </w:t>
      </w:r>
      <w:proofErr w:type="gramStart"/>
      <w:r w:rsidRPr="00421D1C">
        <w:rPr>
          <w:rFonts w:ascii="Times New Roman" w:hAnsi="Times New Roman" w:cs="Times New Roman"/>
          <w:sz w:val="24"/>
          <w:szCs w:val="24"/>
        </w:rPr>
        <w:t>the large majority of</w:t>
      </w:r>
      <w:proofErr w:type="gramEnd"/>
      <w:r w:rsidRPr="00421D1C">
        <w:rPr>
          <w:rFonts w:ascii="Times New Roman" w:hAnsi="Times New Roman" w:cs="Times New Roman"/>
          <w:sz w:val="24"/>
          <w:szCs w:val="24"/>
        </w:rPr>
        <w:t xml:space="preserve"> BAs are conjugated in the liver prior to undergoing transporter-mediated efflux (e.g., bile salt export pump (BSEP)-mediated biliary excretion, or basolateral multidrug resistance-associated protein (MRP) 3-, MRP4-, organic solute transporter (OST) α/β-mediated efflux), a small fraction of BAs may exit the hepatocyte in unconjugated form as well (e.g., via passive diffusion). Conjugation renders BAs more hydrophilic and less likely to undergo passive diffusion, </w:t>
      </w:r>
      <w:proofErr w:type="gramStart"/>
      <w:r w:rsidRPr="00421D1C">
        <w:rPr>
          <w:rFonts w:ascii="Times New Roman" w:hAnsi="Times New Roman" w:cs="Times New Roman"/>
          <w:sz w:val="24"/>
          <w:szCs w:val="24"/>
        </w:rPr>
        <w:t>thus</w:t>
      </w:r>
      <w:proofErr w:type="gramEnd"/>
      <w:r w:rsidRPr="00421D1C">
        <w:rPr>
          <w:rFonts w:ascii="Times New Roman" w:hAnsi="Times New Roman" w:cs="Times New Roman"/>
          <w:sz w:val="24"/>
          <w:szCs w:val="24"/>
        </w:rPr>
        <w:t xml:space="preserve"> leading to the utilization of transporters for facilitated translocation of conjugated BAs across the plasma membrane. BAs in the sinusoidal blood can enter hepatocytes (e.g., basolateral Na</w:t>
      </w:r>
      <w:r w:rsidRPr="00421D1C">
        <w:rPr>
          <w:rFonts w:ascii="Times New Roman" w:hAnsi="Times New Roman" w:cs="Times New Roman"/>
          <w:sz w:val="24"/>
          <w:szCs w:val="24"/>
          <w:vertAlign w:val="superscript"/>
        </w:rPr>
        <w:t>+</w:t>
      </w:r>
      <w:r w:rsidRPr="00421D1C">
        <w:rPr>
          <w:rFonts w:ascii="Times New Roman" w:hAnsi="Times New Roman" w:cs="Times New Roman"/>
          <w:sz w:val="24"/>
          <w:szCs w:val="24"/>
        </w:rPr>
        <w:t xml:space="preserve">-taurocholate </w:t>
      </w:r>
      <w:proofErr w:type="spellStart"/>
      <w:r w:rsidRPr="00421D1C">
        <w:rPr>
          <w:rFonts w:ascii="Times New Roman" w:hAnsi="Times New Roman" w:cs="Times New Roman"/>
          <w:sz w:val="24"/>
          <w:szCs w:val="24"/>
        </w:rPr>
        <w:t>cotransporting</w:t>
      </w:r>
      <w:proofErr w:type="spellEnd"/>
      <w:r w:rsidRPr="00421D1C">
        <w:rPr>
          <w:rFonts w:ascii="Times New Roman" w:hAnsi="Times New Roman" w:cs="Times New Roman"/>
          <w:sz w:val="24"/>
          <w:szCs w:val="24"/>
        </w:rPr>
        <w:t xml:space="preserve"> polypeptide (NTCP)-mediated uptake) or, when reaching the systemic circulation, be renally eliminated, which is a minor BA elimination pathway. </w:t>
      </w:r>
      <w:proofErr w:type="gramStart"/>
      <w:r w:rsidRPr="00421D1C">
        <w:rPr>
          <w:rFonts w:ascii="Times New Roman" w:hAnsi="Times New Roman" w:cs="Times New Roman"/>
          <w:sz w:val="24"/>
          <w:szCs w:val="24"/>
        </w:rPr>
        <w:t>The majority of</w:t>
      </w:r>
      <w:proofErr w:type="gramEnd"/>
      <w:r w:rsidRPr="00421D1C">
        <w:rPr>
          <w:rFonts w:ascii="Times New Roman" w:hAnsi="Times New Roman" w:cs="Times New Roman"/>
          <w:sz w:val="24"/>
          <w:szCs w:val="24"/>
        </w:rPr>
        <w:t xml:space="preserve"> BAs undergo biliary excretion, pass through the bile duct, and are stored in the gallbladder. Upon meal consumption, meal-related signals lead to the contraction of the gallbladder, thereby releasing stored BAs into downstream portions of the bile duct. Some biliary BAs are believed to penetrate cholangiocytes and be </w:t>
      </w:r>
      <w:proofErr w:type="spellStart"/>
      <w:r w:rsidRPr="00421D1C">
        <w:rPr>
          <w:rFonts w:ascii="Times New Roman" w:hAnsi="Times New Roman" w:cs="Times New Roman"/>
          <w:sz w:val="24"/>
          <w:szCs w:val="24"/>
        </w:rPr>
        <w:t>effluxed</w:t>
      </w:r>
      <w:proofErr w:type="spellEnd"/>
      <w:r w:rsidRPr="00421D1C">
        <w:rPr>
          <w:rFonts w:ascii="Times New Roman" w:hAnsi="Times New Roman" w:cs="Times New Roman"/>
          <w:sz w:val="24"/>
          <w:szCs w:val="24"/>
        </w:rPr>
        <w:t xml:space="preserve"> via the </w:t>
      </w:r>
      <w:proofErr w:type="spellStart"/>
      <w:r w:rsidRPr="00421D1C">
        <w:rPr>
          <w:rFonts w:ascii="Times New Roman" w:hAnsi="Times New Roman" w:cs="Times New Roman"/>
          <w:sz w:val="24"/>
          <w:szCs w:val="24"/>
        </w:rPr>
        <w:t>cholangiocellular</w:t>
      </w:r>
      <w:proofErr w:type="spellEnd"/>
      <w:r w:rsidRPr="00421D1C">
        <w:rPr>
          <w:rFonts w:ascii="Times New Roman" w:hAnsi="Times New Roman" w:cs="Times New Roman"/>
          <w:sz w:val="24"/>
          <w:szCs w:val="24"/>
        </w:rPr>
        <w:t xml:space="preserve"> basolateral membrane to reach the sinusoidal blood and subsequently undergo hepatocellular uptake, constituting the cholehepatic shunt pathway. However, most BAs instead pass through the entire bile duct and are secreted into the duodenal lumen where BAs can undergo gut-mediated metabolism (e.g., deconjugation, </w:t>
      </w:r>
      <w:proofErr w:type="spellStart"/>
      <w:r w:rsidRPr="00421D1C">
        <w:rPr>
          <w:rFonts w:ascii="Times New Roman" w:hAnsi="Times New Roman" w:cs="Times New Roman"/>
          <w:sz w:val="24"/>
          <w:szCs w:val="24"/>
        </w:rPr>
        <w:t>dehydroxylation</w:t>
      </w:r>
      <w:proofErr w:type="spellEnd"/>
      <w:r w:rsidRPr="00421D1C">
        <w:rPr>
          <w:rFonts w:ascii="Times New Roman" w:hAnsi="Times New Roman" w:cs="Times New Roman"/>
          <w:sz w:val="24"/>
          <w:szCs w:val="24"/>
        </w:rPr>
        <w:t xml:space="preserve">), be absorbed by enterocytes mediated by apical sodium–BA transporter (ASBT) or </w:t>
      </w:r>
      <w:proofErr w:type="spellStart"/>
      <w:r w:rsidRPr="00421D1C">
        <w:rPr>
          <w:rFonts w:ascii="Times New Roman" w:hAnsi="Times New Roman" w:cs="Times New Roman"/>
          <w:sz w:val="24"/>
          <w:szCs w:val="24"/>
        </w:rPr>
        <w:t>fecally</w:t>
      </w:r>
      <w:proofErr w:type="spellEnd"/>
      <w:r w:rsidRPr="00421D1C">
        <w:rPr>
          <w:rFonts w:ascii="Times New Roman" w:hAnsi="Times New Roman" w:cs="Times New Roman"/>
          <w:sz w:val="24"/>
          <w:szCs w:val="24"/>
        </w:rPr>
        <w:t xml:space="preserve"> excreted. When biliary excreted BAs are secreted into the gut, absorbed by intestinal cells to subsequently reach the portal and sinusoidal blood to ultimately enter hepatocytes, a cycle of the enterohepatic circulation (EHC) is assumed to be completed. It is estimated that ~95-99% of the BA pool is maintained during each EHC cycle, while the remaining ~1-5% is eliminated; however, variable numbers of EHC cycles per day have been reported in humans, leading to a larger portion of the BA pool being lost on a daily basis in most individuals </w:t>
      </w:r>
      <w:r w:rsidRPr="00421D1C">
        <w:rPr>
          <w:rFonts w:ascii="Times New Roman" w:hAnsi="Times New Roman" w:cs="Times New Roman"/>
          <w:sz w:val="24"/>
          <w:szCs w:val="24"/>
        </w:rPr>
        <w:fldChar w:fldCharType="begin"/>
      </w:r>
      <w:r w:rsidR="00421D1C" w:rsidRPr="00421D1C">
        <w:rPr>
          <w:rFonts w:ascii="Times New Roman" w:hAnsi="Times New Roman" w:cs="Times New Roman"/>
          <w:sz w:val="24"/>
          <w:szCs w:val="24"/>
        </w:rPr>
        <w:instrText xml:space="preserve"> ADDIN ZOTERO_ITEM CSL_CITATION {"citationID":"qxN4xjX6","properties":{"formattedCitation":"(Subbiah et al., 1976; Mok et al., 1977; Vantrappen et al., 1981; Meier and Stieger, 2002)","plainCitation":"(Subbiah et al., 1976; Mok et al., 1977; Vantrappen et al., 1981; Meier and Stieger, 2002)","noteIndex":0},"citationItems":[{"id":19283,"uris":["http://zotero.org/groups/425949/items/X735VQRJ"],"itemData":{"id":19283,"type":"article-journal","abstract":"Bile acid excretion was studied in 9 human subjects simultaneously by the Lindstedt (Lindstedt, S. 1957. Acta Physiol. Scand. 40:1-9) isotopic turnovermethod and by fecal chemical analysis during a balance study. The identities of the fecal bile acids were confirmed by combined gas-liquid chromatography/mass spectrometry. Under the steady state conditions of the patient studies, bile acid excretion values obtained by fecal analysis were lower (by 18.1 to 44.2%) than the values obtained by the isotopic turnover method. This difference persisted even in those patients given [14C]chenodeoxycholic acid instead of [3H]chenodeoxycholic acid. The fecal excretion values were similar when calculated using either beta-sitosterol or chromium sesquioxide as fecal flow markers. The fecal excretion values during the earlier part of the isotopic study were higher than those during the latter part of the study. The lower values of bile acid excretion obtained from fecal analysis could not be explained by the loss of bile acids as sulfate conjugates or by losses due to bile acid degradation in the intestine. This study suggests that bile acid turnover is consistently higher than bile acid excretion under experimental conditions. It is recommended that the data obtained from the isotopic turnover method should not be compared with fecal excretion data.","container-title":"Journal of Lipid Research","ISSN":"0022-2275","issue":"1","journalAbbreviation":"J Lipid Res","language":"eng","note":"PMID: 768394","page":"78-84","source":"PubMed","title":"Estimation of bile acid excretion in man: comparison of isotopic turnover and fecal excretion methods","title-short":"Estimation of bile acid excretion in man","volume":"17","author":[{"family":"Subbiah","given":"M. T."},{"family":"Tyler","given":"N. E."},{"family":"Buscaglia","given":"M. D."},{"family":"Marai","given":"L."}],"issued":{"date-parts":[["1976",1]]}}},{"id":19286,"uris":["http://zotero.org/groups/425949/items/ATQDADZ8"],"itemData":{"id":19286,"type":"article-journal","container-title":"Gastroenterology","ISSN":"0016-5085","issue":"4 Pt 1","journalAbbreviation":"Gastroenterology","language":"eng","note":"PMID: 892372","page":"684-690","source":"PubMed","title":"Regulation of pool size of bile acids in man","volume":"73","author":[{"family":"Mok","given":"H. Y."},{"family":"Von Bergmann","given":"K."},{"family":"Grundy","given":"S. M."}],"issued":{"date-parts":[["1977",10]]}}},{"id":19281,"uris":["http://zotero.org/groups/425949/items/D3RQFVLT"],"itemData":{"id":19281,"type":"article-journal","abstract":"A new method is described for measuring the cholic acid turnover and pool size by a single duodenal intubation technique. The method is based on determination in a single bile sample of the ratio of the specific activities of [14C]cholic acid and [3H]cholic acid administered intravenously with an interval of 24 hr. With this ratio the fractional turnover rate (k) of cholic acid can easily be calculated as well as the half-life and pool size. Studies in ten normal subjects indicate that the cholic acid half life and pool size, determined by this single intubation technique, correlate very well (r greater than or equal to 0.98) with the results obtained by Lindstedt's method. Unlike the other methods using a single intubation, this method allows a good estimate of the bile acid turnover as well as the bile acid pool size.","container-title":"Journal of Lipid Research","ISSN":"0022-2275","issue":"3","journalAbbreviation":"J Lipid Res","language":"eng","note":"PMID: 7017051","page":"528-531","source":"PubMed","title":"A new method for the measurement of bile acid turnover and pool size by a double label, single intubation technique","volume":"22","author":[{"family":"Vantrappen","given":"G."},{"family":"Rutgeerts","given":"P."},{"family":"Ghoos","given":"Y."}],"issued":{"date-parts":[["1981",3]]}}},{"id":19287,"uris":["http://zotero.org/groups/425949/items/W65NKIAJ"],"itemData":{"id":19287,"type":"article-journal","abstract":"Bile salts are the major organic solutes in bile and undergo extensive enterohepatic circulation. Hepatocellular bile salt uptake is mediated predominantly by the Na(+)-taurocholate cotransport proteins Ntcp (rodents) and NTCP (humans) and by the Na(+)-independent organic anion-transporting polypeptides Oatp1, Oatp2, and Oatp4 (rodents) and OATP-C (humans). After diffusion (bound by intracellular bile salt-binding proteins) to the canalicular membrane, monoanionic bile salts are secreted into bile canaliculi by the bile salt export pump Bsep (rodents) or BSEP (humans). Both belong to the ATP-binding cassette (ABC) transporter superfamily. Dianionic conjugated bile salts are secreted into bile by the multidrug-resistance-associated proteins Mrp2/MRP2. In bile ductules, a minor portion of protonated bile acids and monomeric bile salts are reabsorbed by non-ionic diffusion and the apical sodium-dependent bile salt transporter Asbt/ASBT, transported back into the periductular capillary plexus by Mrp3/MRP3 [and/or a truncated form of Asbt (tAsbt)], and subjected to cholehepatic shunting. The major portion of biliary bile salts is aggregated into mixed micelles and transported into the intestine, where they are reabsorbed by apical Oatp3, the apical sodium-dependent bile salt transporter (ASBT), cytosolic intestinal bile acid-binding protein (IBABP), and basolateral Mrp3/MRP3 and tAsbt. Transcriptional and posttranscriptional regulation of these enterohepatic bile salt transporters is closely related to the regulation of lipid and cholesterol homeostasis. Furthermore, defective expression and function of bile salt transporters have been recognized as important causes for various cholestatic liver diseases.","container-title":"Annual Review of Physiology","DOI":"10.1146/annurev.physiol.64.082201.100300","ISSN":"0066-4278","journalAbbreviation":"Annu Rev Physiol","language":"eng","note":"PMID: 11826283","page":"635-661","source":"PubMed","title":"Bile salt transporters","volume":"64","author":[{"family":"Meier","given":"Peter J."},{"family":"Stieger","given":"B."}],"issued":{"date-parts":[["2002"]]}}}],"schema":"https://github.com/citation-style-language/schema/raw/master/csl-citation.json"} </w:instrText>
      </w:r>
      <w:r w:rsidRPr="00421D1C">
        <w:rPr>
          <w:rFonts w:ascii="Times New Roman" w:hAnsi="Times New Roman" w:cs="Times New Roman"/>
          <w:sz w:val="24"/>
          <w:szCs w:val="24"/>
        </w:rPr>
        <w:fldChar w:fldCharType="separate"/>
      </w:r>
      <w:r w:rsidRPr="00421D1C">
        <w:rPr>
          <w:rFonts w:ascii="Times New Roman" w:hAnsi="Times New Roman" w:cs="Times New Roman"/>
          <w:sz w:val="24"/>
          <w:szCs w:val="24"/>
        </w:rPr>
        <w:t>(Subbiah et al., 1976; Mok et al., 1977; Vantrappen et al., 1981; Meier and Stieger, 2002)</w:t>
      </w:r>
      <w:r w:rsidRPr="00421D1C">
        <w:rPr>
          <w:rFonts w:ascii="Times New Roman" w:hAnsi="Times New Roman" w:cs="Times New Roman"/>
          <w:sz w:val="24"/>
          <w:szCs w:val="24"/>
        </w:rPr>
        <w:fldChar w:fldCharType="end"/>
      </w:r>
      <w:r w:rsidRPr="00421D1C">
        <w:rPr>
          <w:rFonts w:ascii="Times New Roman" w:hAnsi="Times New Roman" w:cs="Times New Roman"/>
          <w:sz w:val="24"/>
          <w:szCs w:val="24"/>
        </w:rPr>
        <w:t xml:space="preserve">. Although dozens of different BA species have been reported in humans, the BA homeostasis model in DILIsym consists of a simplified representation focusing on those most relevant to hepatotoxicity predictions. The hepatically synthesized, primary BA chenodeoxycholic acid (CDCA) is dehydroxylated in the intestinal lumen to form the secondary BA lithocholic acid (LCA), which together constitute a relatively lipophilic BA pair that has been extensively linked to hepatotoxicity. The unconjugated versions of these two BAs as well as amidated CDCA and LCA, and sulfated LCA are explicitly tracked within the BA homeostasis model. All other BA species are lumped together in a “bulk BA” category, which includes the other BA species (e.g., cholic acid (CA), deoxycholic acid (DCA), </w:t>
      </w:r>
      <w:proofErr w:type="spellStart"/>
      <w:r w:rsidRPr="00421D1C">
        <w:rPr>
          <w:rFonts w:ascii="Times New Roman" w:hAnsi="Times New Roman" w:cs="Times New Roman"/>
          <w:sz w:val="24"/>
          <w:szCs w:val="24"/>
        </w:rPr>
        <w:t>ursodeoxycholic</w:t>
      </w:r>
      <w:proofErr w:type="spellEnd"/>
      <w:r w:rsidRPr="00421D1C">
        <w:rPr>
          <w:rFonts w:ascii="Times New Roman" w:hAnsi="Times New Roman" w:cs="Times New Roman"/>
          <w:sz w:val="24"/>
          <w:szCs w:val="24"/>
        </w:rPr>
        <w:t xml:space="preserve"> acid (UDCA)). BAs are ligands for the hepatic nuclear </w:t>
      </w:r>
      <w:proofErr w:type="spellStart"/>
      <w:r w:rsidRPr="00421D1C">
        <w:rPr>
          <w:rFonts w:ascii="Times New Roman" w:hAnsi="Times New Roman" w:cs="Times New Roman"/>
          <w:sz w:val="24"/>
          <w:szCs w:val="24"/>
        </w:rPr>
        <w:t>farnesoid</w:t>
      </w:r>
      <w:proofErr w:type="spellEnd"/>
      <w:r w:rsidRPr="00421D1C">
        <w:rPr>
          <w:rFonts w:ascii="Times New Roman" w:hAnsi="Times New Roman" w:cs="Times New Roman"/>
          <w:sz w:val="24"/>
          <w:szCs w:val="24"/>
        </w:rPr>
        <w:t xml:space="preserve"> X receptor (FXR), which is an important regulator of BA homeostasis. When BAs accumulate in the </w:t>
      </w:r>
      <w:r w:rsidRPr="00421D1C">
        <w:rPr>
          <w:rFonts w:ascii="Times New Roman" w:hAnsi="Times New Roman" w:cs="Times New Roman"/>
          <w:sz w:val="24"/>
          <w:szCs w:val="24"/>
        </w:rPr>
        <w:lastRenderedPageBreak/>
        <w:t xml:space="preserve">hepatocyte (e.g., due to drug-induced inhibition of BA efflux transporters), FXR is activated and regulates several hepatoprotective pathways, including the downregulation of BA synthesis and BA uptake transporter levels, and the upregulation of basolateral and canalicular BA efflux transporters, which collectively decrease the hepatic BA burden. Because </w:t>
      </w:r>
      <w:r w:rsidRPr="00421D1C">
        <w:rPr>
          <w:rFonts w:ascii="Times New Roman" w:hAnsi="Times New Roman" w:cs="Times New Roman"/>
          <w:i/>
          <w:iCs/>
          <w:sz w:val="24"/>
          <w:szCs w:val="24"/>
        </w:rPr>
        <w:t>in vitro</w:t>
      </w:r>
      <w:r w:rsidRPr="00421D1C">
        <w:rPr>
          <w:rFonts w:ascii="Times New Roman" w:hAnsi="Times New Roman" w:cs="Times New Roman"/>
          <w:sz w:val="24"/>
          <w:szCs w:val="24"/>
        </w:rPr>
        <w:t xml:space="preserve"> experiments suggest that CDCA species are more potent FXR agonists than other BA species </w:t>
      </w:r>
      <w:r w:rsidRPr="00421D1C">
        <w:rPr>
          <w:rFonts w:ascii="Times New Roman" w:hAnsi="Times New Roman" w:cs="Times New Roman"/>
          <w:sz w:val="24"/>
          <w:szCs w:val="24"/>
        </w:rPr>
        <w:fldChar w:fldCharType="begin"/>
      </w:r>
      <w:r w:rsidR="00421D1C" w:rsidRPr="00421D1C">
        <w:rPr>
          <w:rFonts w:ascii="Times New Roman" w:hAnsi="Times New Roman" w:cs="Times New Roman"/>
          <w:sz w:val="24"/>
          <w:szCs w:val="24"/>
        </w:rPr>
        <w:instrText xml:space="preserve"> ADDIN ZOTERO_ITEM CSL_CITATION {"citationID":"6URs6mWt","properties":{"formattedCitation":"(Jonker et al., 2012)","plainCitation":"(Jonker et al., 2012)","noteIndex":0},"citationItems":[{"id":19249,"uris":["http://zotero.org/groups/425949/items/QU8QNUNT"],"itemData":{"id":19249,"type":"article-journal","abstract":"Cholestatic liver disorders encompass hepatobiliary diseases of diverse etiologies characterized by the accumulation of bile acids, bilirubin and cholesterol as the result of impaired secretion of bile. Members of the nuclear receptor (NR) family of ligand-modulated transcription factors are implicated in the adaptive response to cholestasis. NRs coordinately regulate bile acid and phospholipid transporter genes required for hepatobiliary transport, as well as the phases I and II metabolizing enzymes involved in processing of their substrates. In this review we will focus on FXR and PXR, two members of the NR family whose activities are regulated by bile acids. In addition, we also discuss the potential of pharmacological modulators of these receptors as novel therapies for cholestatic disorders.","container-title":"The Journal of Steroid Biochemistry and Molecular Biology","DOI":"10.1016/j.jsbmb.2011.06.012","ISSN":"1879-1220","issue":"3-5","journalAbbreviation":"J Steroid Biochem Mol Biol","language":"eng","note":"PMID: 21801835\nPMCID: PMC4750880","page":"147-158","source":"PubMed","title":"FXR and PXR: potential therapeutic targets in cholestasis","title-short":"FXR and PXR","volume":"130","author":[{"family":"Jonker","given":"Johan W."},{"family":"Liddle","given":"Christopher"},{"family":"Downes","given":"Michael"}],"issued":{"date-parts":[["2012",7]]}}}],"schema":"https://github.com/citation-style-language/schema/raw/master/csl-citation.json"} </w:instrText>
      </w:r>
      <w:r w:rsidRPr="00421D1C">
        <w:rPr>
          <w:rFonts w:ascii="Times New Roman" w:hAnsi="Times New Roman" w:cs="Times New Roman"/>
          <w:sz w:val="24"/>
          <w:szCs w:val="24"/>
        </w:rPr>
        <w:fldChar w:fldCharType="separate"/>
      </w:r>
      <w:r w:rsidRPr="00421D1C">
        <w:rPr>
          <w:rFonts w:ascii="Times New Roman" w:hAnsi="Times New Roman" w:cs="Times New Roman"/>
          <w:sz w:val="24"/>
          <w:szCs w:val="24"/>
        </w:rPr>
        <w:t>(Jonker et al., 2012)</w:t>
      </w:r>
      <w:r w:rsidRPr="00421D1C">
        <w:rPr>
          <w:rFonts w:ascii="Times New Roman" w:hAnsi="Times New Roman" w:cs="Times New Roman"/>
          <w:sz w:val="24"/>
          <w:szCs w:val="24"/>
        </w:rPr>
        <w:fldChar w:fldCharType="end"/>
      </w:r>
      <w:r w:rsidRPr="00421D1C">
        <w:rPr>
          <w:rFonts w:ascii="Times New Roman" w:hAnsi="Times New Roman" w:cs="Times New Roman"/>
          <w:sz w:val="24"/>
          <w:szCs w:val="24"/>
        </w:rPr>
        <w:t>, the model triggers FXR-based adaptation in response to hepatic CDCA and CDCA-amide levels. When adaptation pathways are not able to maintain hepatocellular BA levels at sufficiently low levels, accumulation of BAs will disrupt cellular energy balance in the model (e.g., by uncoupling the mitochondrial H</w:t>
      </w:r>
      <w:r w:rsidRPr="00421D1C">
        <w:rPr>
          <w:rFonts w:ascii="Times New Roman" w:hAnsi="Times New Roman" w:cs="Times New Roman"/>
          <w:sz w:val="24"/>
          <w:szCs w:val="24"/>
          <w:vertAlign w:val="superscript"/>
        </w:rPr>
        <w:t>+</w:t>
      </w:r>
      <w:r w:rsidRPr="00421D1C">
        <w:rPr>
          <w:rFonts w:ascii="Times New Roman" w:hAnsi="Times New Roman" w:cs="Times New Roman"/>
          <w:sz w:val="24"/>
          <w:szCs w:val="24"/>
        </w:rPr>
        <w:t xml:space="preserve"> gradient), thereby impacting the hepatocyte life cycle, and releasing </w:t>
      </w:r>
      <w:r w:rsidR="00A0472D" w:rsidRPr="00421D1C">
        <w:rPr>
          <w:rFonts w:ascii="Times New Roman" w:hAnsi="Times New Roman" w:cs="Times New Roman"/>
          <w:sz w:val="24"/>
          <w:szCs w:val="24"/>
        </w:rPr>
        <w:t>drug-induced liver injury (</w:t>
      </w:r>
      <w:r w:rsidRPr="00421D1C">
        <w:rPr>
          <w:rFonts w:ascii="Times New Roman" w:hAnsi="Times New Roman" w:cs="Times New Roman"/>
          <w:sz w:val="24"/>
          <w:szCs w:val="24"/>
        </w:rPr>
        <w:t>DILI</w:t>
      </w:r>
      <w:r w:rsidR="00A0472D" w:rsidRPr="00421D1C">
        <w:rPr>
          <w:rFonts w:ascii="Times New Roman" w:hAnsi="Times New Roman" w:cs="Times New Roman"/>
          <w:sz w:val="24"/>
          <w:szCs w:val="24"/>
        </w:rPr>
        <w:t>)</w:t>
      </w:r>
      <w:r w:rsidRPr="00421D1C">
        <w:rPr>
          <w:rFonts w:ascii="Times New Roman" w:hAnsi="Times New Roman" w:cs="Times New Roman"/>
          <w:sz w:val="24"/>
          <w:szCs w:val="24"/>
        </w:rPr>
        <w:t xml:space="preserve"> biomarkers associated with hepatocellular injury (e.g., </w:t>
      </w:r>
      <w:r w:rsidR="007A0362" w:rsidRPr="00421D1C">
        <w:rPr>
          <w:rFonts w:ascii="Times New Roman" w:hAnsi="Times New Roman" w:cs="Times New Roman"/>
          <w:sz w:val="24"/>
          <w:szCs w:val="24"/>
        </w:rPr>
        <w:t>alanine and aspartate aminotransferases, ALT and AST</w:t>
      </w:r>
      <w:r w:rsidRPr="00421D1C">
        <w:rPr>
          <w:rFonts w:ascii="Times New Roman" w:hAnsi="Times New Roman" w:cs="Times New Roman"/>
          <w:sz w:val="24"/>
          <w:szCs w:val="24"/>
        </w:rPr>
        <w:t>) or overall liver dysfunction (e.g., total bilirubin), all of which are represented in the model and supported by the literature.</w:t>
      </w:r>
    </w:p>
    <w:p w14:paraId="22A879DB" w14:textId="25E45CDB" w:rsidR="001734D4" w:rsidRPr="00421D1C" w:rsidRDefault="00C06307" w:rsidP="00421D1C">
      <w:pPr>
        <w:jc w:val="both"/>
        <w:rPr>
          <w:rFonts w:ascii="Times New Roman" w:hAnsi="Times New Roman" w:cs="Times New Roman"/>
          <w:i/>
          <w:iCs/>
          <w:sz w:val="24"/>
          <w:szCs w:val="24"/>
        </w:rPr>
      </w:pPr>
      <w:r w:rsidRPr="00421D1C">
        <w:rPr>
          <w:rFonts w:ascii="Times New Roman" w:hAnsi="Times New Roman" w:cs="Times New Roman"/>
          <w:i/>
          <w:iCs/>
          <w:sz w:val="24"/>
          <w:szCs w:val="24"/>
        </w:rPr>
        <w:t xml:space="preserve">Biliary </w:t>
      </w:r>
      <w:r w:rsidR="00DA18AA" w:rsidRPr="00421D1C">
        <w:rPr>
          <w:rFonts w:ascii="Times New Roman" w:hAnsi="Times New Roman" w:cs="Times New Roman"/>
          <w:i/>
          <w:iCs/>
          <w:sz w:val="24"/>
          <w:szCs w:val="24"/>
        </w:rPr>
        <w:t>bile acid-to-phospholipid ratio</w:t>
      </w:r>
    </w:p>
    <w:p w14:paraId="74BC22A5" w14:textId="6380FC10" w:rsidR="00742967" w:rsidRPr="00421D1C" w:rsidRDefault="00847E70" w:rsidP="00421D1C">
      <w:pPr>
        <w:jc w:val="both"/>
        <w:rPr>
          <w:rFonts w:ascii="Times New Roman" w:hAnsi="Times New Roman" w:cs="Times New Roman"/>
          <w:sz w:val="24"/>
          <w:szCs w:val="24"/>
        </w:rPr>
      </w:pPr>
      <w:r w:rsidRPr="00421D1C">
        <w:rPr>
          <w:rFonts w:ascii="Times New Roman" w:hAnsi="Times New Roman" w:cs="Times New Roman"/>
          <w:sz w:val="24"/>
          <w:szCs w:val="24"/>
        </w:rPr>
        <w:t>T</w:t>
      </w:r>
      <w:r w:rsidR="00587805" w:rsidRPr="00421D1C">
        <w:rPr>
          <w:rFonts w:ascii="Times New Roman" w:hAnsi="Times New Roman" w:cs="Times New Roman"/>
          <w:sz w:val="24"/>
          <w:szCs w:val="24"/>
        </w:rPr>
        <w:t xml:space="preserve">he biliary </w:t>
      </w:r>
      <w:r w:rsidR="004540DF" w:rsidRPr="00421D1C">
        <w:rPr>
          <w:rFonts w:ascii="Times New Roman" w:hAnsi="Times New Roman" w:cs="Times New Roman"/>
          <w:sz w:val="24"/>
          <w:szCs w:val="24"/>
        </w:rPr>
        <w:t>BA/</w:t>
      </w:r>
      <w:r w:rsidR="00DA18AA" w:rsidRPr="00421D1C">
        <w:rPr>
          <w:rFonts w:ascii="Times New Roman" w:hAnsi="Times New Roman" w:cs="Times New Roman"/>
          <w:sz w:val="24"/>
          <w:szCs w:val="24"/>
        </w:rPr>
        <w:t>phospholipid (</w:t>
      </w:r>
      <w:r w:rsidR="004540DF" w:rsidRPr="00421D1C">
        <w:rPr>
          <w:rFonts w:ascii="Times New Roman" w:hAnsi="Times New Roman" w:cs="Times New Roman"/>
          <w:sz w:val="24"/>
          <w:szCs w:val="24"/>
        </w:rPr>
        <w:t>PL</w:t>
      </w:r>
      <w:r w:rsidR="00DA18AA" w:rsidRPr="00421D1C">
        <w:rPr>
          <w:rFonts w:ascii="Times New Roman" w:hAnsi="Times New Roman" w:cs="Times New Roman"/>
          <w:sz w:val="24"/>
          <w:szCs w:val="24"/>
        </w:rPr>
        <w:t>)</w:t>
      </w:r>
      <w:r w:rsidR="00587805" w:rsidRPr="00421D1C">
        <w:rPr>
          <w:rFonts w:ascii="Times New Roman" w:hAnsi="Times New Roman" w:cs="Times New Roman"/>
          <w:sz w:val="24"/>
          <w:szCs w:val="24"/>
        </w:rPr>
        <w:t xml:space="preserve"> ratio</w:t>
      </w:r>
      <w:r w:rsidRPr="00421D1C">
        <w:rPr>
          <w:rFonts w:ascii="Times New Roman" w:hAnsi="Times New Roman" w:cs="Times New Roman"/>
          <w:sz w:val="24"/>
          <w:szCs w:val="24"/>
        </w:rPr>
        <w:t xml:space="preserve"> </w:t>
      </w:r>
      <w:r w:rsidR="005F4996" w:rsidRPr="00421D1C">
        <w:rPr>
          <w:rFonts w:ascii="Times New Roman" w:hAnsi="Times New Roman" w:cs="Times New Roman"/>
          <w:sz w:val="24"/>
          <w:szCs w:val="24"/>
        </w:rPr>
        <w:t xml:space="preserve">can be used to represent </w:t>
      </w:r>
      <w:r w:rsidRPr="00421D1C">
        <w:rPr>
          <w:rFonts w:ascii="Times New Roman" w:hAnsi="Times New Roman" w:cs="Times New Roman"/>
          <w:sz w:val="24"/>
          <w:szCs w:val="24"/>
        </w:rPr>
        <w:t xml:space="preserve">mixed micelle formation, and in the case of a high ratio, </w:t>
      </w:r>
      <w:r w:rsidR="003F718E" w:rsidRPr="00421D1C">
        <w:rPr>
          <w:rFonts w:ascii="Times New Roman" w:hAnsi="Times New Roman" w:cs="Times New Roman"/>
          <w:sz w:val="24"/>
          <w:szCs w:val="24"/>
        </w:rPr>
        <w:t xml:space="preserve">reflects a </w:t>
      </w:r>
      <w:r w:rsidRPr="00421D1C">
        <w:rPr>
          <w:rFonts w:ascii="Times New Roman" w:hAnsi="Times New Roman" w:cs="Times New Roman"/>
          <w:sz w:val="24"/>
          <w:szCs w:val="24"/>
        </w:rPr>
        <w:t>toxic surplus of free BA monomers</w:t>
      </w:r>
      <w:r w:rsidR="003F718E" w:rsidRPr="00421D1C">
        <w:rPr>
          <w:rFonts w:ascii="Times New Roman" w:hAnsi="Times New Roman" w:cs="Times New Roman"/>
          <w:sz w:val="24"/>
          <w:szCs w:val="24"/>
        </w:rPr>
        <w:t xml:space="preserve"> in the bile</w:t>
      </w:r>
      <w:r w:rsidRPr="00421D1C">
        <w:rPr>
          <w:rFonts w:ascii="Times New Roman" w:hAnsi="Times New Roman" w:cs="Times New Roman"/>
          <w:sz w:val="24"/>
          <w:szCs w:val="24"/>
        </w:rPr>
        <w:t>. The BA/PL ratio h</w:t>
      </w:r>
      <w:r w:rsidR="00587805" w:rsidRPr="00421D1C">
        <w:rPr>
          <w:rFonts w:ascii="Times New Roman" w:hAnsi="Times New Roman" w:cs="Times New Roman"/>
          <w:sz w:val="24"/>
          <w:szCs w:val="24"/>
        </w:rPr>
        <w:t xml:space="preserve">as been associated with cholestatic liver injury in several studies </w:t>
      </w:r>
      <w:r w:rsidR="00587805" w:rsidRPr="00421D1C">
        <w:rPr>
          <w:rFonts w:ascii="Times New Roman" w:hAnsi="Times New Roman" w:cs="Times New Roman"/>
          <w:sz w:val="24"/>
          <w:szCs w:val="24"/>
        </w:rPr>
        <w:fldChar w:fldCharType="begin"/>
      </w:r>
      <w:r w:rsidR="00E06F62" w:rsidRPr="00421D1C">
        <w:rPr>
          <w:rFonts w:ascii="Times New Roman" w:hAnsi="Times New Roman" w:cs="Times New Roman"/>
          <w:sz w:val="24"/>
          <w:szCs w:val="24"/>
        </w:rPr>
        <w:instrText xml:space="preserve"> ADDIN ZOTERO_ITEM CSL_CITATION {"citationID":"AgnqsqVG","properties":{"formattedCitation":"(Geuken et al., 2004; Buis et al., 2009; Davit-Spraul et al., 2009)","plainCitation":"(Geuken et al., 2004; Buis et al., 2009; Davit-Spraul et al., 2009)","noteIndex":0},"citationItems":[{"id":19066,"uris":["http://zotero.org/groups/425949/items/T6TLXGGD"],"itemData":{"id":19066,"type":"article-journal","abstract":"BACKGROUND/AIMS: Biliary strictures are a serious cause of morbidity after liver transplantation. We have studied the role of altered bile composition as a mechanism of bile duct injury after human liver transplantation.\nMETHODS: In 28 liver transplant recipients, bile samples were collected daily posttransplantation for determination of bile composition. Hepatic expression of bile transporters was studied before and after transplantation. Histopathological criteria as well as biliary concentrations of alkaline phosphatase (ALP) and gamma-glutamyltransferase (gamma-GT) were used to quantify bile duct injury.\nRESULTS: Early after transplantation, bile salt secretion increased more rapidly than phospholipid secretion, resulting in high biliary bile salt/phospholipid ratio (BA/PL). In parallel with this, mRNA levels of the bile salt transporters NTCP and BSEP increased significantly after transplantation, whereas phospholipid translocator MDR3 mRNA levels remained unchanged. Bile duct injury correlated significantly with bile salt secretion and was associated with a high biliary BA/PL ratio.\nCONCLUSIONS: Bile salt secretion after human liver transplantation recovers more rapidly than phospholipid secretion. This results in cytotoxic bile formation and correlates with bile duct injury. These findings suggest that endogenous bile salts have a role in the pathogenesis of bile duct injury after liver transplantation.","container-title":"Journal of Hepatology","DOI":"10.1016/j.jhep.2004.08.023","ISSN":"0168-8278","issue":"6","journalAbbreviation":"J Hepatol","language":"eng","note":"PMID: 15582136","page":"1017-1025","source":"PubMed","title":"Rapid increase of bile salt secretion is associated with bile duct injury after human liver transplantation","volume":"41","author":[{"family":"Geuken","given":"Erwin"},{"family":"Visser","given":"Dorien"},{"family":"Kuipers","given":"Folkert"},{"family":"Blokzijl","given":"Hans"},{"family":"Leuvenink","given":"Henri G. D."},{"family":"Jong","given":"Koert P.","non-dropping-particle":"de"},{"family":"Peeters","given":"Paul M. J. G."},{"family":"Jansen","given":"Peter L. M."},{"family":"Slooff","given":"Maarten J. H."},{"family":"Gouw","given":"Annette S. H."},{"family":"Porte","given":"Robert J."}],"issued":{"date-parts":[["2004",12]]}}},{"id":19068,"uris":["http://zotero.org/groups/425949/items/86B24QJT"],"itemData":{"id":19068,"type":"article-journal","abstract":"BACKGROUND/AIMS: Nonanastomotic biliary strictures are troublesome complications after liver transplantation. The pathogenesis of NAS is not completely clear, but experimental studies suggest that bile salt toxicity is involved.\nMETHODS: In one hundred and eleven adult liver transplants, bile samples were collected daily posttransplantation for determination of bile composition. Expression of bile transporters was studied perioperatively.\nRESULTS: Nonanastomotic biliary strictures were detected in 14 patients (13%) within one year after transplantation. Patient and donor characteristics and postoperative serum liver enzymes were similar between patients who developed nonanastomotic biliary strictures and those who did not. Secretions of bile salts, phospholipids and cholesterol were significantly lower in patients who developed strictures. In parallel, biliary phospholipids/bile salt ratio was lower in patients developing strictures, suggestive for increased bile cytotoxicity. There were no differences in bile salt pool composition or in hepatobiliary transporter expression.\nCONCLUSIONS: Although patients who develop nonanastomotic biliary strictures are initially clinically indiscernible from patients who do not develop nonanastomotic biliary strictures, the biliary bile salts and phospholipids secretion, as well as biliary phospholipids/bile salt ratio in the first week after transplantation, was significantly lower in the former group. This supports the concept that bile cytotoxicity is involved in the pathogenesis of nonanastomotic biliary strictures.","container-title":"Journal of Hepatology","DOI":"10.1016/j.jhep.2008.07.032","ISSN":"0168-8278","issue":"1","journalAbbreviation":"J Hepatol","language":"eng","note":"PMID: 19012987","page":"69-79","source":"PubMed","title":"Altered bile composition after liver transplantation is associated with the development of nonanastomotic biliary strictures","volume":"50","author":[{"family":"Buis","given":"Carlijn I."},{"family":"Geuken","given":"Erwin"},{"family":"Visser","given":"Dorien S."},{"family":"Kuipers","given":"Folkert"},{"family":"Haagsma","given":"Elizabeth B."},{"family":"Verkade","given":"Henkjan J."},{"family":"Porte","given":"Robert J."}],"issued":{"date-parts":[["2009",1]]}}},{"id":19270,"uris":["http://zotero.org/groups/425949/items/D3X7YW8F"],"itemData":{"id":19270,"type":"article-journal","abstract":"Progressive familial intrahepatic cholestasis (PFIC) refers to heterogeneous group of autosomal recessive disorders of childhood that disrupt bile formation and present with cholestasis of hepatocellular origin. The exact prevalence remains unknown, but the estimated incidence varies between 1/50,000 and 1/100,000 births. Three types of PFIC have been identified and related to mutations in hepatocellular transport system genes involved in bile formation. PFIC1 and PFIC2 usually appear in the first months of life, whereas onset of PFIC3 may also occur later in infancy, in childhood or even during young adulthood. Main clinical manifestations include cholestasis, pruritus and jaundice. PFIC patients usually develop fibrosis and end-stage liver disease before adulthood. Serum gamma-glutamyltransferase (GGT) activity is normal in PFIC1 and PFIC2 patients, but is elevated in PFIC3 patients. Both PFIC1 and PFIC2 are caused by impaired bile salt secretion due respectively to defects in ATP8B1 encoding the FIC1 protein, and in ABCB11 encoding the bile salt export pump protein (BSEP). Defects in ABCB4, encoding the multi-drug resistant 3 protein (MDR3), impair biliary phospholipid secretion resulting in PFIC3. Diagnosis is based on clinical manifestations, liver ultrasonography, cholangiography and liver histology, as well as on specific tests for excluding other causes of childhood cholestasis. MDR3 and BSEP liver immunostaining, and analysis of biliary lipid composition should help to select PFIC candidates in whom genotyping could be proposed to confirm the diagnosis. Antenatal diagnosis can be proposed for affected families in which a mutation has been identified. Ursodeoxycholic acid (UDCA) therapy should be initiated in all patients to prevent liver damage. In some PFIC1 or PFIC2 patients, biliary diversion can also relieve pruritus and slow disease progression. However, most PFIC patients are ultimately candidates for liver transplantation. Monitoring of hepatocellular carcinoma, especially in PFIC2 patients, should be offered from the first year of life. Hepatocyte transplantation, gene therapy or specific targeted pharmacotherapy may represent alternative treatments in the future.","container-title":"Orphanet Journal of Rare Diseases","DOI":"10.1186/1750-1172-4-1","ISSN":"1750-1172","journalAbbreviation":"Orphanet J Rare Dis","language":"eng","note":"PMID: 19133130\nPMCID: PMC2647530","page":"1","source":"PubMed","title":"Progressive familial intrahepatic cholestasis","volume":"4","author":[{"family":"Davit-Spraul","given":"Anne"},{"family":"Gonzales","given":"Emmanuel"},{"family":"Baussan","given":"Christiane"},{"family":"Jacquemin","given":"Emmanuel"}],"issued":{"date-parts":[["2009",1,8]]}}}],"schema":"https://github.com/citation-style-language/schema/raw/master/csl-citation.json"} </w:instrText>
      </w:r>
      <w:r w:rsidR="00587805" w:rsidRPr="00421D1C">
        <w:rPr>
          <w:rFonts w:ascii="Times New Roman" w:hAnsi="Times New Roman" w:cs="Times New Roman"/>
          <w:sz w:val="24"/>
          <w:szCs w:val="24"/>
        </w:rPr>
        <w:fldChar w:fldCharType="separate"/>
      </w:r>
      <w:r w:rsidR="00587805" w:rsidRPr="00421D1C">
        <w:rPr>
          <w:rFonts w:ascii="Times New Roman" w:hAnsi="Times New Roman" w:cs="Times New Roman"/>
          <w:sz w:val="24"/>
          <w:szCs w:val="24"/>
        </w:rPr>
        <w:t>(Geuken et al., 2004; Buis et al., 2009; Davit-Spraul et al., 2009)</w:t>
      </w:r>
      <w:r w:rsidR="00587805" w:rsidRPr="00421D1C">
        <w:rPr>
          <w:rFonts w:ascii="Times New Roman" w:hAnsi="Times New Roman" w:cs="Times New Roman"/>
          <w:sz w:val="24"/>
          <w:szCs w:val="24"/>
        </w:rPr>
        <w:fldChar w:fldCharType="end"/>
      </w:r>
      <w:r w:rsidR="00587805" w:rsidRPr="00421D1C">
        <w:rPr>
          <w:rFonts w:ascii="Times New Roman" w:hAnsi="Times New Roman" w:cs="Times New Roman"/>
          <w:sz w:val="24"/>
          <w:szCs w:val="24"/>
        </w:rPr>
        <w:t xml:space="preserve">. </w:t>
      </w:r>
      <w:r w:rsidR="00351CDD" w:rsidRPr="00421D1C">
        <w:rPr>
          <w:rFonts w:ascii="Times New Roman" w:hAnsi="Times New Roman" w:cs="Times New Roman"/>
          <w:sz w:val="24"/>
          <w:szCs w:val="24"/>
        </w:rPr>
        <w:t xml:space="preserve">In the context of </w:t>
      </w:r>
      <w:proofErr w:type="spellStart"/>
      <w:r w:rsidR="00351CDD" w:rsidRPr="00421D1C">
        <w:rPr>
          <w:rFonts w:ascii="Times New Roman" w:hAnsi="Times New Roman" w:cs="Times New Roman"/>
          <w:sz w:val="24"/>
          <w:szCs w:val="24"/>
        </w:rPr>
        <w:t>nonanastomotic</w:t>
      </w:r>
      <w:proofErr w:type="spellEnd"/>
      <w:r w:rsidR="00351CDD" w:rsidRPr="00421D1C">
        <w:rPr>
          <w:rFonts w:ascii="Times New Roman" w:hAnsi="Times New Roman" w:cs="Times New Roman"/>
          <w:sz w:val="24"/>
          <w:szCs w:val="24"/>
        </w:rPr>
        <w:t xml:space="preserve"> strictures (NAS) of the bile duct,</w:t>
      </w:r>
      <w:r w:rsidR="00AF35C5" w:rsidRPr="00421D1C">
        <w:rPr>
          <w:rFonts w:ascii="Times New Roman" w:hAnsi="Times New Roman" w:cs="Times New Roman"/>
          <w:sz w:val="24"/>
          <w:szCs w:val="24"/>
        </w:rPr>
        <w:t xml:space="preserve"> which is</w:t>
      </w:r>
      <w:r w:rsidR="00351CDD" w:rsidRPr="00421D1C">
        <w:rPr>
          <w:rFonts w:ascii="Times New Roman" w:hAnsi="Times New Roman" w:cs="Times New Roman"/>
          <w:sz w:val="24"/>
          <w:szCs w:val="24"/>
        </w:rPr>
        <w:t xml:space="preserve"> </w:t>
      </w:r>
      <w:r w:rsidR="00385EFE" w:rsidRPr="00421D1C">
        <w:rPr>
          <w:rFonts w:ascii="Times New Roman" w:hAnsi="Times New Roman" w:cs="Times New Roman"/>
          <w:sz w:val="24"/>
          <w:szCs w:val="24"/>
        </w:rPr>
        <w:t>considered a troublesome post-transplant cholangiopathy involving strictures of the intrahepatic and mainly extrahepatic bile ducts</w:t>
      </w:r>
      <w:r w:rsidR="00351CDD" w:rsidRPr="00421D1C">
        <w:rPr>
          <w:rFonts w:ascii="Times New Roman" w:hAnsi="Times New Roman" w:cs="Times New Roman"/>
          <w:sz w:val="24"/>
          <w:szCs w:val="24"/>
        </w:rPr>
        <w:t xml:space="preserve"> </w:t>
      </w:r>
      <w:r w:rsidR="00351CDD" w:rsidRPr="00421D1C">
        <w:rPr>
          <w:rFonts w:ascii="Times New Roman" w:hAnsi="Times New Roman" w:cs="Times New Roman"/>
          <w:sz w:val="24"/>
          <w:szCs w:val="24"/>
        </w:rPr>
        <w:fldChar w:fldCharType="begin"/>
      </w:r>
      <w:r w:rsidR="00E06F62" w:rsidRPr="00421D1C">
        <w:rPr>
          <w:rFonts w:ascii="Times New Roman" w:hAnsi="Times New Roman" w:cs="Times New Roman"/>
          <w:sz w:val="24"/>
          <w:szCs w:val="24"/>
        </w:rPr>
        <w:instrText xml:space="preserve"> ADDIN ZOTERO_ITEM CSL_CITATION {"citationID":"jiQKthDe","properties":{"formattedCitation":"(de Vries et al., 2018)","plainCitation":"(de Vries et al., 2018)","noteIndex":0},"citationItems":[{"id":19265,"uris":["http://zotero.org/groups/425949/items/3RHSQE9Q"],"itemData":{"id":19265,"type":"article-journal","abstract":"Biliary complications are the most frequent cause of morbidity, re-transplantation, and even mortality after liver transplantation. In general, biliary leakage and anastomotic and non-anastomotic biliary strictures (NAS) can be recognized. There is no consensus on the exact definition of NAS and different names and criteria have been used in literature. We propose to use the term post-transplant cholangiopathy for the spectrum of abnormalities of large donor bile ducts, that includes NAS, but also intraductal casts and intrahepatic biloma formation, in the presence of a patent hepatic artery. Combinations of these manifestations of cholangiopathy are not infrequently found in the same liver and ischemia-reperfusion injury is generally considered the common underlying mechanism. Other factors that contribute to post-transplant cholangiopathy are biliary injury due to bile salt toxicity and immune-mediated injury. This review provides an overview of the various types of post-transplant cholangiopathy, the presumed pathogenesis, clinical implications, and preventive strategies.","container-title":"Biochimica Et Biophysica Acta. Molecular Basis of Disease","DOI":"10.1016/j.bbadis.2017.06.013","ISSN":"0925-4439","issue":"4 Pt B","journalAbbreviation":"Biochim Biophys Acta Mol Basis Dis","language":"eng","note":"PMID: 28645651","page":"1507-1515","source":"PubMed","title":"Post-transplant cholangiopathy: Classification, pathogenesis, and preventive strategies","title-short":"Post-transplant cholangiopathy","volume":"1864","author":[{"family":"Vries","given":"Yvonne","non-dropping-particle":"de"},{"family":"Meijenfeldt","given":"Fien A.","non-dropping-particle":"von"},{"family":"Porte","given":"Robert J."}],"issued":{"date-parts":[["2018",4]]}}}],"schema":"https://github.com/citation-style-language/schema/raw/master/csl-citation.json"} </w:instrText>
      </w:r>
      <w:r w:rsidR="00351CDD" w:rsidRPr="00421D1C">
        <w:rPr>
          <w:rFonts w:ascii="Times New Roman" w:hAnsi="Times New Roman" w:cs="Times New Roman"/>
          <w:sz w:val="24"/>
          <w:szCs w:val="24"/>
        </w:rPr>
        <w:fldChar w:fldCharType="separate"/>
      </w:r>
      <w:r w:rsidR="00351CDD" w:rsidRPr="00421D1C">
        <w:rPr>
          <w:rFonts w:ascii="Times New Roman" w:hAnsi="Times New Roman" w:cs="Times New Roman"/>
          <w:sz w:val="24"/>
          <w:szCs w:val="24"/>
        </w:rPr>
        <w:t>(de Vries et al., 2018)</w:t>
      </w:r>
      <w:r w:rsidR="00351CDD" w:rsidRPr="00421D1C">
        <w:rPr>
          <w:rFonts w:ascii="Times New Roman" w:hAnsi="Times New Roman" w:cs="Times New Roman"/>
          <w:sz w:val="24"/>
          <w:szCs w:val="24"/>
        </w:rPr>
        <w:fldChar w:fldCharType="end"/>
      </w:r>
      <w:r w:rsidR="00351CDD" w:rsidRPr="00421D1C">
        <w:rPr>
          <w:rFonts w:ascii="Times New Roman" w:hAnsi="Times New Roman" w:cs="Times New Roman"/>
          <w:sz w:val="24"/>
          <w:szCs w:val="24"/>
        </w:rPr>
        <w:t xml:space="preserve">, </w:t>
      </w:r>
      <w:r w:rsidR="00EB7D16" w:rsidRPr="00421D1C">
        <w:rPr>
          <w:rFonts w:ascii="Times New Roman" w:hAnsi="Times New Roman" w:cs="Times New Roman"/>
          <w:sz w:val="24"/>
          <w:szCs w:val="24"/>
        </w:rPr>
        <w:t>relatively high</w:t>
      </w:r>
      <w:r w:rsidR="004540DF" w:rsidRPr="00421D1C">
        <w:rPr>
          <w:rFonts w:ascii="Times New Roman" w:hAnsi="Times New Roman" w:cs="Times New Roman"/>
          <w:sz w:val="24"/>
          <w:szCs w:val="24"/>
        </w:rPr>
        <w:t xml:space="preserve"> BA/PL ratio</w:t>
      </w:r>
      <w:r w:rsidRPr="00421D1C">
        <w:rPr>
          <w:rFonts w:ascii="Times New Roman" w:hAnsi="Times New Roman" w:cs="Times New Roman"/>
          <w:sz w:val="24"/>
          <w:szCs w:val="24"/>
        </w:rPr>
        <w:t xml:space="preserve">s were </w:t>
      </w:r>
      <w:r w:rsidR="004540DF" w:rsidRPr="00421D1C">
        <w:rPr>
          <w:rFonts w:ascii="Times New Roman" w:hAnsi="Times New Roman" w:cs="Times New Roman"/>
          <w:sz w:val="24"/>
          <w:szCs w:val="24"/>
        </w:rPr>
        <w:t>associated with worse biliary outcomes</w:t>
      </w:r>
      <w:r w:rsidR="00F10AC9" w:rsidRPr="00421D1C">
        <w:rPr>
          <w:rFonts w:ascii="Times New Roman" w:hAnsi="Times New Roman" w:cs="Times New Roman"/>
          <w:sz w:val="24"/>
          <w:szCs w:val="24"/>
        </w:rPr>
        <w:t xml:space="preserve"> </w:t>
      </w:r>
      <w:r w:rsidR="00AF35C5" w:rsidRPr="00421D1C">
        <w:rPr>
          <w:rFonts w:ascii="Times New Roman" w:hAnsi="Times New Roman" w:cs="Times New Roman"/>
          <w:sz w:val="24"/>
          <w:szCs w:val="24"/>
        </w:rPr>
        <w:t xml:space="preserve">(e.g., higher bile duct injury scores) </w:t>
      </w:r>
      <w:r w:rsidR="00F10AC9" w:rsidRPr="00421D1C">
        <w:rPr>
          <w:rFonts w:ascii="Times New Roman" w:hAnsi="Times New Roman" w:cs="Times New Roman"/>
          <w:sz w:val="24"/>
          <w:szCs w:val="24"/>
        </w:rPr>
        <w:t>compared to lower BA/PL ratios</w:t>
      </w:r>
      <w:r w:rsidR="004540DF" w:rsidRPr="00421D1C">
        <w:rPr>
          <w:rFonts w:ascii="Times New Roman" w:hAnsi="Times New Roman" w:cs="Times New Roman"/>
          <w:sz w:val="24"/>
          <w:szCs w:val="24"/>
        </w:rPr>
        <w:t xml:space="preserve"> </w:t>
      </w:r>
      <w:r w:rsidR="004540DF" w:rsidRPr="00421D1C">
        <w:rPr>
          <w:rFonts w:ascii="Times New Roman" w:hAnsi="Times New Roman" w:cs="Times New Roman"/>
          <w:sz w:val="24"/>
          <w:szCs w:val="24"/>
        </w:rPr>
        <w:fldChar w:fldCharType="begin"/>
      </w:r>
      <w:r w:rsidR="00E06F62" w:rsidRPr="00421D1C">
        <w:rPr>
          <w:rFonts w:ascii="Times New Roman" w:hAnsi="Times New Roman" w:cs="Times New Roman"/>
          <w:sz w:val="24"/>
          <w:szCs w:val="24"/>
        </w:rPr>
        <w:instrText xml:space="preserve"> ADDIN ZOTERO_ITEM CSL_CITATION {"citationID":"qhJRxYA1","properties":{"formattedCitation":"(Geuken et al., 2004; Buis et al., 2009)","plainCitation":"(Geuken et al., 2004; Buis et al., 2009)","noteIndex":0},"citationItems":[{"id":19066,"uris":["http://zotero.org/groups/425949/items/T6TLXGGD"],"itemData":{"id":19066,"type":"article-journal","abstract":"BACKGROUND/AIMS: Biliary strictures are a serious cause of morbidity after liver transplantation. We have studied the role of altered bile composition as a mechanism of bile duct injury after human liver transplantation.\nMETHODS: In 28 liver transplant recipients, bile samples were collected daily posttransplantation for determination of bile composition. Hepatic expression of bile transporters was studied before and after transplantation. Histopathological criteria as well as biliary concentrations of alkaline phosphatase (ALP) and gamma-glutamyltransferase (gamma-GT) were used to quantify bile duct injury.\nRESULTS: Early after transplantation, bile salt secretion increased more rapidly than phospholipid secretion, resulting in high biliary bile salt/phospholipid ratio (BA/PL). In parallel with this, mRNA levels of the bile salt transporters NTCP and BSEP increased significantly after transplantation, whereas phospholipid translocator MDR3 mRNA levels remained unchanged. Bile duct injury correlated significantly with bile salt secretion and was associated with a high biliary BA/PL ratio.\nCONCLUSIONS: Bile salt secretion after human liver transplantation recovers more rapidly than phospholipid secretion. This results in cytotoxic bile formation and correlates with bile duct injury. These findings suggest that endogenous bile salts have a role in the pathogenesis of bile duct injury after liver transplantation.","container-title":"Journal of Hepatology","DOI":"10.1016/j.jhep.2004.08.023","ISSN":"0168-8278","issue":"6","journalAbbreviation":"J Hepatol","language":"eng","note":"PMID: 15582136","page":"1017-1025","source":"PubMed","title":"Rapid increase of bile salt secretion is associated with bile duct injury after human liver transplantation","volume":"41","author":[{"family":"Geuken","given":"Erwin"},{"family":"Visser","given":"Dorien"},{"family":"Kuipers","given":"Folkert"},{"family":"Blokzijl","given":"Hans"},{"family":"Leuvenink","given":"Henri G. D."},{"family":"Jong","given":"Koert P.","non-dropping-particle":"de"},{"family":"Peeters","given":"Paul M. J. G."},{"family":"Jansen","given":"Peter L. M."},{"family":"Slooff","given":"Maarten J. H."},{"family":"Gouw","given":"Annette S. H."},{"family":"Porte","given":"Robert J."}],"issued":{"date-parts":[["2004",12]]}}},{"id":19068,"uris":["http://zotero.org/groups/425949/items/86B24QJT"],"itemData":{"id":19068,"type":"article-journal","abstract":"BACKGROUND/AIMS: Nonanastomotic biliary strictures are troublesome complications after liver transplantation. The pathogenesis of NAS is not completely clear, but experimental studies suggest that bile salt toxicity is involved.\nMETHODS: In one hundred and eleven adult liver transplants, bile samples were collected daily posttransplantation for determination of bile composition. Expression of bile transporters was studied perioperatively.\nRESULTS: Nonanastomotic biliary strictures were detected in 14 patients (13%) within one year after transplantation. Patient and donor characteristics and postoperative serum liver enzymes were similar between patients who developed nonanastomotic biliary strictures and those who did not. Secretions of bile salts, phospholipids and cholesterol were significantly lower in patients who developed strictures. In parallel, biliary phospholipids/bile salt ratio was lower in patients developing strictures, suggestive for increased bile cytotoxicity. There were no differences in bile salt pool composition or in hepatobiliary transporter expression.\nCONCLUSIONS: Although patients who develop nonanastomotic biliary strictures are initially clinically indiscernible from patients who do not develop nonanastomotic biliary strictures, the biliary bile salts and phospholipids secretion, as well as biliary phospholipids/bile salt ratio in the first week after transplantation, was significantly lower in the former group. This supports the concept that bile cytotoxicity is involved in the pathogenesis of nonanastomotic biliary strictures.","container-title":"Journal of Hepatology","DOI":"10.1016/j.jhep.2008.07.032","ISSN":"0168-8278","issue":"1","journalAbbreviation":"J Hepatol","language":"eng","note":"PMID: 19012987","page":"69-79","source":"PubMed","title":"Altered bile composition after liver transplantation is associated with the development of nonanastomotic biliary strictures","volume":"50","author":[{"family":"Buis","given":"Carlijn I."},{"family":"Geuken","given":"Erwin"},{"family":"Visser","given":"Dorien S."},{"family":"Kuipers","given":"Folkert"},{"family":"Haagsma","given":"Elizabeth B."},{"family":"Verkade","given":"Henkjan J."},{"family":"Porte","given":"Robert J."}],"issued":{"date-parts":[["2009",1]]}}}],"schema":"https://github.com/citation-style-language/schema/raw/master/csl-citation.json"} </w:instrText>
      </w:r>
      <w:r w:rsidR="004540DF" w:rsidRPr="00421D1C">
        <w:rPr>
          <w:rFonts w:ascii="Times New Roman" w:hAnsi="Times New Roman" w:cs="Times New Roman"/>
          <w:sz w:val="24"/>
          <w:szCs w:val="24"/>
        </w:rPr>
        <w:fldChar w:fldCharType="separate"/>
      </w:r>
      <w:r w:rsidR="004540DF" w:rsidRPr="00421D1C">
        <w:rPr>
          <w:rFonts w:ascii="Times New Roman" w:hAnsi="Times New Roman" w:cs="Times New Roman"/>
          <w:sz w:val="24"/>
          <w:szCs w:val="24"/>
        </w:rPr>
        <w:t>(Geuken et al., 2004; Buis et al., 2009)</w:t>
      </w:r>
      <w:r w:rsidR="004540DF" w:rsidRPr="00421D1C">
        <w:rPr>
          <w:rFonts w:ascii="Times New Roman" w:hAnsi="Times New Roman" w:cs="Times New Roman"/>
          <w:sz w:val="24"/>
          <w:szCs w:val="24"/>
        </w:rPr>
        <w:fldChar w:fldCharType="end"/>
      </w:r>
      <w:r w:rsidR="004540DF" w:rsidRPr="00421D1C">
        <w:rPr>
          <w:rFonts w:ascii="Times New Roman" w:hAnsi="Times New Roman" w:cs="Times New Roman"/>
          <w:sz w:val="24"/>
          <w:szCs w:val="24"/>
        </w:rPr>
        <w:t>.</w:t>
      </w:r>
      <w:r w:rsidRPr="00421D1C">
        <w:rPr>
          <w:rFonts w:ascii="Times New Roman" w:hAnsi="Times New Roman" w:cs="Times New Roman"/>
          <w:sz w:val="24"/>
          <w:szCs w:val="24"/>
        </w:rPr>
        <w:t xml:space="preserve"> It has been hypothesized that BA toxicity</w:t>
      </w:r>
      <w:r w:rsidR="009E5F46" w:rsidRPr="00421D1C">
        <w:rPr>
          <w:rFonts w:ascii="Times New Roman" w:hAnsi="Times New Roman" w:cs="Times New Roman"/>
          <w:sz w:val="24"/>
          <w:szCs w:val="24"/>
        </w:rPr>
        <w:t>, presumably attributable to free BA monomers,</w:t>
      </w:r>
      <w:r w:rsidRPr="00421D1C">
        <w:rPr>
          <w:rFonts w:ascii="Times New Roman" w:hAnsi="Times New Roman" w:cs="Times New Roman"/>
          <w:sz w:val="24"/>
          <w:szCs w:val="24"/>
        </w:rPr>
        <w:t xml:space="preserve"> contributes to the poorly understood pathogenesis of NAS.</w:t>
      </w:r>
      <w:r w:rsidR="004540DF" w:rsidRPr="00421D1C">
        <w:rPr>
          <w:rFonts w:ascii="Times New Roman" w:hAnsi="Times New Roman" w:cs="Times New Roman"/>
          <w:sz w:val="24"/>
          <w:szCs w:val="24"/>
        </w:rPr>
        <w:t xml:space="preserve"> </w:t>
      </w:r>
      <w:r w:rsidR="003C4F46" w:rsidRPr="00421D1C">
        <w:rPr>
          <w:rFonts w:ascii="Times New Roman" w:hAnsi="Times New Roman" w:cs="Times New Roman"/>
          <w:sz w:val="24"/>
          <w:szCs w:val="24"/>
        </w:rPr>
        <w:t>Additionally, i</w:t>
      </w:r>
      <w:r w:rsidR="0001680F" w:rsidRPr="00421D1C">
        <w:rPr>
          <w:rFonts w:ascii="Times New Roman" w:hAnsi="Times New Roman" w:cs="Times New Roman"/>
          <w:sz w:val="24"/>
          <w:szCs w:val="24"/>
        </w:rPr>
        <w:t xml:space="preserve">n patients with </w:t>
      </w:r>
      <w:r w:rsidR="00A10584" w:rsidRPr="00421D1C">
        <w:rPr>
          <w:rFonts w:ascii="Times New Roman" w:hAnsi="Times New Roman" w:cs="Times New Roman"/>
          <w:sz w:val="24"/>
          <w:szCs w:val="24"/>
        </w:rPr>
        <w:t>progressive familial cholestasis (</w:t>
      </w:r>
      <w:r w:rsidR="0001680F" w:rsidRPr="00421D1C">
        <w:rPr>
          <w:rFonts w:ascii="Times New Roman" w:hAnsi="Times New Roman" w:cs="Times New Roman"/>
          <w:sz w:val="24"/>
          <w:szCs w:val="24"/>
        </w:rPr>
        <w:t>PFIC</w:t>
      </w:r>
      <w:r w:rsidR="00A10584" w:rsidRPr="00421D1C">
        <w:rPr>
          <w:rFonts w:ascii="Times New Roman" w:hAnsi="Times New Roman" w:cs="Times New Roman"/>
          <w:sz w:val="24"/>
          <w:szCs w:val="24"/>
        </w:rPr>
        <w:t xml:space="preserve">) type </w:t>
      </w:r>
      <w:r w:rsidR="0001680F" w:rsidRPr="00421D1C">
        <w:rPr>
          <w:rFonts w:ascii="Times New Roman" w:hAnsi="Times New Roman" w:cs="Times New Roman"/>
          <w:sz w:val="24"/>
          <w:szCs w:val="24"/>
        </w:rPr>
        <w:t xml:space="preserve">3, the biliary BA/PL ratio is approximately 5-fold higher compared to healthy controls. The </w:t>
      </w:r>
      <w:r w:rsidR="00A32A98" w:rsidRPr="00421D1C">
        <w:rPr>
          <w:rFonts w:ascii="Times New Roman" w:hAnsi="Times New Roman" w:cs="Times New Roman"/>
          <w:sz w:val="24"/>
          <w:szCs w:val="24"/>
        </w:rPr>
        <w:t>specific</w:t>
      </w:r>
      <w:r w:rsidR="0001680F" w:rsidRPr="00421D1C">
        <w:rPr>
          <w:rFonts w:ascii="Times New Roman" w:hAnsi="Times New Roman" w:cs="Times New Roman"/>
          <w:sz w:val="24"/>
          <w:szCs w:val="24"/>
        </w:rPr>
        <w:t xml:space="preserve"> </w:t>
      </w:r>
      <w:r w:rsidR="00A32A98" w:rsidRPr="00421D1C">
        <w:rPr>
          <w:rFonts w:ascii="Times New Roman" w:hAnsi="Times New Roman" w:cs="Times New Roman"/>
          <w:i/>
          <w:iCs/>
          <w:sz w:val="24"/>
          <w:szCs w:val="24"/>
        </w:rPr>
        <w:t>ABCB4</w:t>
      </w:r>
      <w:r w:rsidR="00A32A98" w:rsidRPr="00421D1C">
        <w:rPr>
          <w:rFonts w:ascii="Times New Roman" w:hAnsi="Times New Roman" w:cs="Times New Roman"/>
          <w:sz w:val="24"/>
          <w:szCs w:val="24"/>
        </w:rPr>
        <w:t xml:space="preserve"> mutations in individual patients with PFIC3 s</w:t>
      </w:r>
      <w:r w:rsidR="0001680F" w:rsidRPr="00421D1C">
        <w:rPr>
          <w:rFonts w:ascii="Times New Roman" w:hAnsi="Times New Roman" w:cs="Times New Roman"/>
          <w:sz w:val="24"/>
          <w:szCs w:val="24"/>
        </w:rPr>
        <w:t>eem to dictate the residual biliary PL levels</w:t>
      </w:r>
      <w:r w:rsidR="00186C79" w:rsidRPr="00421D1C">
        <w:rPr>
          <w:rFonts w:ascii="Times New Roman" w:hAnsi="Times New Roman" w:cs="Times New Roman"/>
          <w:sz w:val="24"/>
          <w:szCs w:val="24"/>
        </w:rPr>
        <w:t xml:space="preserve"> </w:t>
      </w:r>
      <w:r w:rsidR="00186C79" w:rsidRPr="00421D1C">
        <w:rPr>
          <w:rFonts w:ascii="Times New Roman" w:hAnsi="Times New Roman" w:cs="Times New Roman"/>
          <w:sz w:val="24"/>
          <w:szCs w:val="24"/>
        </w:rPr>
        <w:fldChar w:fldCharType="begin"/>
      </w:r>
      <w:r w:rsidR="00E06F62" w:rsidRPr="00421D1C">
        <w:rPr>
          <w:rFonts w:ascii="Times New Roman" w:hAnsi="Times New Roman" w:cs="Times New Roman"/>
          <w:sz w:val="24"/>
          <w:szCs w:val="24"/>
        </w:rPr>
        <w:instrText xml:space="preserve"> ADDIN ZOTERO_ITEM CSL_CITATION {"citationID":"zzPlMn2I","properties":{"formattedCitation":"(Davit-Spraul et al., 2009)","plainCitation":"(Davit-Spraul et al., 2009)","noteIndex":0},"citationItems":[{"id":19270,"uris":["http://zotero.org/groups/425949/items/D3X7YW8F"],"itemData":{"id":19270,"type":"article-journal","abstract":"Progressive familial intrahepatic cholestasis (PFIC) refers to heterogeneous group of autosomal recessive disorders of childhood that disrupt bile formation and present with cholestasis of hepatocellular origin. The exact prevalence remains unknown, but the estimated incidence varies between 1/50,000 and 1/100,000 births. Three types of PFIC have been identified and related to mutations in hepatocellular transport system genes involved in bile formation. PFIC1 and PFIC2 usually appear in the first months of life, whereas onset of PFIC3 may also occur later in infancy, in childhood or even during young adulthood. Main clinical manifestations include cholestasis, pruritus and jaundice. PFIC patients usually develop fibrosis and end-stage liver disease before adulthood. Serum gamma-glutamyltransferase (GGT) activity is normal in PFIC1 and PFIC2 patients, but is elevated in PFIC3 patients. Both PFIC1 and PFIC2 are caused by impaired bile salt secretion due respectively to defects in ATP8B1 encoding the FIC1 protein, and in ABCB11 encoding the bile salt export pump protein (BSEP). Defects in ABCB4, encoding the multi-drug resistant 3 protein (MDR3), impair biliary phospholipid secretion resulting in PFIC3. Diagnosis is based on clinical manifestations, liver ultrasonography, cholangiography and liver histology, as well as on specific tests for excluding other causes of childhood cholestasis. MDR3 and BSEP liver immunostaining, and analysis of biliary lipid composition should help to select PFIC candidates in whom genotyping could be proposed to confirm the diagnosis. Antenatal diagnosis can be proposed for affected families in which a mutation has been identified. Ursodeoxycholic acid (UDCA) therapy should be initiated in all patients to prevent liver damage. In some PFIC1 or PFIC2 patients, biliary diversion can also relieve pruritus and slow disease progression. However, most PFIC patients are ultimately candidates for liver transplantation. Monitoring of hepatocellular carcinoma, especially in PFIC2 patients, should be offered from the first year of life. Hepatocyte transplantation, gene therapy or specific targeted pharmacotherapy may represent alternative treatments in the future.","container-title":"Orphanet Journal of Rare Diseases","DOI":"10.1186/1750-1172-4-1","ISSN":"1750-1172","journalAbbreviation":"Orphanet J Rare Dis","language":"eng","note":"PMID: 19133130\nPMCID: PMC2647530","page":"1","source":"PubMed","title":"Progressive familial intrahepatic cholestasis","volume":"4","author":[{"family":"Davit-Spraul","given":"Anne"},{"family":"Gonzales","given":"Emmanuel"},{"family":"Baussan","given":"Christiane"},{"family":"Jacquemin","given":"Emmanuel"}],"issued":{"date-parts":[["2009",1,8]]}}}],"schema":"https://github.com/citation-style-language/schema/raw/master/csl-citation.json"} </w:instrText>
      </w:r>
      <w:r w:rsidR="00186C79" w:rsidRPr="00421D1C">
        <w:rPr>
          <w:rFonts w:ascii="Times New Roman" w:hAnsi="Times New Roman" w:cs="Times New Roman"/>
          <w:sz w:val="24"/>
          <w:szCs w:val="24"/>
        </w:rPr>
        <w:fldChar w:fldCharType="separate"/>
      </w:r>
      <w:r w:rsidR="00186C79" w:rsidRPr="00421D1C">
        <w:rPr>
          <w:rFonts w:ascii="Times New Roman" w:hAnsi="Times New Roman" w:cs="Times New Roman"/>
          <w:sz w:val="24"/>
          <w:szCs w:val="24"/>
        </w:rPr>
        <w:t>(Davit-Spraul et al., 2009)</w:t>
      </w:r>
      <w:r w:rsidR="00186C79" w:rsidRPr="00421D1C">
        <w:rPr>
          <w:rFonts w:ascii="Times New Roman" w:hAnsi="Times New Roman" w:cs="Times New Roman"/>
          <w:sz w:val="24"/>
          <w:szCs w:val="24"/>
        </w:rPr>
        <w:fldChar w:fldCharType="end"/>
      </w:r>
      <w:r w:rsidR="00186C79" w:rsidRPr="00421D1C">
        <w:rPr>
          <w:rFonts w:ascii="Times New Roman" w:hAnsi="Times New Roman" w:cs="Times New Roman"/>
          <w:sz w:val="24"/>
          <w:szCs w:val="24"/>
        </w:rPr>
        <w:t xml:space="preserve">. </w:t>
      </w:r>
      <w:r w:rsidR="0001680F" w:rsidRPr="00421D1C">
        <w:rPr>
          <w:rFonts w:ascii="Times New Roman" w:hAnsi="Times New Roman" w:cs="Times New Roman"/>
          <w:sz w:val="24"/>
          <w:szCs w:val="24"/>
        </w:rPr>
        <w:t xml:space="preserve">PFIC3 patients with a higher concentration of </w:t>
      </w:r>
      <w:r w:rsidR="008534D7" w:rsidRPr="00421D1C">
        <w:rPr>
          <w:rFonts w:ascii="Times New Roman" w:hAnsi="Times New Roman" w:cs="Times New Roman"/>
          <w:sz w:val="24"/>
          <w:szCs w:val="24"/>
        </w:rPr>
        <w:t xml:space="preserve">remaining </w:t>
      </w:r>
      <w:r w:rsidR="0001680F" w:rsidRPr="00421D1C">
        <w:rPr>
          <w:rFonts w:ascii="Times New Roman" w:hAnsi="Times New Roman" w:cs="Times New Roman"/>
          <w:sz w:val="24"/>
          <w:szCs w:val="24"/>
        </w:rPr>
        <w:t>biliary PLs</w:t>
      </w:r>
      <w:r w:rsidR="008534D7" w:rsidRPr="00421D1C">
        <w:rPr>
          <w:rFonts w:ascii="Times New Roman" w:hAnsi="Times New Roman" w:cs="Times New Roman"/>
          <w:sz w:val="24"/>
          <w:szCs w:val="24"/>
        </w:rPr>
        <w:t xml:space="preserve"> (&gt;7% of total biliary lipids), </w:t>
      </w:r>
      <w:r w:rsidR="0001680F" w:rsidRPr="00421D1C">
        <w:rPr>
          <w:rFonts w:ascii="Times New Roman" w:hAnsi="Times New Roman" w:cs="Times New Roman"/>
          <w:sz w:val="24"/>
          <w:szCs w:val="24"/>
        </w:rPr>
        <w:t xml:space="preserve">and thus a </w:t>
      </w:r>
      <w:r w:rsidR="008534D7" w:rsidRPr="00421D1C">
        <w:rPr>
          <w:rFonts w:ascii="Times New Roman" w:hAnsi="Times New Roman" w:cs="Times New Roman"/>
          <w:sz w:val="24"/>
          <w:szCs w:val="24"/>
        </w:rPr>
        <w:t xml:space="preserve">relatively </w:t>
      </w:r>
      <w:r w:rsidR="0001680F" w:rsidRPr="00421D1C">
        <w:rPr>
          <w:rFonts w:ascii="Times New Roman" w:hAnsi="Times New Roman" w:cs="Times New Roman"/>
          <w:sz w:val="24"/>
          <w:szCs w:val="24"/>
        </w:rPr>
        <w:t>lower BA/PL ratio</w:t>
      </w:r>
      <w:r w:rsidR="008534D7" w:rsidRPr="00421D1C">
        <w:rPr>
          <w:rFonts w:ascii="Times New Roman" w:hAnsi="Times New Roman" w:cs="Times New Roman"/>
          <w:sz w:val="24"/>
          <w:szCs w:val="24"/>
        </w:rPr>
        <w:t>,</w:t>
      </w:r>
      <w:r w:rsidR="0001680F" w:rsidRPr="00421D1C">
        <w:rPr>
          <w:rFonts w:ascii="Times New Roman" w:hAnsi="Times New Roman" w:cs="Times New Roman"/>
          <w:sz w:val="24"/>
          <w:szCs w:val="24"/>
        </w:rPr>
        <w:t xml:space="preserve"> appear to respond better to </w:t>
      </w:r>
      <w:r w:rsidR="00061C2B" w:rsidRPr="00421D1C">
        <w:rPr>
          <w:rFonts w:ascii="Times New Roman" w:hAnsi="Times New Roman" w:cs="Times New Roman"/>
          <w:sz w:val="24"/>
          <w:szCs w:val="24"/>
        </w:rPr>
        <w:t>UDCA</w:t>
      </w:r>
      <w:r w:rsidR="0001680F" w:rsidRPr="00421D1C">
        <w:rPr>
          <w:rFonts w:ascii="Times New Roman" w:hAnsi="Times New Roman" w:cs="Times New Roman"/>
          <w:sz w:val="24"/>
          <w:szCs w:val="24"/>
        </w:rPr>
        <w:t xml:space="preserve"> therapy</w:t>
      </w:r>
      <w:r w:rsidR="008534D7" w:rsidRPr="00421D1C">
        <w:rPr>
          <w:rFonts w:ascii="Times New Roman" w:hAnsi="Times New Roman" w:cs="Times New Roman"/>
          <w:sz w:val="24"/>
          <w:szCs w:val="24"/>
        </w:rPr>
        <w:t xml:space="preserve"> </w:t>
      </w:r>
      <w:r w:rsidR="008534D7" w:rsidRPr="00421D1C">
        <w:rPr>
          <w:rFonts w:ascii="Times New Roman" w:hAnsi="Times New Roman" w:cs="Times New Roman"/>
          <w:sz w:val="24"/>
          <w:szCs w:val="24"/>
        </w:rPr>
        <w:fldChar w:fldCharType="begin"/>
      </w:r>
      <w:r w:rsidR="00E06F62" w:rsidRPr="00421D1C">
        <w:rPr>
          <w:rFonts w:ascii="Times New Roman" w:hAnsi="Times New Roman" w:cs="Times New Roman"/>
          <w:sz w:val="24"/>
          <w:szCs w:val="24"/>
        </w:rPr>
        <w:instrText xml:space="preserve"> ADDIN ZOTERO_ITEM CSL_CITATION {"citationID":"NWw5JEFE","properties":{"formattedCitation":"(Davit-Spraul et al., 2009)","plainCitation":"(Davit-Spraul et al., 2009)","noteIndex":0},"citationItems":[{"id":19270,"uris":["http://zotero.org/groups/425949/items/D3X7YW8F"],"itemData":{"id":19270,"type":"article-journal","abstract":"Progressive familial intrahepatic cholestasis (PFIC) refers to heterogeneous group of autosomal recessive disorders of childhood that disrupt bile formation and present with cholestasis of hepatocellular origin. The exact prevalence remains unknown, but the estimated incidence varies between 1/50,000 and 1/100,000 births. Three types of PFIC have been identified and related to mutations in hepatocellular transport system genes involved in bile formation. PFIC1 and PFIC2 usually appear in the first months of life, whereas onset of PFIC3 may also occur later in infancy, in childhood or even during young adulthood. Main clinical manifestations include cholestasis, pruritus and jaundice. PFIC patients usually develop fibrosis and end-stage liver disease before adulthood. Serum gamma-glutamyltransferase (GGT) activity is normal in PFIC1 and PFIC2 patients, but is elevated in PFIC3 patients. Both PFIC1 and PFIC2 are caused by impaired bile salt secretion due respectively to defects in ATP8B1 encoding the FIC1 protein, and in ABCB11 encoding the bile salt export pump protein (BSEP). Defects in ABCB4, encoding the multi-drug resistant 3 protein (MDR3), impair biliary phospholipid secretion resulting in PFIC3. Diagnosis is based on clinical manifestations, liver ultrasonography, cholangiography and liver histology, as well as on specific tests for excluding other causes of childhood cholestasis. MDR3 and BSEP liver immunostaining, and analysis of biliary lipid composition should help to select PFIC candidates in whom genotyping could be proposed to confirm the diagnosis. Antenatal diagnosis can be proposed for affected families in which a mutation has been identified. Ursodeoxycholic acid (UDCA) therapy should be initiated in all patients to prevent liver damage. In some PFIC1 or PFIC2 patients, biliary diversion can also relieve pruritus and slow disease progression. However, most PFIC patients are ultimately candidates for liver transplantation. Monitoring of hepatocellular carcinoma, especially in PFIC2 patients, should be offered from the first year of life. Hepatocyte transplantation, gene therapy or specific targeted pharmacotherapy may represent alternative treatments in the future.","container-title":"Orphanet Journal of Rare Diseases","DOI":"10.1186/1750-1172-4-1","ISSN":"1750-1172","journalAbbreviation":"Orphanet J Rare Dis","language":"eng","note":"PMID: 19133130\nPMCID: PMC2647530","page":"1","source":"PubMed","title":"Progressive familial intrahepatic cholestasis","volume":"4","author":[{"family":"Davit-Spraul","given":"Anne"},{"family":"Gonzales","given":"Emmanuel"},{"family":"Baussan","given":"Christiane"},{"family":"Jacquemin","given":"Emmanuel"}],"issued":{"date-parts":[["2009",1,8]]}}}],"schema":"https://github.com/citation-style-language/schema/raw/master/csl-citation.json"} </w:instrText>
      </w:r>
      <w:r w:rsidR="008534D7" w:rsidRPr="00421D1C">
        <w:rPr>
          <w:rFonts w:ascii="Times New Roman" w:hAnsi="Times New Roman" w:cs="Times New Roman"/>
          <w:sz w:val="24"/>
          <w:szCs w:val="24"/>
        </w:rPr>
        <w:fldChar w:fldCharType="separate"/>
      </w:r>
      <w:r w:rsidR="008534D7" w:rsidRPr="00421D1C">
        <w:rPr>
          <w:rFonts w:ascii="Times New Roman" w:hAnsi="Times New Roman" w:cs="Times New Roman"/>
          <w:sz w:val="24"/>
          <w:szCs w:val="24"/>
        </w:rPr>
        <w:t>(Davit-Spraul et al., 2009)</w:t>
      </w:r>
      <w:r w:rsidR="008534D7" w:rsidRPr="00421D1C">
        <w:rPr>
          <w:rFonts w:ascii="Times New Roman" w:hAnsi="Times New Roman" w:cs="Times New Roman"/>
          <w:sz w:val="24"/>
          <w:szCs w:val="24"/>
        </w:rPr>
        <w:fldChar w:fldCharType="end"/>
      </w:r>
      <w:r w:rsidR="00186C79" w:rsidRPr="00421D1C">
        <w:rPr>
          <w:rFonts w:ascii="Times New Roman" w:hAnsi="Times New Roman" w:cs="Times New Roman"/>
          <w:sz w:val="24"/>
          <w:szCs w:val="24"/>
        </w:rPr>
        <w:t xml:space="preserve">, which is a promising treatment for some cholestatic disorders, having shown clinically beneficial effects in </w:t>
      </w:r>
      <w:r w:rsidR="006F3211" w:rsidRPr="00421D1C">
        <w:rPr>
          <w:rFonts w:ascii="Times New Roman" w:hAnsi="Times New Roman" w:cs="Times New Roman"/>
          <w:sz w:val="24"/>
          <w:szCs w:val="24"/>
        </w:rPr>
        <w:t>primary biliary cholangitis (</w:t>
      </w:r>
      <w:r w:rsidR="00186C79" w:rsidRPr="00421D1C">
        <w:rPr>
          <w:rFonts w:ascii="Times New Roman" w:hAnsi="Times New Roman" w:cs="Times New Roman"/>
          <w:sz w:val="24"/>
          <w:szCs w:val="24"/>
        </w:rPr>
        <w:t>PBC</w:t>
      </w:r>
      <w:r w:rsidR="006F3211" w:rsidRPr="00421D1C">
        <w:rPr>
          <w:rFonts w:ascii="Times New Roman" w:hAnsi="Times New Roman" w:cs="Times New Roman"/>
          <w:sz w:val="24"/>
          <w:szCs w:val="24"/>
        </w:rPr>
        <w:t>)</w:t>
      </w:r>
      <w:r w:rsidR="00186C79" w:rsidRPr="00421D1C">
        <w:rPr>
          <w:rFonts w:ascii="Times New Roman" w:hAnsi="Times New Roman" w:cs="Times New Roman"/>
          <w:sz w:val="24"/>
          <w:szCs w:val="24"/>
        </w:rPr>
        <w:t xml:space="preserve">, but unfortunately not in </w:t>
      </w:r>
      <w:r w:rsidR="006F3211" w:rsidRPr="00421D1C">
        <w:rPr>
          <w:rFonts w:ascii="Times New Roman" w:hAnsi="Times New Roman" w:cs="Times New Roman"/>
          <w:sz w:val="24"/>
          <w:szCs w:val="24"/>
        </w:rPr>
        <w:t>primary sclerosing cholangitis (</w:t>
      </w:r>
      <w:r w:rsidR="00186C79" w:rsidRPr="00421D1C">
        <w:rPr>
          <w:rFonts w:ascii="Times New Roman" w:hAnsi="Times New Roman" w:cs="Times New Roman"/>
          <w:sz w:val="24"/>
          <w:szCs w:val="24"/>
        </w:rPr>
        <w:t>PSC</w:t>
      </w:r>
      <w:r w:rsidR="006F3211" w:rsidRPr="00421D1C">
        <w:rPr>
          <w:rFonts w:ascii="Times New Roman" w:hAnsi="Times New Roman" w:cs="Times New Roman"/>
          <w:sz w:val="24"/>
          <w:szCs w:val="24"/>
        </w:rPr>
        <w:t>)</w:t>
      </w:r>
      <w:r w:rsidR="00186C79" w:rsidRPr="00421D1C">
        <w:rPr>
          <w:rFonts w:ascii="Times New Roman" w:hAnsi="Times New Roman" w:cs="Times New Roman"/>
          <w:sz w:val="24"/>
          <w:szCs w:val="24"/>
        </w:rPr>
        <w:t xml:space="preserve"> </w:t>
      </w:r>
      <w:r w:rsidR="00186C79" w:rsidRPr="00421D1C">
        <w:rPr>
          <w:rFonts w:ascii="Times New Roman" w:hAnsi="Times New Roman" w:cs="Times New Roman"/>
          <w:sz w:val="24"/>
          <w:szCs w:val="24"/>
        </w:rPr>
        <w:fldChar w:fldCharType="begin"/>
      </w:r>
      <w:r w:rsidR="00E06F62" w:rsidRPr="00421D1C">
        <w:rPr>
          <w:rFonts w:ascii="Times New Roman" w:hAnsi="Times New Roman" w:cs="Times New Roman"/>
          <w:sz w:val="24"/>
          <w:szCs w:val="24"/>
        </w:rPr>
        <w:instrText xml:space="preserve"> ADDIN ZOTERO_ITEM CSL_CITATION {"citationID":"QqaWKSbV","properties":{"formattedCitation":"(Ali et al., 2017)","plainCitation":"(Ali et al., 2017)","noteIndex":0},"citationItems":[{"id":19050,"uris":["http://zotero.org/groups/425949/items/3FEKNZIA"],"itemData":{"id":19050,"type":"article-journal","abstract":"Cholestatic liver diseases are conditions with impaired bile formation and/or flow due to genetic, immunologic, environmental, or other causes. Unless successfully treated, this can lead to chronic liver injury and end-stage liver disease. Primary biliary cholangitis (PBC) and primary sclerosing cholangitis (PSC) embody the most prominent adult cholestatic liver diseases with regard to incidence, morbidity, and mortality. A considerable proportion of patients with PBC and PSC experience progressive liver disease and ultimately liver-related death due to a paucity of effective pharmacotherapy; however, novel pharmacologic developments offer substantial promise in this regard. Here, we provide a brief review and update on current and emerging pharmacotherapies for PBC and PSC. (Hepatology Communications 2017;1:7-17).","container-title":"Hepatology Communications","DOI":"10.1002/hep4.1013","ISSN":"2471-254X","issue":"1","journalAbbreviation":"Hepatol Commun","language":"eng","note":"PMID: 29404429\nPMCID: PMC5747033","page":"7-17","source":"PubMed","title":"Update on pharmacotherapies for cholestatic liver disease","volume":"1","author":[{"family":"Ali","given":"Ahmad H."},{"family":"Tabibian","given":"James H."},{"family":"Lindor","given":"Keith D."}],"issued":{"date-parts":[["2017",2]]}}}],"schema":"https://github.com/citation-style-language/schema/raw/master/csl-citation.json"} </w:instrText>
      </w:r>
      <w:r w:rsidR="00186C79" w:rsidRPr="00421D1C">
        <w:rPr>
          <w:rFonts w:ascii="Times New Roman" w:hAnsi="Times New Roman" w:cs="Times New Roman"/>
          <w:sz w:val="24"/>
          <w:szCs w:val="24"/>
        </w:rPr>
        <w:fldChar w:fldCharType="separate"/>
      </w:r>
      <w:r w:rsidR="00186C79" w:rsidRPr="00421D1C">
        <w:rPr>
          <w:rFonts w:ascii="Times New Roman" w:hAnsi="Times New Roman" w:cs="Times New Roman"/>
          <w:sz w:val="24"/>
          <w:szCs w:val="24"/>
        </w:rPr>
        <w:t>(Ali et al., 2017)</w:t>
      </w:r>
      <w:r w:rsidR="00186C79" w:rsidRPr="00421D1C">
        <w:rPr>
          <w:rFonts w:ascii="Times New Roman" w:hAnsi="Times New Roman" w:cs="Times New Roman"/>
          <w:sz w:val="24"/>
          <w:szCs w:val="24"/>
        </w:rPr>
        <w:fldChar w:fldCharType="end"/>
      </w:r>
      <w:r w:rsidR="00186C79" w:rsidRPr="00421D1C">
        <w:rPr>
          <w:rFonts w:ascii="Times New Roman" w:hAnsi="Times New Roman" w:cs="Times New Roman"/>
          <w:sz w:val="24"/>
          <w:szCs w:val="24"/>
        </w:rPr>
        <w:t xml:space="preserve">. </w:t>
      </w:r>
    </w:p>
    <w:p w14:paraId="6ABCD616" w14:textId="46B144FB" w:rsidR="00890FBD" w:rsidRPr="00421D1C" w:rsidRDefault="00890FBD" w:rsidP="00421D1C">
      <w:pPr>
        <w:jc w:val="both"/>
        <w:rPr>
          <w:rFonts w:ascii="Times New Roman" w:hAnsi="Times New Roman" w:cs="Times New Roman"/>
          <w:i/>
          <w:iCs/>
          <w:sz w:val="24"/>
          <w:szCs w:val="24"/>
        </w:rPr>
      </w:pPr>
      <w:r w:rsidRPr="00421D1C">
        <w:rPr>
          <w:rFonts w:ascii="Times New Roman" w:hAnsi="Times New Roman" w:cs="Times New Roman"/>
          <w:i/>
          <w:iCs/>
          <w:sz w:val="24"/>
          <w:szCs w:val="24"/>
        </w:rPr>
        <w:t>Cholehepatic shunting of bile acids</w:t>
      </w:r>
    </w:p>
    <w:p w14:paraId="5E65A9C9" w14:textId="3452F246" w:rsidR="00E608A7" w:rsidRPr="00421D1C" w:rsidRDefault="00014988" w:rsidP="00421D1C">
      <w:pPr>
        <w:jc w:val="both"/>
        <w:rPr>
          <w:rFonts w:ascii="Times New Roman" w:hAnsi="Times New Roman" w:cs="Times New Roman"/>
          <w:sz w:val="24"/>
          <w:szCs w:val="24"/>
        </w:rPr>
      </w:pPr>
      <w:r w:rsidRPr="00421D1C">
        <w:rPr>
          <w:rFonts w:ascii="Times New Roman" w:hAnsi="Times New Roman" w:cs="Times New Roman"/>
          <w:sz w:val="24"/>
          <w:szCs w:val="24"/>
        </w:rPr>
        <w:t>C</w:t>
      </w:r>
      <w:r w:rsidR="00CF3FD7" w:rsidRPr="00421D1C">
        <w:rPr>
          <w:rFonts w:ascii="Times New Roman" w:hAnsi="Times New Roman" w:cs="Times New Roman"/>
          <w:sz w:val="24"/>
          <w:szCs w:val="24"/>
        </w:rPr>
        <w:t xml:space="preserve">holehepatic shunting likely involves both passive diffusion and </w:t>
      </w:r>
      <w:proofErr w:type="spellStart"/>
      <w:r w:rsidR="00CF3FD7" w:rsidRPr="00421D1C">
        <w:rPr>
          <w:rFonts w:ascii="Times New Roman" w:hAnsi="Times New Roman" w:cs="Times New Roman"/>
          <w:sz w:val="24"/>
          <w:szCs w:val="24"/>
        </w:rPr>
        <w:t>cholangioc</w:t>
      </w:r>
      <w:r w:rsidR="00442198" w:rsidRPr="00421D1C">
        <w:rPr>
          <w:rFonts w:ascii="Times New Roman" w:hAnsi="Times New Roman" w:cs="Times New Roman"/>
          <w:sz w:val="24"/>
          <w:szCs w:val="24"/>
        </w:rPr>
        <w:t>ellular</w:t>
      </w:r>
      <w:proofErr w:type="spellEnd"/>
      <w:r w:rsidR="00CF3FD7" w:rsidRPr="00421D1C">
        <w:rPr>
          <w:rFonts w:ascii="Times New Roman" w:hAnsi="Times New Roman" w:cs="Times New Roman"/>
          <w:sz w:val="24"/>
          <w:szCs w:val="24"/>
        </w:rPr>
        <w:t xml:space="preserve"> transport</w:t>
      </w:r>
      <w:r w:rsidR="009045F4" w:rsidRPr="00421D1C">
        <w:rPr>
          <w:rFonts w:ascii="Times New Roman" w:hAnsi="Times New Roman" w:cs="Times New Roman"/>
          <w:sz w:val="24"/>
          <w:szCs w:val="24"/>
        </w:rPr>
        <w:t xml:space="preserve"> processes</w:t>
      </w:r>
      <w:r w:rsidR="00442198" w:rsidRPr="00421D1C">
        <w:rPr>
          <w:rFonts w:ascii="Times New Roman" w:hAnsi="Times New Roman" w:cs="Times New Roman"/>
          <w:sz w:val="24"/>
          <w:szCs w:val="24"/>
        </w:rPr>
        <w:t>.</w:t>
      </w:r>
      <w:r w:rsidR="00F07767" w:rsidRPr="00421D1C">
        <w:rPr>
          <w:rFonts w:ascii="Times New Roman" w:hAnsi="Times New Roman" w:cs="Times New Roman"/>
          <w:sz w:val="24"/>
          <w:szCs w:val="24"/>
        </w:rPr>
        <w:t xml:space="preserve"> Investigations in rats suggest that</w:t>
      </w:r>
      <w:r w:rsidR="00442198" w:rsidRPr="00421D1C">
        <w:rPr>
          <w:rFonts w:ascii="Times New Roman" w:hAnsi="Times New Roman" w:cs="Times New Roman"/>
          <w:sz w:val="24"/>
          <w:szCs w:val="24"/>
        </w:rPr>
        <w:t xml:space="preserve"> BA transporters that play a role in BA transport in hepatocytes and/or intestinal cells </w:t>
      </w:r>
      <w:r w:rsidR="00F07767" w:rsidRPr="00421D1C">
        <w:rPr>
          <w:rFonts w:ascii="Times New Roman" w:hAnsi="Times New Roman" w:cs="Times New Roman"/>
          <w:sz w:val="24"/>
          <w:szCs w:val="24"/>
        </w:rPr>
        <w:t xml:space="preserve">are also expressed in </w:t>
      </w:r>
      <w:r w:rsidR="00442198" w:rsidRPr="00421D1C">
        <w:rPr>
          <w:rFonts w:ascii="Times New Roman" w:hAnsi="Times New Roman" w:cs="Times New Roman"/>
          <w:sz w:val="24"/>
          <w:szCs w:val="24"/>
        </w:rPr>
        <w:t>cholangiocytes</w:t>
      </w:r>
      <w:r w:rsidR="00725F37" w:rsidRPr="00421D1C">
        <w:rPr>
          <w:rFonts w:ascii="Times New Roman" w:hAnsi="Times New Roman" w:cs="Times New Roman"/>
          <w:sz w:val="24"/>
          <w:szCs w:val="24"/>
        </w:rPr>
        <w:t xml:space="preserve"> </w:t>
      </w:r>
      <w:r w:rsidR="00725F37" w:rsidRPr="00421D1C">
        <w:rPr>
          <w:rFonts w:ascii="Times New Roman" w:hAnsi="Times New Roman" w:cs="Times New Roman"/>
          <w:sz w:val="24"/>
          <w:szCs w:val="24"/>
        </w:rPr>
        <w:fldChar w:fldCharType="begin"/>
      </w:r>
      <w:r w:rsidR="00E06F62" w:rsidRPr="00421D1C">
        <w:rPr>
          <w:rFonts w:ascii="Times New Roman" w:hAnsi="Times New Roman" w:cs="Times New Roman"/>
          <w:sz w:val="24"/>
          <w:szCs w:val="24"/>
        </w:rPr>
        <w:instrText xml:space="preserve"> ADDIN ZOTERO_ITEM CSL_CITATION {"citationID":"PJhwExxV","properties":{"formattedCitation":"(Benedetti et al., 1997; Kagawa, 2017; Banales et al., 2019)","plainCitation":"(Benedetti et al., 1997; Kagawa, 2017; Banales et al., 2019)","noteIndex":0},"citationItems":[{"id":19032,"uris":["http://zotero.org/groups/425949/items/R2S7JQMS"],"itemData":{"id":19032,"type":"article-journal","abstract":"When secreted into bile, unconjugated dihydroxy bile acids are absorbed passively by cholangiocytes according to the cholehepatic circulation hypothesis. A fraction of these are likely to be conjugated during transcellular transport. Experiments were performed using fluorescent conjugated bile acids to test whether carrier-mediated transport of conjugated bile acids is present in the basolateral domains of polarized cholangiocytes of intrahepatic bile ductules isolated from rat liver. The time course of the cellular localization of cholyl-NBDAB-Gly and chenodeoxycholyl-NBDAB-Gly, which are anionic fluorescent derivatives of the corresponding glycine-conjugated bile acids, was characterized using an image-analysis system. With 0.3-3 microM solutions, fluorescence was present at 1 and 3 min in the basolateral area of cholangiocytes. Staining in the apical region occurred later, with a peak after 15 min of incubation. The basolateral uptake of the two fluorescent bile acids was temperature dependent and Na+ independent, and was not influenced by the addition of amiloride, by lowering of the medium pH to 6.0, or by preincubation with valinomycin. Uptake was partially inhibited by the absence of Cl- or HCO3- in the perfusate, by preincubation with 4,4'-diisothiocyanostilbene-2,2'-disulfonic acid (DIDS), and by the presence of different organic anions or unconjugated and conjugated bile acids in the medium. When cells were preloaded with an ethyl ester of chenodeoxycholyl-NBDAB-Gly, which is hydrolyzed by intracellular esterases, the decrease of cell fluorescence was partly inhibited by H2DIDS, whereas it was stimulated by the presence of 20 microM cholyltaurine in the medium. It is concluded that transport of conjugated bile acid anions across the basolateral membrane of the polarized rat cholangiocyte is carrier mediated. The conjugated bile acid transporter is likely to be an anion exchanger and is likely to be involved in bile secretion whenever conjugated bile acids or other organic anions are transported from the base of the biliary ductular epithelial cells into the plasma of the periductular capillary plexus.","container-title":"The American Journal of Physiology","DOI":"10.1152/ajpgi.1997.272.6.G1416","ISSN":"0002-9513","issue":"6 Pt 1","journalAbbreviation":"Am J Physiol","language":"eng","note":"PMID: 9227477","page":"G1416-1424","source":"PubMed","title":"Carrier-mediated transport of conjugated bile acids across the basolateral membrane of biliary epithelial cells","volume":"272","author":[{"family":"Benedetti","given":"A."},{"family":"Di Sario","given":"A."},{"family":"Marucci","given":"L."},{"family":"Svegliati-Baroni","given":"G."},{"family":"Schteingart","given":"C. D."},{"family":"Ton-Nu","given":"H. T."},{"family":"Hofmann","given":"A. F."}],"issued":{"date-parts":[["1997",6]]}}},{"id":19313,"uris":["http://zotero.org/groups/425949/items/AYY8JT8A"],"itemData":{"id":19313,"type":"chapter","container-title":"Bile Acids in Gastroenterology","event-place":"Tokyo","ISBN":"978-4-431-56060-9","language":"en","note":"DOI: 10.1007/978-4-431-56062-3_2","page":"9-25","publisher":"Springer Japan","publisher-place":"Tokyo","source":"DOI.org (Crossref)","title":"Hepatobiliary Transport of Bile Acids","URL":"http://link.springer.com/10.1007/978-4-431-56062-3_2","editor":[{"family":"Tazuma","given":"Susumu"},{"family":"Takikawa","given":"Hajime"}],"author":[{"family":"Kagawa","given":"Tatehiro"}],"accessed":{"date-parts":[["2022",10,2]]},"issued":{"date-parts":[["2017"]]}}},{"id":19034,"uris":["http://zotero.org/groups/425949/items/PM3EVRHW"],"itemData":{"id":19034,"type":"article-journal","abstract":"Cholangiocytes, the epithelial cells lining the intrahepatic and extrahepatic bile ducts, are highly specialized cells residing in a complex anatomic niche where they participate in bile production and homeostasis. Cholangiocytes are damaged in a variety of human diseases termed cholangiopathies, often causing advanced liver failure. The regulation of cholangiocyte transport properties is increasingly understood, as is their anatomical and functional heterogeneity along the biliary tract. Furthermore, cholangiocytes are pivotal in liver regeneration, especially when hepatocyte regeneration is compromised. The role of cholangiocytes in innate and adaptive immune responses, a critical subject relevant to immune-mediated cholangiopathies, is also emerging. Finally, reactive ductular cells are present in many cholestatic and other liver diseases. In chronic disease states, this repair response contributes to liver inflammation, fibrosis and carcinogenesis and is a subject of intense investigation. This Review highlights advances in cholangiocyte research, especially their role in development and liver regeneration, their functional and biochemical heterogeneity, their activation and involvement in inflammation and fibrosis and their engagement with the immune system. We aim to focus further attention on cholangiocyte pathobiology and the search for new disease-modifying therapies targeting the cholangiopathies.","container-title":"Nature Reviews. Gastroenterology &amp; Hepatology","DOI":"10.1038/s41575-019-0125-y","ISSN":"1759-5053","issue":"5","journalAbbreviation":"Nat Rev Gastroenterol Hepatol","language":"eng","note":"PMID: 30850822\nPMCID: PMC6563606","page":"269-281","source":"PubMed","title":"Cholangiocyte pathobiology","volume":"16","author":[{"family":"Banales","given":"Jesus M."},{"family":"Huebert","given":"Robert C."},{"family":"Karlsen","given":"Tom"},{"family":"Strazzabosco","given":"Mario"},{"family":"LaRusso","given":"Nicholas F."},{"family":"Gores","given":"Gregory J."}],"issued":{"date-parts":[["2019",5]]}}}],"schema":"https://github.com/citation-style-language/schema/raw/master/csl-citation.json"} </w:instrText>
      </w:r>
      <w:r w:rsidR="00725F37" w:rsidRPr="00421D1C">
        <w:rPr>
          <w:rFonts w:ascii="Times New Roman" w:hAnsi="Times New Roman" w:cs="Times New Roman"/>
          <w:sz w:val="24"/>
          <w:szCs w:val="24"/>
        </w:rPr>
        <w:fldChar w:fldCharType="separate"/>
      </w:r>
      <w:r w:rsidR="00EF5961" w:rsidRPr="00421D1C">
        <w:rPr>
          <w:rFonts w:ascii="Times New Roman" w:hAnsi="Times New Roman" w:cs="Times New Roman"/>
          <w:sz w:val="24"/>
          <w:szCs w:val="24"/>
        </w:rPr>
        <w:t>(Benedetti et al., 1997; Kagawa, 2017; Banales et al., 2019)</w:t>
      </w:r>
      <w:r w:rsidR="00725F37" w:rsidRPr="00421D1C">
        <w:rPr>
          <w:rFonts w:ascii="Times New Roman" w:hAnsi="Times New Roman" w:cs="Times New Roman"/>
          <w:sz w:val="24"/>
          <w:szCs w:val="24"/>
        </w:rPr>
        <w:fldChar w:fldCharType="end"/>
      </w:r>
      <w:r w:rsidR="00F07767" w:rsidRPr="00421D1C">
        <w:rPr>
          <w:rFonts w:ascii="Times New Roman" w:hAnsi="Times New Roman" w:cs="Times New Roman"/>
          <w:sz w:val="24"/>
          <w:szCs w:val="24"/>
        </w:rPr>
        <w:t xml:space="preserve">. These include </w:t>
      </w:r>
      <w:r w:rsidR="00442198" w:rsidRPr="00421D1C">
        <w:rPr>
          <w:rFonts w:ascii="Times New Roman" w:hAnsi="Times New Roman" w:cs="Times New Roman"/>
          <w:sz w:val="24"/>
          <w:szCs w:val="24"/>
        </w:rPr>
        <w:t xml:space="preserve">ASBT on the apical membrane, </w:t>
      </w:r>
      <w:r w:rsidR="009045F4" w:rsidRPr="00421D1C">
        <w:rPr>
          <w:rFonts w:ascii="Times New Roman" w:hAnsi="Times New Roman" w:cs="Times New Roman"/>
          <w:sz w:val="24"/>
          <w:szCs w:val="24"/>
        </w:rPr>
        <w:t>and MRP3</w:t>
      </w:r>
      <w:r w:rsidR="008334C3" w:rsidRPr="00421D1C">
        <w:rPr>
          <w:rFonts w:ascii="Times New Roman" w:hAnsi="Times New Roman" w:cs="Times New Roman"/>
          <w:sz w:val="24"/>
          <w:szCs w:val="24"/>
        </w:rPr>
        <w:t xml:space="preserve">, </w:t>
      </w:r>
      <w:r w:rsidR="009045F4" w:rsidRPr="00421D1C">
        <w:rPr>
          <w:rFonts w:ascii="Times New Roman" w:hAnsi="Times New Roman" w:cs="Times New Roman"/>
          <w:sz w:val="24"/>
          <w:szCs w:val="24"/>
        </w:rPr>
        <w:t>OSTα/β</w:t>
      </w:r>
      <w:r w:rsidR="008334C3" w:rsidRPr="00421D1C">
        <w:rPr>
          <w:rFonts w:ascii="Times New Roman" w:hAnsi="Times New Roman" w:cs="Times New Roman"/>
          <w:sz w:val="24"/>
          <w:szCs w:val="24"/>
        </w:rPr>
        <w:t xml:space="preserve"> and a truncated form of ASBT (t-ASBT)</w:t>
      </w:r>
      <w:r w:rsidR="009045F4" w:rsidRPr="00421D1C">
        <w:rPr>
          <w:rFonts w:ascii="Times New Roman" w:hAnsi="Times New Roman" w:cs="Times New Roman"/>
          <w:sz w:val="24"/>
          <w:szCs w:val="24"/>
        </w:rPr>
        <w:t xml:space="preserve"> on the basolateral membrane, providing the transporter</w:t>
      </w:r>
      <w:r w:rsidR="008E710E" w:rsidRPr="00421D1C">
        <w:rPr>
          <w:rFonts w:ascii="Times New Roman" w:hAnsi="Times New Roman" w:cs="Times New Roman"/>
          <w:sz w:val="24"/>
          <w:szCs w:val="24"/>
        </w:rPr>
        <w:t xml:space="preserve"> repertoir</w:t>
      </w:r>
      <w:r w:rsidR="00534C87" w:rsidRPr="00421D1C">
        <w:rPr>
          <w:rFonts w:ascii="Times New Roman" w:hAnsi="Times New Roman" w:cs="Times New Roman"/>
          <w:sz w:val="24"/>
          <w:szCs w:val="24"/>
        </w:rPr>
        <w:t xml:space="preserve">e </w:t>
      </w:r>
      <w:r w:rsidR="009045F4" w:rsidRPr="00421D1C">
        <w:rPr>
          <w:rFonts w:ascii="Times New Roman" w:hAnsi="Times New Roman" w:cs="Times New Roman"/>
          <w:sz w:val="24"/>
          <w:szCs w:val="24"/>
        </w:rPr>
        <w:t>needed for vectorial transport</w:t>
      </w:r>
      <w:r w:rsidR="008334C3" w:rsidRPr="00421D1C">
        <w:rPr>
          <w:rFonts w:ascii="Times New Roman" w:hAnsi="Times New Roman" w:cs="Times New Roman"/>
          <w:sz w:val="24"/>
          <w:szCs w:val="24"/>
        </w:rPr>
        <w:t xml:space="preserve"> of conjugated BAs</w:t>
      </w:r>
      <w:r w:rsidR="009045F4" w:rsidRPr="00421D1C">
        <w:rPr>
          <w:rFonts w:ascii="Times New Roman" w:hAnsi="Times New Roman" w:cs="Times New Roman"/>
          <w:sz w:val="24"/>
          <w:szCs w:val="24"/>
        </w:rPr>
        <w:t xml:space="preserve"> across the cholangiocyte plasma membrane from bile to </w:t>
      </w:r>
      <w:r w:rsidR="00E608A7" w:rsidRPr="00421D1C">
        <w:rPr>
          <w:rFonts w:ascii="Times New Roman" w:hAnsi="Times New Roman" w:cs="Times New Roman"/>
          <w:sz w:val="24"/>
          <w:szCs w:val="24"/>
        </w:rPr>
        <w:t xml:space="preserve">the blood of </w:t>
      </w:r>
      <w:r w:rsidR="00534C87" w:rsidRPr="00421D1C">
        <w:rPr>
          <w:rFonts w:ascii="Times New Roman" w:hAnsi="Times New Roman" w:cs="Times New Roman"/>
          <w:sz w:val="24"/>
          <w:szCs w:val="24"/>
        </w:rPr>
        <w:t xml:space="preserve">the </w:t>
      </w:r>
      <w:r w:rsidR="00E608A7" w:rsidRPr="00421D1C">
        <w:rPr>
          <w:rFonts w:ascii="Times New Roman" w:hAnsi="Times New Roman" w:cs="Times New Roman"/>
          <w:sz w:val="24"/>
          <w:szCs w:val="24"/>
        </w:rPr>
        <w:t>peribiliary plexus</w:t>
      </w:r>
      <w:r w:rsidR="008334C3" w:rsidRPr="00421D1C">
        <w:rPr>
          <w:rFonts w:ascii="Times New Roman" w:hAnsi="Times New Roman" w:cs="Times New Roman"/>
          <w:sz w:val="24"/>
          <w:szCs w:val="24"/>
        </w:rPr>
        <w:t xml:space="preserve"> </w:t>
      </w:r>
      <w:r w:rsidR="008334C3" w:rsidRPr="00421D1C">
        <w:rPr>
          <w:rFonts w:ascii="Times New Roman" w:hAnsi="Times New Roman" w:cs="Times New Roman"/>
          <w:sz w:val="24"/>
          <w:szCs w:val="24"/>
        </w:rPr>
        <w:fldChar w:fldCharType="begin"/>
      </w:r>
      <w:r w:rsidR="00E06F62" w:rsidRPr="00421D1C">
        <w:rPr>
          <w:rFonts w:ascii="Times New Roman" w:hAnsi="Times New Roman" w:cs="Times New Roman"/>
          <w:sz w:val="24"/>
          <w:szCs w:val="24"/>
        </w:rPr>
        <w:instrText xml:space="preserve"> ADDIN ZOTERO_ITEM CSL_CITATION {"citationID":"ApiDwQNI","properties":{"formattedCitation":"(Xia et al., 2006; Arab et al., 2017)","plainCitation":"(Xia et al., 2006; Arab et al., 2017)","noteIndex":0},"citationItems":[{"id":19306,"uris":["http://zotero.org/groups/425949/items/DKLY5YVJ"],"itemData":{"id":19306,"type":"article-journal","abstract":"Cholangiocytes are exposed to high concentrations of bile acids at their apical membrane. A selective transporter for bile acids, the Apical Sodium Bile Acid Cotransporter (ASBT) (also referred to as Ibat; gene name Slc10a2) is localized on the cholangiocyte apical membrane. On the basolateral membrane, four transport systems have been identified (t-ASBT, multidrug resistance (MDR)3, an unidentified anion exchanger system and organic solute transporter (Ost) heteromeric transporter, Ostalpha-Ostbeta. Together, these transporters unidirectionally move bile acids from ductal bile to the circulation. Bile acids absorbed by cholangiocytes recycle via the peribiliary plexus back to hepatocytes for re-secretion into bile. This recycling of bile acids between hepatocytes and cholangiocytes is referred to as the cholehepatic shunt pathway. Recent studies suggest that the cholehepatic shunt pathway may contribute in overall hepatobiliary transport of bile acids and to the adaptation to chronic cholestasis due to extrahepatic obstruction. ASBT is acutely regulated by an adenosine 3', 5'-monophosphate (cAMP)-dependent translocation to the apical membrane and by phosphorylation-dependent ubiquitination and proteasome degradation. ASBT is chronically regulated by changes in gene expression in response to biliary bile acid concentration and inflammatory cytokines. Another potential function of cholangiocyte ASBT is to allow cholangiocytes to sample biliary bile acids in order to activate intracellular signaling pathways. Bile acids trigger changes in intracellular calcium, protein kinase C (PKC), phosphoinositide 3-kinase (PI3K), mitogen-activated protein (MAP) kinase and extracellular signal-regulated protein kinase (ERK) intracellular signals. Bile acids significantly alter cholangiocyte secretion, proliferation and survival. Different bile acids have differential effects on cholangiocyte intracellular signals, and in some instances trigger opposing effects on cholangiocyte secretion, proliferation and survival. Based upon these concepts and observations, the cholangiocyte has been proposed to be the principle target cell for bile acids in the liver.","container-title":"World Journal of Gastroenterology","DOI":"10.3748/wjg.v12.i22.3553","ISSN":"1007-9327","issue":"22","journalAbbreviation":"World J Gastroenterol","language":"eng","note":"PMID: 16773712\nPMCID: PMC4087571","page":"3553-3563","source":"PubMed","title":"Bile acid interactions with cholangiocytes","volume":"12","author":[{"family":"Xia","given":"Xuefeng"},{"family":"Francis","given":"Heather"},{"family":"Glaser","given":"Shannon"},{"family":"Alpini","given":"Gianfranco"},{"family":"LeSage","given":"Gene"}],"issued":{"date-parts":[["2006",6,14]]}}},{"id":19037,"uris":["http://zotero.org/groups/425949/items/EPFKI27L"],"itemData":{"id":19037,"type":"article-journal","abstract":"Bile acids (BA) are key molecules in generating bile flow, which is an essential function of the liver. In the last decades there have been great advances in the understanding of the role of a number of specific transport proteins present at the sinusoidal and canalicular membrane domains of hepatocytes and cholangiocytes in generating and maintaining bile flow. Also, a clearer understanding on how BA regulate their own synthesis and the expression and/or function of transporters has been reached. This new knowledge has helped to better delineate the pathophysiology of cholestasis and the adaptive responses of hepatocytes to cholestatic liver injury as well as of the mechanisms of injury of biliary epithelia. In this context, therapeutic approaches including new hydrophilic BA such as the conjugation-resistant nor- ursodeoxycholic acid, nuclear receptors (FXR, PPAR-alpha) agonists, FGF19 analogues, inhibitors of the apical sodium-dependent bile acid transporter [ASBT] and modulators of the inflammatory cascade triggered by BAs are being studied as novel treatments of cholestasis. In the present review we summarize recent experimental and clinical data on the role of BAs in cholestasis and its treatment.","container-title":"Annals of Hepatology","DOI":"10.5604/01.3001.0010.5497","ISSN":"1665-2681","issue":"Suppl. 1: s3-105.","journalAbbreviation":"Ann Hepatol","language":"eng","note":"PMID: 29080340","page":"s53-s57","source":"PubMed","title":"Bile Acids in Cholestasis and its Treatment","volume":"16","author":[{"family":"Arab","given":"Juan Pablo"},{"family":"Cabrera","given":"Daniel"},{"family":"Arrese","given":"Marco"}],"issued":{"date-parts":[["2017",11]]}}}],"schema":"https://github.com/citation-style-language/schema/raw/master/csl-citation.json"} </w:instrText>
      </w:r>
      <w:r w:rsidR="008334C3" w:rsidRPr="00421D1C">
        <w:rPr>
          <w:rFonts w:ascii="Times New Roman" w:hAnsi="Times New Roman" w:cs="Times New Roman"/>
          <w:sz w:val="24"/>
          <w:szCs w:val="24"/>
        </w:rPr>
        <w:fldChar w:fldCharType="separate"/>
      </w:r>
      <w:r w:rsidR="002F064A" w:rsidRPr="00421D1C">
        <w:rPr>
          <w:rFonts w:ascii="Times New Roman" w:hAnsi="Times New Roman" w:cs="Times New Roman"/>
          <w:sz w:val="24"/>
          <w:szCs w:val="24"/>
        </w:rPr>
        <w:t xml:space="preserve">(Xia et al., 2006; Arab et al., </w:t>
      </w:r>
      <w:r w:rsidR="002F064A" w:rsidRPr="00421D1C">
        <w:rPr>
          <w:rFonts w:ascii="Times New Roman" w:hAnsi="Times New Roman" w:cs="Times New Roman"/>
          <w:sz w:val="24"/>
          <w:szCs w:val="24"/>
        </w:rPr>
        <w:lastRenderedPageBreak/>
        <w:t>2017)</w:t>
      </w:r>
      <w:r w:rsidR="008334C3" w:rsidRPr="00421D1C">
        <w:rPr>
          <w:rFonts w:ascii="Times New Roman" w:hAnsi="Times New Roman" w:cs="Times New Roman"/>
          <w:sz w:val="24"/>
          <w:szCs w:val="24"/>
        </w:rPr>
        <w:fldChar w:fldCharType="end"/>
      </w:r>
      <w:r w:rsidR="009045F4" w:rsidRPr="00421D1C">
        <w:rPr>
          <w:rFonts w:ascii="Times New Roman" w:hAnsi="Times New Roman" w:cs="Times New Roman"/>
          <w:sz w:val="24"/>
          <w:szCs w:val="24"/>
        </w:rPr>
        <w:t>.</w:t>
      </w:r>
      <w:r w:rsidR="009936E0" w:rsidRPr="00421D1C">
        <w:rPr>
          <w:rFonts w:ascii="Times New Roman" w:hAnsi="Times New Roman" w:cs="Times New Roman"/>
          <w:sz w:val="24"/>
          <w:szCs w:val="24"/>
        </w:rPr>
        <w:t xml:space="preserve"> </w:t>
      </w:r>
      <w:r w:rsidR="00E54606" w:rsidRPr="00421D1C">
        <w:rPr>
          <w:rFonts w:ascii="Times New Roman" w:hAnsi="Times New Roman" w:cs="Times New Roman"/>
          <w:sz w:val="24"/>
          <w:szCs w:val="24"/>
        </w:rPr>
        <w:t>At least some of these findings in rodents may be translatable to humans, since</w:t>
      </w:r>
      <w:r w:rsidR="007F530A" w:rsidRPr="00421D1C">
        <w:rPr>
          <w:rFonts w:ascii="Times New Roman" w:hAnsi="Times New Roman" w:cs="Times New Roman"/>
          <w:sz w:val="24"/>
          <w:szCs w:val="24"/>
        </w:rPr>
        <w:t xml:space="preserve"> MRP3, which has wide BA substrate selectivity, is highly expressed on the basolateral membrane of human cholangiocytes </w:t>
      </w:r>
      <w:r w:rsidR="007F530A" w:rsidRPr="00421D1C">
        <w:rPr>
          <w:rFonts w:ascii="Times New Roman" w:hAnsi="Times New Roman" w:cs="Times New Roman"/>
          <w:sz w:val="24"/>
          <w:szCs w:val="24"/>
        </w:rPr>
        <w:fldChar w:fldCharType="begin"/>
      </w:r>
      <w:r w:rsidR="00E06F62" w:rsidRPr="00421D1C">
        <w:rPr>
          <w:rFonts w:ascii="Times New Roman" w:hAnsi="Times New Roman" w:cs="Times New Roman"/>
          <w:sz w:val="24"/>
          <w:szCs w:val="24"/>
        </w:rPr>
        <w:instrText xml:space="preserve"> ADDIN ZOTERO_ITEM CSL_CITATION {"citationID":"irYzYff0","properties":{"formattedCitation":"(Hirohashi et al., 2000)","plainCitation":"(Hirohashi et al., 2000)","noteIndex":0},"citationItems":[{"id":19250,"uris":["http://zotero.org/groups/425949/items/945JCITT"],"itemData":{"id":19250,"type":"article-journal","abstract":"We have previously shown that cloned rat multidrug resistance-associated protein 3 (Mrp3) has the ability to transport organic anions such as 17beta-estradiol 17-beta-D-glucuronide (E(2)17betaG) and has a different substrate specificity from MRP1 and MRP2 in that glutathione conjugates are poor substrates for Mrp3 (Hirohashi, T., Suzuki, H., and Sugiyama, Y. (1999) J. Biol. Chem. 274, 15181-15185). In the present study, the involvement of Mrp3 in the transport of endogenous bile salts was investigated using membrane vesicles from LLC-PK1 cells transfected with rat Mrp3 cDNA. The ATP-dependent uptake of [(3)H]taurocholate (TC), [(14)C]glycocholate (GC), [(3)H]taurochenodeoxycholate-3-sulfate (TCDC-S), and [(3)H]taurolithocholate-3-sulfate (TLC-S) was markedly stimulated by Mrp3 transfection in LLC-PK1 cells. The extent of Mrp3-mediated transport of bile salts was in the order, TLC-S &gt; TCDC-S &gt; TC &gt; GC. The K(m) and V(max) values for the uptake of TC and TLC-S were K(m) = 15.9 +/- 4.9 microM and V(max) = 50.1 +/- 9.3 pmol/min/mg of protein and K(m) = 3.06 +/- 0.57 microM and V(max) = 161.9 +/- 21.7 pmol/min/mg of protein, respectively. At 55 nM [(3)H]E(2)17betaG and 1.2 microM [(3)H]TC, the apparent K(m) values for ATP were 1.36 and 0.66 mM, respectively. TC, GC, and TCDC-S inhibited the transport of [(3)H]E(2)17betaG and [(3)H]TC to the same extent with an apparent IC(50) of approximately 10 microM. TLC-S inhibited the uptake of [(3)H]E(2)17betaG and [(3)H]TC most potently (IC(50) of approximately 1 microM) among the bile salts examined, whereas cholate weakly inhibited the uptake (IC(50) approximately 75 microM). Although TC and GC are transported by bile salt export pump/sister of P-glycoprotein, but not by MRP2, and TCDC-S and TLC-S are transported by MRP2, but not by bile salt export pump/sister of P-glycoprotein, it was found that Mrp3 accepts all these bile salts as substrates. This information, together with the finding that MRP3 is extensively expressed on the basolateral membrane of human cholangiocytes, suggests that MRP3/Mrp3 plays a significant role in the cholehepatic circulation of bile salts.","container-title":"The Journal of Biological Chemistry","DOI":"10.1074/jbc.275.4.2905","ISSN":"0021-9258","issue":"4","journalAbbreviation":"J Biol Chem","language":"eng","note":"PMID: 10644759","page":"2905-2910","source":"PubMed","title":"ATP-dependent transport of bile salts by rat multidrug resistance-associated protein 3 (Mrp3)","volume":"275","author":[{"family":"Hirohashi","given":"T."},{"family":"Suzuki","given":"H."},{"family":"Takikawa","given":"H."},{"family":"Sugiyama","given":"Y."}],"issued":{"date-parts":[["2000",1,28]]}}}],"schema":"https://github.com/citation-style-language/schema/raw/master/csl-citation.json"} </w:instrText>
      </w:r>
      <w:r w:rsidR="007F530A" w:rsidRPr="00421D1C">
        <w:rPr>
          <w:rFonts w:ascii="Times New Roman" w:hAnsi="Times New Roman" w:cs="Times New Roman"/>
          <w:sz w:val="24"/>
          <w:szCs w:val="24"/>
        </w:rPr>
        <w:fldChar w:fldCharType="separate"/>
      </w:r>
      <w:r w:rsidR="006B4171" w:rsidRPr="00421D1C">
        <w:rPr>
          <w:rFonts w:ascii="Times New Roman" w:hAnsi="Times New Roman" w:cs="Times New Roman"/>
          <w:sz w:val="24"/>
          <w:szCs w:val="24"/>
        </w:rPr>
        <w:t>(Hirohashi et al., 2000)</w:t>
      </w:r>
      <w:r w:rsidR="007F530A" w:rsidRPr="00421D1C">
        <w:rPr>
          <w:rFonts w:ascii="Times New Roman" w:hAnsi="Times New Roman" w:cs="Times New Roman"/>
          <w:sz w:val="24"/>
          <w:szCs w:val="24"/>
        </w:rPr>
        <w:fldChar w:fldCharType="end"/>
      </w:r>
      <w:r w:rsidR="007F530A" w:rsidRPr="00421D1C">
        <w:rPr>
          <w:rFonts w:ascii="Times New Roman" w:hAnsi="Times New Roman" w:cs="Times New Roman"/>
          <w:sz w:val="24"/>
          <w:szCs w:val="24"/>
        </w:rPr>
        <w:t xml:space="preserve">. Furthermore, </w:t>
      </w:r>
      <w:r w:rsidR="009936E0" w:rsidRPr="00421D1C">
        <w:rPr>
          <w:rFonts w:ascii="Times New Roman" w:hAnsi="Times New Roman" w:cs="Times New Roman"/>
          <w:sz w:val="24"/>
          <w:szCs w:val="24"/>
        </w:rPr>
        <w:t>patients with various forms of cholestasis</w:t>
      </w:r>
      <w:r w:rsidR="00E54606" w:rsidRPr="00421D1C">
        <w:rPr>
          <w:rFonts w:ascii="Times New Roman" w:hAnsi="Times New Roman" w:cs="Times New Roman"/>
          <w:sz w:val="24"/>
          <w:szCs w:val="24"/>
        </w:rPr>
        <w:t xml:space="preserve"> demonstrated </w:t>
      </w:r>
      <w:r w:rsidR="009936E0" w:rsidRPr="00421D1C">
        <w:rPr>
          <w:rFonts w:ascii="Times New Roman" w:hAnsi="Times New Roman" w:cs="Times New Roman"/>
          <w:sz w:val="24"/>
          <w:szCs w:val="24"/>
        </w:rPr>
        <w:t>MRP3 protein</w:t>
      </w:r>
      <w:r w:rsidR="00E54606" w:rsidRPr="00421D1C">
        <w:rPr>
          <w:rFonts w:ascii="Times New Roman" w:hAnsi="Times New Roman" w:cs="Times New Roman"/>
          <w:sz w:val="24"/>
          <w:szCs w:val="24"/>
        </w:rPr>
        <w:t xml:space="preserve"> increases </w:t>
      </w:r>
      <w:r w:rsidR="009936E0" w:rsidRPr="00421D1C">
        <w:rPr>
          <w:rFonts w:ascii="Times New Roman" w:hAnsi="Times New Roman" w:cs="Times New Roman"/>
          <w:sz w:val="24"/>
          <w:szCs w:val="24"/>
        </w:rPr>
        <w:t>in cholangiocytes</w:t>
      </w:r>
      <w:r w:rsidR="00E54606" w:rsidRPr="00421D1C">
        <w:rPr>
          <w:rFonts w:ascii="Times New Roman" w:hAnsi="Times New Roman" w:cs="Times New Roman"/>
          <w:sz w:val="24"/>
          <w:szCs w:val="24"/>
        </w:rPr>
        <w:t>, supporting a</w:t>
      </w:r>
      <w:r w:rsidR="00CE65AB" w:rsidRPr="00421D1C">
        <w:rPr>
          <w:rFonts w:ascii="Times New Roman" w:hAnsi="Times New Roman" w:cs="Times New Roman"/>
          <w:sz w:val="24"/>
          <w:szCs w:val="24"/>
        </w:rPr>
        <w:t xml:space="preserve"> protective </w:t>
      </w:r>
      <w:r w:rsidR="00E54606" w:rsidRPr="00421D1C">
        <w:rPr>
          <w:rFonts w:ascii="Times New Roman" w:hAnsi="Times New Roman" w:cs="Times New Roman"/>
          <w:sz w:val="24"/>
          <w:szCs w:val="24"/>
        </w:rPr>
        <w:t xml:space="preserve">role for </w:t>
      </w:r>
      <w:r w:rsidR="00CE65AB" w:rsidRPr="00421D1C">
        <w:rPr>
          <w:rFonts w:ascii="Times New Roman" w:hAnsi="Times New Roman" w:cs="Times New Roman"/>
          <w:sz w:val="24"/>
          <w:szCs w:val="24"/>
        </w:rPr>
        <w:t>cholehepatic shunting of BA</w:t>
      </w:r>
      <w:r w:rsidR="00F01F36">
        <w:rPr>
          <w:rFonts w:ascii="Times New Roman" w:hAnsi="Times New Roman" w:cs="Times New Roman"/>
          <w:sz w:val="24"/>
          <w:szCs w:val="24"/>
        </w:rPr>
        <w:t>s</w:t>
      </w:r>
      <w:r w:rsidR="00CE65AB" w:rsidRPr="00421D1C">
        <w:rPr>
          <w:rFonts w:ascii="Times New Roman" w:hAnsi="Times New Roman" w:cs="Times New Roman"/>
          <w:sz w:val="24"/>
          <w:szCs w:val="24"/>
        </w:rPr>
        <w:t xml:space="preserve"> </w:t>
      </w:r>
      <w:r w:rsidR="009936E0" w:rsidRPr="00421D1C">
        <w:rPr>
          <w:rFonts w:ascii="Times New Roman" w:hAnsi="Times New Roman" w:cs="Times New Roman"/>
          <w:sz w:val="24"/>
          <w:szCs w:val="24"/>
        </w:rPr>
        <w:fldChar w:fldCharType="begin"/>
      </w:r>
      <w:r w:rsidR="00E06F62" w:rsidRPr="00421D1C">
        <w:rPr>
          <w:rFonts w:ascii="Times New Roman" w:hAnsi="Times New Roman" w:cs="Times New Roman"/>
          <w:sz w:val="24"/>
          <w:szCs w:val="24"/>
        </w:rPr>
        <w:instrText xml:space="preserve"> ADDIN ZOTERO_ITEM CSL_CITATION {"citationID":"0XJjprs8","properties":{"formattedCitation":"(Scheffer et al., 2002)","plainCitation":"(Scheffer et al., 2002)","noteIndex":0},"citationItems":[{"id":17196,"uris":["http://zotero.org/groups/425949/items/S7IUITFF"],"itemData":{"id":17196,"type":"article-journal","abstract":"The multidrug resistance protein (MRP) family consists of several members and, for some of these transporter proteins, distinct roles in multidrug resistance and normal tissue functions have been well established (MRP1 and MRP2) or are still under investigation (MRP3). MRP3 expression studies in human tissues have been largely restricted to the mRNA level. In this report we extended these studies and further explored MRP3 expression at the protein level. Western blot and immunohistochemistry with two MRP3-specific monoclonal antibodies, M(3)II-9 and M(3)II-21, showed MRP3 protein to be present in adrenal gland, and kidney and in tissues of the intestinal tract: colon, pancreas, gallbladder, and liver. In epithelia, MRP3 was found to be located at the basolateral sides of cell membranes. In normal liver, MRP3 was detected at lower levels than anticipated from the mRNA data and was found present mainly in the bile ducts. In livers from patients with various forms of cholestasis, MRP3 levels were frequently increased in the proliferative cholangiocytes, with sometimes additional staining of the basolateral membranes of the hepatocytes. This was especially evident in patients with type 3 progressive familial intrahepatic cholestasis. The present results support the view that MRP3 plays a role in the cholehepatic and enterohepatic circulation of bile and in protection within the biliary tree and tissues along the bile circulation route against toxic bile constituents. The possible functional roles for MRP3 in the adrenal gland and in the kidney remain as yet unknown. In a panel of 34 tumor samples of various histogenetic origins, distinct amounts of MRP3 were detected in a limited number of cases, including lung, ovarian, and pancreatic cancers. These findings may be of potential clinical relevance when considering the drug treatment regimens for these tumor types.","container-title":"Laboratory Investigation; a Journal of Technical Methods and Pathology","ISSN":"0023-6837","issue":"2","journalAbbreviation":"Lab. Invest.","language":"eng","page":"193-201","source":"PubMed","title":"Tissue distribution and induction of human multidrug resistant protein 3","volume":"82","author":[{"family":"Scheffer","given":"George L."},{"family":"Kool","given":"Marcel"},{"family":"Haas","given":"Marcel","non-dropping-particle":"de"},{"family":"Vree","given":"J. Marleen L.","non-dropping-particle":"de"},{"family":"Pijnenborg","given":"Adriana C. L. M."},{"family":"Bosman","given":"Diederik K."},{"family":"Elferink","given":"Ronald P. J. Oude"},{"family":"Valk","given":"Paul","non-dropping-particle":"van der"},{"family":"Borst","given":"Piet"},{"family":"Scheper","given":"Rik J."}],"issued":{"date-parts":[["2002",2]]}}}],"schema":"https://github.com/citation-style-language/schema/raw/master/csl-citation.json"} </w:instrText>
      </w:r>
      <w:r w:rsidR="009936E0" w:rsidRPr="00421D1C">
        <w:rPr>
          <w:rFonts w:ascii="Times New Roman" w:hAnsi="Times New Roman" w:cs="Times New Roman"/>
          <w:sz w:val="24"/>
          <w:szCs w:val="24"/>
        </w:rPr>
        <w:fldChar w:fldCharType="separate"/>
      </w:r>
      <w:r w:rsidR="009936E0" w:rsidRPr="00421D1C">
        <w:rPr>
          <w:rFonts w:ascii="Times New Roman" w:hAnsi="Times New Roman" w:cs="Times New Roman"/>
          <w:sz w:val="24"/>
          <w:szCs w:val="24"/>
        </w:rPr>
        <w:t>(Scheffer et al., 2002)</w:t>
      </w:r>
      <w:r w:rsidR="009936E0" w:rsidRPr="00421D1C">
        <w:rPr>
          <w:rFonts w:ascii="Times New Roman" w:hAnsi="Times New Roman" w:cs="Times New Roman"/>
          <w:sz w:val="24"/>
          <w:szCs w:val="24"/>
        </w:rPr>
        <w:fldChar w:fldCharType="end"/>
      </w:r>
      <w:r w:rsidR="009936E0" w:rsidRPr="00421D1C">
        <w:rPr>
          <w:rFonts w:ascii="Times New Roman" w:hAnsi="Times New Roman" w:cs="Times New Roman"/>
          <w:sz w:val="24"/>
          <w:szCs w:val="24"/>
        </w:rPr>
        <w:t>.</w:t>
      </w:r>
      <w:r w:rsidR="00CE65AB" w:rsidRPr="00421D1C">
        <w:rPr>
          <w:rFonts w:ascii="Times New Roman" w:hAnsi="Times New Roman" w:cs="Times New Roman"/>
          <w:sz w:val="24"/>
          <w:szCs w:val="24"/>
        </w:rPr>
        <w:t xml:space="preserve"> P</w:t>
      </w:r>
      <w:r w:rsidR="00E608A7" w:rsidRPr="00421D1C">
        <w:rPr>
          <w:rFonts w:ascii="Times New Roman" w:hAnsi="Times New Roman" w:cs="Times New Roman"/>
          <w:sz w:val="24"/>
          <w:szCs w:val="24"/>
        </w:rPr>
        <w:t>rotonated</w:t>
      </w:r>
      <w:r w:rsidR="008651AB" w:rsidRPr="00421D1C">
        <w:rPr>
          <w:rFonts w:ascii="Times New Roman" w:hAnsi="Times New Roman" w:cs="Times New Roman"/>
          <w:sz w:val="24"/>
          <w:szCs w:val="24"/>
        </w:rPr>
        <w:t xml:space="preserve"> and</w:t>
      </w:r>
      <w:r w:rsidR="00E608A7" w:rsidRPr="00421D1C">
        <w:rPr>
          <w:rFonts w:ascii="Times New Roman" w:hAnsi="Times New Roman" w:cs="Times New Roman"/>
          <w:sz w:val="24"/>
          <w:szCs w:val="24"/>
        </w:rPr>
        <w:t xml:space="preserve"> unconjugated BAs </w:t>
      </w:r>
      <w:r w:rsidR="000C7F37" w:rsidRPr="00421D1C">
        <w:rPr>
          <w:rFonts w:ascii="Times New Roman" w:hAnsi="Times New Roman" w:cs="Times New Roman"/>
          <w:sz w:val="24"/>
          <w:szCs w:val="24"/>
        </w:rPr>
        <w:t>can</w:t>
      </w:r>
      <w:r w:rsidR="00E608A7" w:rsidRPr="00421D1C">
        <w:rPr>
          <w:rFonts w:ascii="Times New Roman" w:hAnsi="Times New Roman" w:cs="Times New Roman"/>
          <w:sz w:val="24"/>
          <w:szCs w:val="24"/>
        </w:rPr>
        <w:t xml:space="preserve"> undergo passive </w:t>
      </w:r>
      <w:proofErr w:type="spellStart"/>
      <w:r w:rsidR="00E608A7" w:rsidRPr="00421D1C">
        <w:rPr>
          <w:rFonts w:ascii="Times New Roman" w:hAnsi="Times New Roman" w:cs="Times New Roman"/>
          <w:sz w:val="24"/>
          <w:szCs w:val="24"/>
        </w:rPr>
        <w:t>cholangiocellular</w:t>
      </w:r>
      <w:proofErr w:type="spellEnd"/>
      <w:r w:rsidR="00E608A7" w:rsidRPr="00421D1C">
        <w:rPr>
          <w:rFonts w:ascii="Times New Roman" w:hAnsi="Times New Roman" w:cs="Times New Roman"/>
          <w:sz w:val="24"/>
          <w:szCs w:val="24"/>
        </w:rPr>
        <w:t xml:space="preserve"> absorption </w:t>
      </w:r>
      <w:r w:rsidR="00E608A7" w:rsidRPr="00421D1C">
        <w:rPr>
          <w:rFonts w:ascii="Times New Roman" w:hAnsi="Times New Roman" w:cs="Times New Roman"/>
          <w:sz w:val="24"/>
          <w:szCs w:val="24"/>
        </w:rPr>
        <w:fldChar w:fldCharType="begin"/>
      </w:r>
      <w:r w:rsidR="00E06F62" w:rsidRPr="00421D1C">
        <w:rPr>
          <w:rFonts w:ascii="Times New Roman" w:hAnsi="Times New Roman" w:cs="Times New Roman"/>
          <w:sz w:val="24"/>
          <w:szCs w:val="24"/>
        </w:rPr>
        <w:instrText xml:space="preserve"> ADDIN ZOTERO_ITEM CSL_CITATION {"citationID":"dhFIe62l","properties":{"formattedCitation":"(Arab et al., 2017; Banales et al., 2019)","plainCitation":"(Arab et al., 2017; Banales et al., 2019)","noteIndex":0},"citationItems":[{"id":19037,"uris":["http://zotero.org/groups/425949/items/EPFKI27L"],"itemData":{"id":19037,"type":"article-journal","abstract":"Bile acids (BA) are key molecules in generating bile flow, which is an essential function of the liver. In the last decades there have been great advances in the understanding of the role of a number of specific transport proteins present at the sinusoidal and canalicular membrane domains of hepatocytes and cholangiocytes in generating and maintaining bile flow. Also, a clearer understanding on how BA regulate their own synthesis and the expression and/or function of transporters has been reached. This new knowledge has helped to better delineate the pathophysiology of cholestasis and the adaptive responses of hepatocytes to cholestatic liver injury as well as of the mechanisms of injury of biliary epithelia. In this context, therapeutic approaches including new hydrophilic BA such as the conjugation-resistant nor- ursodeoxycholic acid, nuclear receptors (FXR, PPAR-alpha) agonists, FGF19 analogues, inhibitors of the apical sodium-dependent bile acid transporter [ASBT] and modulators of the inflammatory cascade triggered by BAs are being studied as novel treatments of cholestasis. In the present review we summarize recent experimental and clinical data on the role of BAs in cholestasis and its treatment.","container-title":"Annals of Hepatology","DOI":"10.5604/01.3001.0010.5497","ISSN":"1665-2681","issue":"Suppl. 1: s3-105.","journalAbbreviation":"Ann Hepatol","language":"eng","note":"PMID: 29080340","page":"s53-s57","source":"PubMed","title":"Bile Acids in Cholestasis and its Treatment","volume":"16","author":[{"family":"Arab","given":"Juan Pablo"},{"family":"Cabrera","given":"Daniel"},{"family":"Arrese","given":"Marco"}],"issued":{"date-parts":[["2017",11]]}}},{"id":19034,"uris":["http://zotero.org/groups/425949/items/PM3EVRHW"],"itemData":{"id":19034,"type":"article-journal","abstract":"Cholangiocytes, the epithelial cells lining the intrahepatic and extrahepatic bile ducts, are highly specialized cells residing in a complex anatomic niche where they participate in bile production and homeostasis. Cholangiocytes are damaged in a variety of human diseases termed cholangiopathies, often causing advanced liver failure. The regulation of cholangiocyte transport properties is increasingly understood, as is their anatomical and functional heterogeneity along the biliary tract. Furthermore, cholangiocytes are pivotal in liver regeneration, especially when hepatocyte regeneration is compromised. The role of cholangiocytes in innate and adaptive immune responses, a critical subject relevant to immune-mediated cholangiopathies, is also emerging. Finally, reactive ductular cells are present in many cholestatic and other liver diseases. In chronic disease states, this repair response contributes to liver inflammation, fibrosis and carcinogenesis and is a subject of intense investigation. This Review highlights advances in cholangiocyte research, especially their role in development and liver regeneration, their functional and biochemical heterogeneity, their activation and involvement in inflammation and fibrosis and their engagement with the immune system. We aim to focus further attention on cholangiocyte pathobiology and the search for new disease-modifying therapies targeting the cholangiopathies.","container-title":"Nature Reviews. Gastroenterology &amp; Hepatology","DOI":"10.1038/s41575-019-0125-y","ISSN":"1759-5053","issue":"5","journalAbbreviation":"Nat Rev Gastroenterol Hepatol","language":"eng","note":"PMID: 30850822\nPMCID: PMC6563606","page":"269-281","source":"PubMed","title":"Cholangiocyte pathobiology","volume":"16","author":[{"family":"Banales","given":"Jesus M."},{"family":"Huebert","given":"Robert C."},{"family":"Karlsen","given":"Tom"},{"family":"Strazzabosco","given":"Mario"},{"family":"LaRusso","given":"Nicholas F."},{"family":"Gores","given":"Gregory J."}],"issued":{"date-parts":[["2019",5]]}}}],"schema":"https://github.com/citation-style-language/schema/raw/master/csl-citation.json"} </w:instrText>
      </w:r>
      <w:r w:rsidR="00E608A7" w:rsidRPr="00421D1C">
        <w:rPr>
          <w:rFonts w:ascii="Times New Roman" w:hAnsi="Times New Roman" w:cs="Times New Roman"/>
          <w:sz w:val="24"/>
          <w:szCs w:val="24"/>
        </w:rPr>
        <w:fldChar w:fldCharType="separate"/>
      </w:r>
      <w:r w:rsidR="000C7F37" w:rsidRPr="00421D1C">
        <w:rPr>
          <w:rFonts w:ascii="Times New Roman" w:hAnsi="Times New Roman" w:cs="Times New Roman"/>
          <w:sz w:val="24"/>
          <w:szCs w:val="24"/>
        </w:rPr>
        <w:t>(Arab et al., 2017; Banales et al., 2019)</w:t>
      </w:r>
      <w:r w:rsidR="00E608A7" w:rsidRPr="00421D1C">
        <w:rPr>
          <w:rFonts w:ascii="Times New Roman" w:hAnsi="Times New Roman" w:cs="Times New Roman"/>
          <w:sz w:val="24"/>
          <w:szCs w:val="24"/>
        </w:rPr>
        <w:fldChar w:fldCharType="end"/>
      </w:r>
      <w:r w:rsidR="00CE65AB" w:rsidRPr="00421D1C">
        <w:rPr>
          <w:rFonts w:ascii="Times New Roman" w:hAnsi="Times New Roman" w:cs="Times New Roman"/>
          <w:sz w:val="24"/>
          <w:szCs w:val="24"/>
        </w:rPr>
        <w:t>, but the large majority of</w:t>
      </w:r>
      <w:r w:rsidR="00062D49" w:rsidRPr="00421D1C">
        <w:rPr>
          <w:rFonts w:ascii="Times New Roman" w:hAnsi="Times New Roman" w:cs="Times New Roman"/>
          <w:sz w:val="24"/>
          <w:szCs w:val="24"/>
        </w:rPr>
        <w:t xml:space="preserve"> endogenous,</w:t>
      </w:r>
      <w:r w:rsidR="00CE65AB" w:rsidRPr="00421D1C">
        <w:rPr>
          <w:rFonts w:ascii="Times New Roman" w:hAnsi="Times New Roman" w:cs="Times New Roman"/>
          <w:sz w:val="24"/>
          <w:szCs w:val="24"/>
        </w:rPr>
        <w:t xml:space="preserve"> hepatocellular BAs excreted into bile are conjugated, which are less likely to undergo passive diffusion</w:t>
      </w:r>
      <w:r w:rsidR="000C7F37" w:rsidRPr="00421D1C">
        <w:rPr>
          <w:rFonts w:ascii="Times New Roman" w:hAnsi="Times New Roman" w:cs="Times New Roman"/>
          <w:sz w:val="24"/>
          <w:szCs w:val="24"/>
        </w:rPr>
        <w:t>.</w:t>
      </w:r>
      <w:r w:rsidR="008651AB" w:rsidRPr="00421D1C">
        <w:rPr>
          <w:rFonts w:ascii="Times New Roman" w:hAnsi="Times New Roman" w:cs="Times New Roman"/>
          <w:sz w:val="24"/>
          <w:szCs w:val="24"/>
        </w:rPr>
        <w:t xml:space="preserve"> </w:t>
      </w:r>
      <w:r w:rsidR="00FA077A" w:rsidRPr="00421D1C">
        <w:rPr>
          <w:rFonts w:ascii="Times New Roman" w:hAnsi="Times New Roman" w:cs="Times New Roman"/>
          <w:sz w:val="24"/>
          <w:szCs w:val="24"/>
        </w:rPr>
        <w:t>A</w:t>
      </w:r>
      <w:r w:rsidR="008651AB" w:rsidRPr="00421D1C">
        <w:rPr>
          <w:rFonts w:ascii="Times New Roman" w:hAnsi="Times New Roman" w:cs="Times New Roman"/>
          <w:sz w:val="24"/>
          <w:szCs w:val="24"/>
        </w:rPr>
        <w:t xml:space="preserve"> </w:t>
      </w:r>
      <w:r w:rsidR="00FA077A" w:rsidRPr="00421D1C">
        <w:rPr>
          <w:rFonts w:ascii="Times New Roman" w:hAnsi="Times New Roman" w:cs="Times New Roman"/>
          <w:sz w:val="24"/>
          <w:szCs w:val="24"/>
        </w:rPr>
        <w:t>promising therapeutic, 24-norursodeoxycholic acid (</w:t>
      </w:r>
      <w:proofErr w:type="spellStart"/>
      <w:r w:rsidR="00FA077A" w:rsidRPr="00421D1C">
        <w:rPr>
          <w:rFonts w:ascii="Times New Roman" w:hAnsi="Times New Roman" w:cs="Times New Roman"/>
          <w:sz w:val="24"/>
          <w:szCs w:val="24"/>
        </w:rPr>
        <w:t>norUDCA</w:t>
      </w:r>
      <w:proofErr w:type="spellEnd"/>
      <w:r w:rsidR="00FA077A" w:rsidRPr="00421D1C">
        <w:rPr>
          <w:rFonts w:ascii="Times New Roman" w:hAnsi="Times New Roman" w:cs="Times New Roman"/>
          <w:sz w:val="24"/>
          <w:szCs w:val="24"/>
        </w:rPr>
        <w:t xml:space="preserve">), currently in clinical development </w:t>
      </w:r>
      <w:r w:rsidR="00502B3F" w:rsidRPr="00421D1C">
        <w:rPr>
          <w:rFonts w:ascii="Times New Roman" w:hAnsi="Times New Roman" w:cs="Times New Roman"/>
          <w:sz w:val="24"/>
          <w:szCs w:val="24"/>
        </w:rPr>
        <w:t xml:space="preserve">for PSC patients </w:t>
      </w:r>
      <w:r w:rsidR="00FA077A" w:rsidRPr="00421D1C">
        <w:rPr>
          <w:rFonts w:ascii="Times New Roman" w:hAnsi="Times New Roman" w:cs="Times New Roman"/>
          <w:sz w:val="24"/>
          <w:szCs w:val="24"/>
        </w:rPr>
        <w:t xml:space="preserve">is hypothesized to utilize </w:t>
      </w:r>
      <w:r w:rsidR="002E5D46" w:rsidRPr="00421D1C">
        <w:rPr>
          <w:rFonts w:ascii="Times New Roman" w:hAnsi="Times New Roman" w:cs="Times New Roman"/>
          <w:sz w:val="24"/>
          <w:szCs w:val="24"/>
        </w:rPr>
        <w:t>the cholehepatic shunt pathway</w:t>
      </w:r>
      <w:r w:rsidR="00FA077A" w:rsidRPr="00421D1C">
        <w:rPr>
          <w:rFonts w:ascii="Times New Roman" w:hAnsi="Times New Roman" w:cs="Times New Roman"/>
          <w:sz w:val="24"/>
          <w:szCs w:val="24"/>
        </w:rPr>
        <w:t xml:space="preserve">. </w:t>
      </w:r>
      <w:proofErr w:type="spellStart"/>
      <w:r w:rsidR="00FA077A" w:rsidRPr="00421D1C">
        <w:rPr>
          <w:rFonts w:ascii="Times New Roman" w:hAnsi="Times New Roman" w:cs="Times New Roman"/>
          <w:sz w:val="24"/>
          <w:szCs w:val="24"/>
        </w:rPr>
        <w:t>NorUDCA</w:t>
      </w:r>
      <w:proofErr w:type="spellEnd"/>
      <w:r w:rsidR="00FA077A" w:rsidRPr="00421D1C">
        <w:rPr>
          <w:rFonts w:ascii="Times New Roman" w:hAnsi="Times New Roman" w:cs="Times New Roman"/>
          <w:sz w:val="24"/>
          <w:szCs w:val="24"/>
        </w:rPr>
        <w:t xml:space="preserve"> is a </w:t>
      </w:r>
      <w:r w:rsidR="00BD656A" w:rsidRPr="00421D1C">
        <w:rPr>
          <w:rFonts w:ascii="Times New Roman" w:hAnsi="Times New Roman" w:cs="Times New Roman"/>
          <w:sz w:val="24"/>
          <w:szCs w:val="24"/>
        </w:rPr>
        <w:t xml:space="preserve">sidechain-shortened </w:t>
      </w:r>
      <w:r w:rsidR="0094603E" w:rsidRPr="00421D1C">
        <w:rPr>
          <w:rFonts w:ascii="Times New Roman" w:hAnsi="Times New Roman" w:cs="Times New Roman"/>
          <w:sz w:val="24"/>
          <w:szCs w:val="24"/>
        </w:rPr>
        <w:t>version of the relatively hydrophilic</w:t>
      </w:r>
      <w:r w:rsidR="00C056E5" w:rsidRPr="00421D1C">
        <w:rPr>
          <w:rFonts w:ascii="Times New Roman" w:hAnsi="Times New Roman" w:cs="Times New Roman"/>
          <w:sz w:val="24"/>
          <w:szCs w:val="24"/>
        </w:rPr>
        <w:t xml:space="preserve">, naturally occurring </w:t>
      </w:r>
      <w:r w:rsidR="0094603E" w:rsidRPr="00421D1C">
        <w:rPr>
          <w:rFonts w:ascii="Times New Roman" w:hAnsi="Times New Roman" w:cs="Times New Roman"/>
          <w:sz w:val="24"/>
          <w:szCs w:val="24"/>
        </w:rPr>
        <w:t>UDCA, and is</w:t>
      </w:r>
      <w:r w:rsidR="002D1261" w:rsidRPr="00421D1C">
        <w:rPr>
          <w:rFonts w:ascii="Times New Roman" w:hAnsi="Times New Roman" w:cs="Times New Roman"/>
          <w:sz w:val="24"/>
          <w:szCs w:val="24"/>
        </w:rPr>
        <w:t xml:space="preserve"> largely</w:t>
      </w:r>
      <w:r w:rsidR="00BD656A" w:rsidRPr="00421D1C">
        <w:rPr>
          <w:rFonts w:ascii="Times New Roman" w:hAnsi="Times New Roman" w:cs="Times New Roman"/>
          <w:sz w:val="24"/>
          <w:szCs w:val="24"/>
        </w:rPr>
        <w:t xml:space="preserve"> </w:t>
      </w:r>
      <w:r w:rsidR="00385EA6" w:rsidRPr="00421D1C">
        <w:rPr>
          <w:rFonts w:ascii="Times New Roman" w:hAnsi="Times New Roman" w:cs="Times New Roman"/>
          <w:sz w:val="24"/>
          <w:szCs w:val="24"/>
        </w:rPr>
        <w:t>resistant</w:t>
      </w:r>
      <w:r w:rsidR="00AE4B7A" w:rsidRPr="00421D1C">
        <w:rPr>
          <w:rFonts w:ascii="Times New Roman" w:hAnsi="Times New Roman" w:cs="Times New Roman"/>
          <w:sz w:val="24"/>
          <w:szCs w:val="24"/>
        </w:rPr>
        <w:t xml:space="preserve"> to </w:t>
      </w:r>
      <w:proofErr w:type="spellStart"/>
      <w:r w:rsidR="003F2D11" w:rsidRPr="00421D1C">
        <w:rPr>
          <w:rFonts w:ascii="Times New Roman" w:hAnsi="Times New Roman" w:cs="Times New Roman"/>
          <w:sz w:val="24"/>
          <w:szCs w:val="24"/>
        </w:rPr>
        <w:t>amidation</w:t>
      </w:r>
      <w:proofErr w:type="spellEnd"/>
      <w:r w:rsidR="003F2D11" w:rsidRPr="00421D1C">
        <w:rPr>
          <w:rFonts w:ascii="Times New Roman" w:hAnsi="Times New Roman" w:cs="Times New Roman"/>
          <w:sz w:val="24"/>
          <w:szCs w:val="24"/>
        </w:rPr>
        <w:t xml:space="preserve"> </w:t>
      </w:r>
      <w:r w:rsidR="003F2D11" w:rsidRPr="00421D1C">
        <w:rPr>
          <w:rFonts w:ascii="Times New Roman" w:hAnsi="Times New Roman" w:cs="Times New Roman"/>
          <w:sz w:val="24"/>
          <w:szCs w:val="24"/>
        </w:rPr>
        <w:fldChar w:fldCharType="begin"/>
      </w:r>
      <w:r w:rsidR="00E06F62" w:rsidRPr="00421D1C">
        <w:rPr>
          <w:rFonts w:ascii="Times New Roman" w:hAnsi="Times New Roman" w:cs="Times New Roman"/>
          <w:sz w:val="24"/>
          <w:szCs w:val="24"/>
        </w:rPr>
        <w:instrText xml:space="preserve"> ADDIN ZOTERO_ITEM CSL_CITATION {"citationID":"FtqrtbMb","properties":{"formattedCitation":"(Samant et al., 2019)","plainCitation":"(Samant et al., 2019)","noteIndex":0},"citationItems":[{"id":19043,"uris":["http://zotero.org/groups/425949/items/NF9CX88T"],"itemData":{"id":19043,"type":"article-journal","abstract":"Recently the field of cholestasis has expanded enormously reflecting an improved understanding of the molecular mechanisms underlying bile secretion and its perturbation in chronic cholestatic disease. Novel anti-cholestatic therapeutic options have been developed for patients not favorably responding to ursodeoxycholic acid (UDCA), the current standard treatment for cholestatic liver disease. Important novel treatment targets now also include nuclear receptors involved in bile acid (BA) homoeostasis like farnesoid X receptor and G protein-coupled receptors e.g., the G-protein-coupled BA receptor \"transmembrane G coupled receptor 5\". Fibroblast growth factor-19 and enterohepatic BA transporters also deserve attention as additional drug targets as does the potential treatment agent norUDCA. In this review, we discuss recent and future promising therapeutic agents and their potential molecular mechanisms in cholestatic liver disorders.","container-title":"World Journal of Clinical Cases","DOI":"10.12998/wjcc.v7.i13.1571","ISSN":"2307-8960","issue":"13","journalAbbreviation":"World J Clin Cases","language":"eng","note":"PMID: 31367616\nPMCID: PMC6658370","page":"1571-1581","source":"PubMed","title":"Cholestatic liver diseases: An era of emerging therapies","title-short":"Cholestatic liver diseases","volume":"7","author":[{"family":"Samant","given":"Hrishikesh"},{"family":"Manatsathit","given":"Wuttiporn"},{"family":"Dies","given":"David"},{"family":"Shokouh-Amiri","given":"Hosein"},{"family":"Zibari","given":"Gazi"},{"family":"Boktor","given":"Moheb"},{"family":"Alexander","given":"Jonathan Steve"}],"issued":{"date-parts":[["2019",7,6]]}}}],"schema":"https://github.com/citation-style-language/schema/raw/master/csl-citation.json"} </w:instrText>
      </w:r>
      <w:r w:rsidR="003F2D11" w:rsidRPr="00421D1C">
        <w:rPr>
          <w:rFonts w:ascii="Times New Roman" w:hAnsi="Times New Roman" w:cs="Times New Roman"/>
          <w:sz w:val="24"/>
          <w:szCs w:val="24"/>
        </w:rPr>
        <w:fldChar w:fldCharType="separate"/>
      </w:r>
      <w:r w:rsidR="003F2D11" w:rsidRPr="00421D1C">
        <w:rPr>
          <w:rFonts w:ascii="Times New Roman" w:hAnsi="Times New Roman" w:cs="Times New Roman"/>
          <w:sz w:val="24"/>
          <w:szCs w:val="24"/>
        </w:rPr>
        <w:t>(Samant et al., 2019)</w:t>
      </w:r>
      <w:r w:rsidR="003F2D11" w:rsidRPr="00421D1C">
        <w:rPr>
          <w:rFonts w:ascii="Times New Roman" w:hAnsi="Times New Roman" w:cs="Times New Roman"/>
          <w:sz w:val="24"/>
          <w:szCs w:val="24"/>
        </w:rPr>
        <w:fldChar w:fldCharType="end"/>
      </w:r>
      <w:r w:rsidR="00C056E5" w:rsidRPr="00421D1C">
        <w:rPr>
          <w:rFonts w:ascii="Times New Roman" w:hAnsi="Times New Roman" w:cs="Times New Roman"/>
          <w:sz w:val="24"/>
          <w:szCs w:val="24"/>
        </w:rPr>
        <w:t xml:space="preserve">, </w:t>
      </w:r>
      <w:r w:rsidR="002D1261" w:rsidRPr="00421D1C">
        <w:rPr>
          <w:rFonts w:ascii="Times New Roman" w:hAnsi="Times New Roman" w:cs="Times New Roman"/>
          <w:sz w:val="24"/>
          <w:szCs w:val="24"/>
        </w:rPr>
        <w:t xml:space="preserve">which promotes its protonation and thereby its penetration into cholangiocytes </w:t>
      </w:r>
      <w:r w:rsidR="002D1261" w:rsidRPr="00421D1C">
        <w:rPr>
          <w:rFonts w:ascii="Times New Roman" w:hAnsi="Times New Roman" w:cs="Times New Roman"/>
          <w:sz w:val="24"/>
          <w:szCs w:val="24"/>
        </w:rPr>
        <w:fldChar w:fldCharType="begin"/>
      </w:r>
      <w:r w:rsidR="00E06F62" w:rsidRPr="00421D1C">
        <w:rPr>
          <w:rFonts w:ascii="Times New Roman" w:hAnsi="Times New Roman" w:cs="Times New Roman"/>
          <w:sz w:val="24"/>
          <w:szCs w:val="24"/>
        </w:rPr>
        <w:instrText xml:space="preserve"> ADDIN ZOTERO_ITEM CSL_CITATION {"citationID":"4nl5lGgB","properties":{"formattedCitation":"(Halilbasic et al., 2017)","plainCitation":"(Halilbasic et al., 2017)","noteIndex":0},"citationItems":[{"id":19319,"uris":["http://zotero.org/groups/425949/items/TLXZVN6N"],"itemData":{"id":19319,"type":"article-journal","abstract":"Norursodeoxycholic acid (norUDCA) is a side-chain-shortened derivative of ursodeoxycholic acid with relative resistance to amidation, which enables its cholehepatic shunting. Based on its specific pharmacologic properties, norUDCA is a promising drug for a range of cholestatic liver and bile duct disorders. Recently, norUDCA has been successfully tested clinically in patients with primary sclerosing cholangitis (PSC) as first application in patients. Moreover, hepatic enrichment of norUDCA facilitates direct therapeutic effects on both parenchymal and non-parenchymal liver cells, thereby counteracting cholestasis, steatosis, hepatic inflammation and fibrosis, inhibiting hepatocellular proliferation, and promoting autophagy. This may open its therapeutic use to other non-cholestatic and metabolic liver diseases. This review article is a summary of a lecture given at the XXIV International Bile Acid Meeting (Falk Symposium 203) on \"Bile Acids in Health and Disease\" held in Düsseldorf, on June 17-18, 2016 and summarizes the recent progress of norUDCA as novel therapeutic approach in cholestatic and metabolic liver disorders with a specific focus on PSC.","container-title":"Digestive Diseases (Basel, Switzerland)","DOI":"10.1159/000454904","ISSN":"1421-9875","issue":"3","journalAbbreviation":"Dig Dis","language":"eng","note":"PMID: 28249255","page":"288-292","source":"PubMed","title":"Nor-Ursodeoxycholic Acid as a Novel Therapeutic Approach for Cholestatic and Metabolic Liver Diseases","volume":"35","author":[{"family":"Halilbasic","given":"Emina"},{"family":"Steinacher","given":"Daniel"},{"family":"Trauner","given":"Michael"}],"issued":{"date-parts":[["2017"]]}}}],"schema":"https://github.com/citation-style-language/schema/raw/master/csl-citation.json"} </w:instrText>
      </w:r>
      <w:r w:rsidR="002D1261" w:rsidRPr="00421D1C">
        <w:rPr>
          <w:rFonts w:ascii="Times New Roman" w:hAnsi="Times New Roman" w:cs="Times New Roman"/>
          <w:sz w:val="24"/>
          <w:szCs w:val="24"/>
        </w:rPr>
        <w:fldChar w:fldCharType="separate"/>
      </w:r>
      <w:r w:rsidR="002D1261" w:rsidRPr="00421D1C">
        <w:rPr>
          <w:rFonts w:ascii="Times New Roman" w:hAnsi="Times New Roman" w:cs="Times New Roman"/>
          <w:sz w:val="24"/>
          <w:szCs w:val="24"/>
        </w:rPr>
        <w:t>(Halilbasic et al., 2017)</w:t>
      </w:r>
      <w:r w:rsidR="002D1261" w:rsidRPr="00421D1C">
        <w:rPr>
          <w:rFonts w:ascii="Times New Roman" w:hAnsi="Times New Roman" w:cs="Times New Roman"/>
          <w:sz w:val="24"/>
          <w:szCs w:val="24"/>
        </w:rPr>
        <w:fldChar w:fldCharType="end"/>
      </w:r>
      <w:r w:rsidR="002D1261" w:rsidRPr="00421D1C">
        <w:rPr>
          <w:rFonts w:ascii="Times New Roman" w:hAnsi="Times New Roman" w:cs="Times New Roman"/>
          <w:sz w:val="24"/>
          <w:szCs w:val="24"/>
        </w:rPr>
        <w:t xml:space="preserve">. </w:t>
      </w:r>
      <w:r w:rsidR="003F2D11" w:rsidRPr="00421D1C">
        <w:rPr>
          <w:rFonts w:ascii="Times New Roman" w:hAnsi="Times New Roman" w:cs="Times New Roman"/>
          <w:sz w:val="24"/>
          <w:szCs w:val="24"/>
        </w:rPr>
        <w:t xml:space="preserve">Cholehepatic shunting of </w:t>
      </w:r>
      <w:proofErr w:type="spellStart"/>
      <w:r w:rsidR="003F2D11" w:rsidRPr="00421D1C">
        <w:rPr>
          <w:rFonts w:ascii="Times New Roman" w:hAnsi="Times New Roman" w:cs="Times New Roman"/>
          <w:sz w:val="24"/>
          <w:szCs w:val="24"/>
        </w:rPr>
        <w:t>norUDCA</w:t>
      </w:r>
      <w:proofErr w:type="spellEnd"/>
      <w:r w:rsidR="003F2D11" w:rsidRPr="00421D1C">
        <w:rPr>
          <w:rFonts w:ascii="Times New Roman" w:hAnsi="Times New Roman" w:cs="Times New Roman"/>
          <w:sz w:val="24"/>
          <w:szCs w:val="24"/>
        </w:rPr>
        <w:t xml:space="preserve"> induces </w:t>
      </w:r>
      <w:r w:rsidR="00A53D5B" w:rsidRPr="00421D1C">
        <w:rPr>
          <w:rFonts w:ascii="Times New Roman" w:hAnsi="Times New Roman" w:cs="Times New Roman"/>
          <w:sz w:val="24"/>
          <w:szCs w:val="24"/>
        </w:rPr>
        <w:t>bicarbonate (</w:t>
      </w:r>
      <w:r w:rsidR="003F2D11" w:rsidRPr="00421D1C">
        <w:rPr>
          <w:rFonts w:ascii="Times New Roman" w:hAnsi="Times New Roman" w:cs="Times New Roman"/>
          <w:sz w:val="24"/>
          <w:szCs w:val="24"/>
        </w:rPr>
        <w:t>HCO</w:t>
      </w:r>
      <w:r w:rsidR="003F2D11" w:rsidRPr="00421D1C">
        <w:rPr>
          <w:rFonts w:ascii="Times New Roman" w:hAnsi="Times New Roman" w:cs="Times New Roman"/>
          <w:sz w:val="24"/>
          <w:szCs w:val="24"/>
          <w:vertAlign w:val="subscript"/>
        </w:rPr>
        <w:t>3</w:t>
      </w:r>
      <w:r w:rsidR="003F2D11" w:rsidRPr="00421D1C">
        <w:rPr>
          <w:rFonts w:ascii="Times New Roman" w:hAnsi="Times New Roman" w:cs="Times New Roman"/>
          <w:sz w:val="24"/>
          <w:szCs w:val="24"/>
          <w:vertAlign w:val="superscript"/>
        </w:rPr>
        <w:t>-</w:t>
      </w:r>
      <w:r w:rsidR="00A53D5B" w:rsidRPr="00421D1C">
        <w:rPr>
          <w:rFonts w:ascii="Times New Roman" w:hAnsi="Times New Roman" w:cs="Times New Roman"/>
          <w:sz w:val="24"/>
          <w:szCs w:val="24"/>
        </w:rPr>
        <w:t>)-</w:t>
      </w:r>
      <w:r w:rsidR="003F2D11" w:rsidRPr="00421D1C">
        <w:rPr>
          <w:rFonts w:ascii="Times New Roman" w:hAnsi="Times New Roman" w:cs="Times New Roman"/>
          <w:sz w:val="24"/>
          <w:szCs w:val="24"/>
        </w:rPr>
        <w:t xml:space="preserve">rich </w:t>
      </w:r>
      <w:proofErr w:type="spellStart"/>
      <w:r w:rsidR="003F2D11" w:rsidRPr="00421D1C">
        <w:rPr>
          <w:rFonts w:ascii="Times New Roman" w:hAnsi="Times New Roman" w:cs="Times New Roman"/>
          <w:sz w:val="24"/>
          <w:szCs w:val="24"/>
        </w:rPr>
        <w:t>hypercholeresis</w:t>
      </w:r>
      <w:proofErr w:type="spellEnd"/>
      <w:r w:rsidR="0094603E" w:rsidRPr="00421D1C">
        <w:rPr>
          <w:rFonts w:ascii="Times New Roman" w:hAnsi="Times New Roman" w:cs="Times New Roman"/>
          <w:sz w:val="24"/>
          <w:szCs w:val="24"/>
        </w:rPr>
        <w:t xml:space="preserve">, which protects against biliary BA toxicity </w:t>
      </w:r>
      <w:r w:rsidR="0094603E" w:rsidRPr="00421D1C">
        <w:rPr>
          <w:rFonts w:ascii="Times New Roman" w:hAnsi="Times New Roman" w:cs="Times New Roman"/>
          <w:sz w:val="24"/>
          <w:szCs w:val="24"/>
        </w:rPr>
        <w:fldChar w:fldCharType="begin"/>
      </w:r>
      <w:r w:rsidR="00E06F62" w:rsidRPr="00421D1C">
        <w:rPr>
          <w:rFonts w:ascii="Times New Roman" w:hAnsi="Times New Roman" w:cs="Times New Roman"/>
          <w:sz w:val="24"/>
          <w:szCs w:val="24"/>
        </w:rPr>
        <w:instrText xml:space="preserve"> ADDIN ZOTERO_ITEM CSL_CITATION {"citationID":"XHemPNPt","properties":{"formattedCitation":"(Samant et al., 2019)","plainCitation":"(Samant et al., 2019)","noteIndex":0},"citationItems":[{"id":19043,"uris":["http://zotero.org/groups/425949/items/NF9CX88T"],"itemData":{"id":19043,"type":"article-journal","abstract":"Recently the field of cholestasis has expanded enormously reflecting an improved understanding of the molecular mechanisms underlying bile secretion and its perturbation in chronic cholestatic disease. Novel anti-cholestatic therapeutic options have been developed for patients not favorably responding to ursodeoxycholic acid (UDCA), the current standard treatment for cholestatic liver disease. Important novel treatment targets now also include nuclear receptors involved in bile acid (BA) homoeostasis like farnesoid X receptor and G protein-coupled receptors e.g., the G-protein-coupled BA receptor \"transmembrane G coupled receptor 5\". Fibroblast growth factor-19 and enterohepatic BA transporters also deserve attention as additional drug targets as does the potential treatment agent norUDCA. In this review, we discuss recent and future promising therapeutic agents and their potential molecular mechanisms in cholestatic liver disorders.","container-title":"World Journal of Clinical Cases","DOI":"10.12998/wjcc.v7.i13.1571","ISSN":"2307-8960","issue":"13","journalAbbreviation":"World J Clin Cases","language":"eng","note":"PMID: 31367616\nPMCID: PMC6658370","page":"1571-1581","source":"PubMed","title":"Cholestatic liver diseases: An era of emerging therapies","title-short":"Cholestatic liver diseases","volume":"7","author":[{"family":"Samant","given":"Hrishikesh"},{"family":"Manatsathit","given":"Wuttiporn"},{"family":"Dies","given":"David"},{"family":"Shokouh-Amiri","given":"Hosein"},{"family":"Zibari","given":"Gazi"},{"family":"Boktor","given":"Moheb"},{"family":"Alexander","given":"Jonathan Steve"}],"issued":{"date-parts":[["2019",7,6]]}}}],"schema":"https://github.com/citation-style-language/schema/raw/master/csl-citation.json"} </w:instrText>
      </w:r>
      <w:r w:rsidR="0094603E" w:rsidRPr="00421D1C">
        <w:rPr>
          <w:rFonts w:ascii="Times New Roman" w:hAnsi="Times New Roman" w:cs="Times New Roman"/>
          <w:sz w:val="24"/>
          <w:szCs w:val="24"/>
        </w:rPr>
        <w:fldChar w:fldCharType="separate"/>
      </w:r>
      <w:r w:rsidR="0094603E" w:rsidRPr="00421D1C">
        <w:rPr>
          <w:rFonts w:ascii="Times New Roman" w:hAnsi="Times New Roman" w:cs="Times New Roman"/>
          <w:sz w:val="24"/>
          <w:szCs w:val="24"/>
        </w:rPr>
        <w:t>(Samant et al., 2019)</w:t>
      </w:r>
      <w:r w:rsidR="0094603E" w:rsidRPr="00421D1C">
        <w:rPr>
          <w:rFonts w:ascii="Times New Roman" w:hAnsi="Times New Roman" w:cs="Times New Roman"/>
          <w:sz w:val="24"/>
          <w:szCs w:val="24"/>
        </w:rPr>
        <w:fldChar w:fldCharType="end"/>
      </w:r>
      <w:r w:rsidR="0094603E" w:rsidRPr="00421D1C">
        <w:rPr>
          <w:rFonts w:ascii="Times New Roman" w:hAnsi="Times New Roman" w:cs="Times New Roman"/>
          <w:sz w:val="24"/>
          <w:szCs w:val="24"/>
        </w:rPr>
        <w:t>.</w:t>
      </w:r>
      <w:r w:rsidR="00E3662F" w:rsidRPr="00421D1C">
        <w:rPr>
          <w:rFonts w:ascii="Times New Roman" w:hAnsi="Times New Roman" w:cs="Times New Roman"/>
          <w:sz w:val="24"/>
          <w:szCs w:val="24"/>
        </w:rPr>
        <w:t xml:space="preserve"> </w:t>
      </w:r>
      <w:r w:rsidR="0094603E" w:rsidRPr="00421D1C">
        <w:rPr>
          <w:rFonts w:ascii="Times New Roman" w:hAnsi="Times New Roman" w:cs="Times New Roman"/>
          <w:sz w:val="24"/>
          <w:szCs w:val="24"/>
        </w:rPr>
        <w:t xml:space="preserve">UDCA </w:t>
      </w:r>
      <w:r w:rsidR="00184043" w:rsidRPr="00421D1C">
        <w:rPr>
          <w:rFonts w:ascii="Times New Roman" w:hAnsi="Times New Roman" w:cs="Times New Roman"/>
          <w:sz w:val="24"/>
          <w:szCs w:val="24"/>
        </w:rPr>
        <w:t>therapy</w:t>
      </w:r>
      <w:r w:rsidR="00FE6B17" w:rsidRPr="00421D1C">
        <w:rPr>
          <w:rFonts w:ascii="Times New Roman" w:hAnsi="Times New Roman" w:cs="Times New Roman"/>
          <w:sz w:val="24"/>
          <w:szCs w:val="24"/>
        </w:rPr>
        <w:t xml:space="preserve"> also leads to HCO</w:t>
      </w:r>
      <w:r w:rsidR="00FE6B17" w:rsidRPr="00421D1C">
        <w:rPr>
          <w:rFonts w:ascii="Times New Roman" w:hAnsi="Times New Roman" w:cs="Times New Roman"/>
          <w:sz w:val="24"/>
          <w:szCs w:val="24"/>
          <w:vertAlign w:val="subscript"/>
        </w:rPr>
        <w:t>3</w:t>
      </w:r>
      <w:r w:rsidR="00FE6B17" w:rsidRPr="00421D1C">
        <w:rPr>
          <w:rFonts w:ascii="Times New Roman" w:hAnsi="Times New Roman" w:cs="Times New Roman"/>
          <w:sz w:val="24"/>
          <w:szCs w:val="24"/>
          <w:vertAlign w:val="superscript"/>
        </w:rPr>
        <w:t>-</w:t>
      </w:r>
      <w:r w:rsidR="0094603E" w:rsidRPr="00421D1C">
        <w:rPr>
          <w:rFonts w:ascii="Times New Roman" w:hAnsi="Times New Roman" w:cs="Times New Roman"/>
          <w:sz w:val="24"/>
          <w:szCs w:val="24"/>
        </w:rPr>
        <w:t xml:space="preserve"> </w:t>
      </w:r>
      <w:r w:rsidR="00FE6B17" w:rsidRPr="00421D1C">
        <w:rPr>
          <w:rFonts w:ascii="Times New Roman" w:hAnsi="Times New Roman" w:cs="Times New Roman"/>
          <w:sz w:val="24"/>
          <w:szCs w:val="24"/>
        </w:rPr>
        <w:t>secretion, but via a mechanism different from cholehepatic shunting, and</w:t>
      </w:r>
      <w:r w:rsidR="0071082C" w:rsidRPr="00421D1C">
        <w:rPr>
          <w:rFonts w:ascii="Times New Roman" w:hAnsi="Times New Roman" w:cs="Times New Roman"/>
          <w:sz w:val="24"/>
          <w:szCs w:val="24"/>
        </w:rPr>
        <w:t xml:space="preserve"> is furthermore believed to decrease the lipophilicity of the BA pool by replacing toxic BAs with UDCA, a relatively non-toxic BA species </w:t>
      </w:r>
      <w:r w:rsidR="0071082C" w:rsidRPr="00421D1C">
        <w:rPr>
          <w:rFonts w:ascii="Times New Roman" w:hAnsi="Times New Roman" w:cs="Times New Roman"/>
          <w:sz w:val="24"/>
          <w:szCs w:val="24"/>
        </w:rPr>
        <w:fldChar w:fldCharType="begin"/>
      </w:r>
      <w:r w:rsidR="00E06F62" w:rsidRPr="00421D1C">
        <w:rPr>
          <w:rFonts w:ascii="Times New Roman" w:hAnsi="Times New Roman" w:cs="Times New Roman"/>
          <w:sz w:val="24"/>
          <w:szCs w:val="24"/>
        </w:rPr>
        <w:instrText xml:space="preserve"> ADDIN ZOTERO_ITEM CSL_CITATION {"citationID":"SJM3WzSO","properties":{"formattedCitation":"(Padda et al., 2011; Halilbasic et al., 2017)","plainCitation":"(Padda et al., 2011; Halilbasic et al., 2017)","noteIndex":0},"citationItems":[{"id":19044,"uris":["http://zotero.org/groups/425949/items/7B79KU2H"],"itemData":{"id":19044,"type":"article-journal","abstract":"Recent progress in understanding the molecular mechanisms of bile formation and cholestasis have led to new insights into the pathogenesis of drug-induced cholestasis. This review summarizes their variable clinical presentations, examines the role of transport proteins in hepatic drug clearance and toxicity, and addresses the increasing importance of genetic determinants, as well as practical aspects of diagnosis and management.","container-title":"Hepatology (Baltimore, Md.)","DOI":"10.1002/hep.24229","ISSN":"1527-3350","issue":"4","journalAbbreviation":"Hepatology","language":"eng","note":"PMID: 21480339\nPMCID: PMC3089004","page":"1377-1387","source":"PubMed","title":"Drug-induced cholestasis","volume":"53","author":[{"family":"Padda","given":"Manmeet S."},{"family":"Sanchez","given":"Mayra"},{"family":"Akhtar","given":"Abbasi J."},{"family":"Boyer","given":"James L."}],"issued":{"date-parts":[["2011",4]]}}},{"id":19319,"uris":["http://zotero.org/groups/425949/items/TLXZVN6N"],"itemData":{"id":19319,"type":"article-journal","abstract":"Norursodeoxycholic acid (norUDCA) is a side-chain-shortened derivative of ursodeoxycholic acid with relative resistance to amidation, which enables its cholehepatic shunting. Based on its specific pharmacologic properties, norUDCA is a promising drug for a range of cholestatic liver and bile duct disorders. Recently, norUDCA has been successfully tested clinically in patients with primary sclerosing cholangitis (PSC) as first application in patients. Moreover, hepatic enrichment of norUDCA facilitates direct therapeutic effects on both parenchymal and non-parenchymal liver cells, thereby counteracting cholestasis, steatosis, hepatic inflammation and fibrosis, inhibiting hepatocellular proliferation, and promoting autophagy. This may open its therapeutic use to other non-cholestatic and metabolic liver diseases. This review article is a summary of a lecture given at the XXIV International Bile Acid Meeting (Falk Symposium 203) on \"Bile Acids in Health and Disease\" held in Düsseldorf, on June 17-18, 2016 and summarizes the recent progress of norUDCA as novel therapeutic approach in cholestatic and metabolic liver disorders with a specific focus on PSC.","container-title":"Digestive Diseases (Basel, Switzerland)","DOI":"10.1159/000454904","ISSN":"1421-9875","issue":"3","journalAbbreviation":"Dig Dis","language":"eng","note":"PMID: 28249255","page":"288-292","source":"PubMed","title":"Nor-Ursodeoxycholic Acid as a Novel Therapeutic Approach for Cholestatic and Metabolic Liver Diseases","volume":"35","author":[{"family":"Halilbasic","given":"Emina"},{"family":"Steinacher","given":"Daniel"},{"family":"Trauner","given":"Michael"}],"issued":{"date-parts":[["2017"]]}}}],"schema":"https://github.com/citation-style-language/schema/raw/master/csl-citation.json"} </w:instrText>
      </w:r>
      <w:r w:rsidR="0071082C" w:rsidRPr="00421D1C">
        <w:rPr>
          <w:rFonts w:ascii="Times New Roman" w:hAnsi="Times New Roman" w:cs="Times New Roman"/>
          <w:sz w:val="24"/>
          <w:szCs w:val="24"/>
        </w:rPr>
        <w:fldChar w:fldCharType="separate"/>
      </w:r>
      <w:r w:rsidR="0071082C" w:rsidRPr="00421D1C">
        <w:rPr>
          <w:rFonts w:ascii="Times New Roman" w:hAnsi="Times New Roman" w:cs="Times New Roman"/>
          <w:sz w:val="24"/>
          <w:szCs w:val="24"/>
        </w:rPr>
        <w:t>(Padda et al., 2011; Halilbasic et al., 2017)</w:t>
      </w:r>
      <w:r w:rsidR="0071082C" w:rsidRPr="00421D1C">
        <w:rPr>
          <w:rFonts w:ascii="Times New Roman" w:hAnsi="Times New Roman" w:cs="Times New Roman"/>
          <w:sz w:val="24"/>
          <w:szCs w:val="24"/>
        </w:rPr>
        <w:fldChar w:fldCharType="end"/>
      </w:r>
      <w:r w:rsidR="0071082C" w:rsidRPr="00421D1C">
        <w:rPr>
          <w:rFonts w:ascii="Times New Roman" w:hAnsi="Times New Roman" w:cs="Times New Roman"/>
          <w:sz w:val="24"/>
          <w:szCs w:val="24"/>
        </w:rPr>
        <w:t xml:space="preserve">. </w:t>
      </w:r>
      <w:r w:rsidR="00FE6B17" w:rsidRPr="00421D1C">
        <w:rPr>
          <w:rFonts w:ascii="Times New Roman" w:hAnsi="Times New Roman" w:cs="Times New Roman"/>
          <w:sz w:val="24"/>
          <w:szCs w:val="24"/>
        </w:rPr>
        <w:t>While t</w:t>
      </w:r>
      <w:r w:rsidR="002D1261" w:rsidRPr="00421D1C">
        <w:rPr>
          <w:rFonts w:ascii="Times New Roman" w:hAnsi="Times New Roman" w:cs="Times New Roman"/>
          <w:sz w:val="24"/>
          <w:szCs w:val="24"/>
        </w:rPr>
        <w:t xml:space="preserve">he safety profile of </w:t>
      </w:r>
      <w:proofErr w:type="spellStart"/>
      <w:r w:rsidR="002D1261" w:rsidRPr="00421D1C">
        <w:rPr>
          <w:rFonts w:ascii="Times New Roman" w:hAnsi="Times New Roman" w:cs="Times New Roman"/>
          <w:sz w:val="24"/>
          <w:szCs w:val="24"/>
        </w:rPr>
        <w:t>norUDCA</w:t>
      </w:r>
      <w:proofErr w:type="spellEnd"/>
      <w:r w:rsidR="002D1261" w:rsidRPr="00421D1C">
        <w:rPr>
          <w:rFonts w:ascii="Times New Roman" w:hAnsi="Times New Roman" w:cs="Times New Roman"/>
          <w:sz w:val="24"/>
          <w:szCs w:val="24"/>
        </w:rPr>
        <w:t xml:space="preserve"> is excellent and significantly reduced </w:t>
      </w:r>
      <w:r w:rsidR="00685BAE" w:rsidRPr="00421D1C">
        <w:rPr>
          <w:rFonts w:ascii="Times New Roman" w:hAnsi="Times New Roman" w:cs="Times New Roman"/>
          <w:sz w:val="24"/>
          <w:szCs w:val="24"/>
        </w:rPr>
        <w:t>alkaline phosphatase (</w:t>
      </w:r>
      <w:r w:rsidR="002D1261" w:rsidRPr="00421D1C">
        <w:rPr>
          <w:rFonts w:ascii="Times New Roman" w:hAnsi="Times New Roman" w:cs="Times New Roman"/>
          <w:sz w:val="24"/>
          <w:szCs w:val="24"/>
        </w:rPr>
        <w:t>ALP</w:t>
      </w:r>
      <w:r w:rsidR="00685BAE" w:rsidRPr="00421D1C">
        <w:rPr>
          <w:rFonts w:ascii="Times New Roman" w:hAnsi="Times New Roman" w:cs="Times New Roman"/>
          <w:sz w:val="24"/>
          <w:szCs w:val="24"/>
        </w:rPr>
        <w:t>)</w:t>
      </w:r>
      <w:r w:rsidR="002D1261" w:rsidRPr="00421D1C">
        <w:rPr>
          <w:rFonts w:ascii="Times New Roman" w:hAnsi="Times New Roman" w:cs="Times New Roman"/>
          <w:sz w:val="24"/>
          <w:szCs w:val="24"/>
        </w:rPr>
        <w:t xml:space="preserve"> levels in a dose-dependent manner during a 12-week treatment of PSC patients </w:t>
      </w:r>
      <w:r w:rsidR="002D1261" w:rsidRPr="00421D1C">
        <w:rPr>
          <w:rFonts w:ascii="Times New Roman" w:hAnsi="Times New Roman" w:cs="Times New Roman"/>
          <w:sz w:val="24"/>
          <w:szCs w:val="24"/>
        </w:rPr>
        <w:fldChar w:fldCharType="begin"/>
      </w:r>
      <w:r w:rsidR="00E06F62" w:rsidRPr="00421D1C">
        <w:rPr>
          <w:rFonts w:ascii="Times New Roman" w:hAnsi="Times New Roman" w:cs="Times New Roman"/>
          <w:sz w:val="24"/>
          <w:szCs w:val="24"/>
        </w:rPr>
        <w:instrText xml:space="preserve"> ADDIN ZOTERO_ITEM CSL_CITATION {"citationID":"LriDD0n5","properties":{"formattedCitation":"(Fickert et al., 2017)","plainCitation":"(Fickert et al., 2017)","noteIndex":0},"citationItems":[{"id":19322,"uris":["http://zotero.org/groups/425949/items/FK27SFID"],"itemData":{"id":19322,"type":"article-journal","abstract":"BACKGROUND &amp; AIM: Primary sclerosing cholangitis (PSC) represents a devastating bile duct disease, currently lacking effective medical therapy. 24-norursodeoxycholic acid (norUDCA) is a side chain-shortened C23 homologue of UDCA and has shown potent anti-cholestatic, anti-inflammatory and anti-fibrotic properties in a preclinical PSC mouse model. A randomized controlled trial, including 38 centers from 12 European countries, evaluated the safety and efficacy of three doses of oral norUDCA (500mg/d, 1,000mg/d or 1,500mg/d) compared with placebo in patients with PSC.\nMETHODS: One hundred sixty-one PSC patients without concomitant UDCA therapy and with elevated serum alkaline phosphatase (ALP) levels were randomized for a 12-week treatment followed by a 4-week follow-up. The primary efficacy endpoint was the mean relative change in ALP levels between baseline and end of treatment visit.\nRESULTS: norUDCA reduced ALP levels by -12.3%, -17.3%, and -26.0% in the 500, 1,000, and 1,500mg/d groups (p=0.029, p=0.003, and p&lt;0.0001 when compared to placebo), respectively, while a +1.2% increase was observed in the placebo group. Similar dose-dependent results were found for secondary endpoints, such as ALT, AST, γ-GT, or the rate of patients achieving ALP levels &lt;1.5× ULN. Serious adverse events occurred in seven patients in the 500mg/d, five patients in the 1,000mg/d, two patients in the 1500mg/d group, and three in the placebo group. There was no difference in reported pruritus between treatment and placebo groups.\nCONCLUSIONS: norUDCA significantly reduced ALP values dose-dependently in all treatment arms. The safety profile of norUDCA was excellent and comparable to placebo. Consequently, these results justify a phase III trial of norUDCA in PSC patients. Lay summary: Effective medical therapy for primary sclerosing cholangitis (PSC) is urgently needed. In this phase II clinical study in PSC patients, a side chain-shortened derivative of ursodeoxycholic acid, norursodeoxycholic acid (norUDCA), significantly reduced serum alkaline phosphatase levels in a dose-dependent manner during a 12-week treatment. Importantly, norUDCA showed a favorable safety profile, which was similar to placebo. The use of norUDCA in PSC patients is promising and will be further evaluated in a phase III clinical study. ClinicalTrials.gov number: NCT01755507.","container-title":"Journal of Hepatology","DOI":"10.1016/j.jhep.2017.05.009","ISSN":"1600-0641","issue":"3","journalAbbreviation":"J Hepatol","language":"eng","note":"PMID: 28529147","page":"549-558","source":"PubMed","title":"norUrsodeoxycholic acid improves cholestasis in primary sclerosing cholangitis","volume":"67","author":[{"family":"Fickert","given":"Peter"},{"family":"Hirschfield","given":"Gideon M."},{"family":"Denk","given":"Gerald"},{"family":"Marschall","given":"Hanns-Ulrich"},{"family":"Altorjay","given":"Istvan"},{"family":"Färkkilä","given":"Martti"},{"family":"Schramm","given":"Christoph"},{"family":"Spengler","given":"Ulrich"},{"family":"Chapman","given":"Roger"},{"family":"Bergquist","given":"Annika"},{"family":"Schrumpf","given":"Erik"},{"family":"Nevens","given":"Frederik"},{"family":"Trivedi","given":"Palak"},{"family":"Reiter","given":"Florian P."},{"family":"Tornai","given":"Istvan"},{"family":"Halilbasic","given":"Emina"},{"family":"Greinwald","given":"Roland"},{"family":"Pröls","given":"Markus"},{"family":"Manns","given":"Michael P."},{"family":"Trauner","given":"Michael"},{"literal":"European PSC norUDCA Study Group"}],"issued":{"date-parts":[["2017",9]]}}}],"schema":"https://github.com/citation-style-language/schema/raw/master/csl-citation.json"} </w:instrText>
      </w:r>
      <w:r w:rsidR="002D1261" w:rsidRPr="00421D1C">
        <w:rPr>
          <w:rFonts w:ascii="Times New Roman" w:hAnsi="Times New Roman" w:cs="Times New Roman"/>
          <w:sz w:val="24"/>
          <w:szCs w:val="24"/>
        </w:rPr>
        <w:fldChar w:fldCharType="separate"/>
      </w:r>
      <w:r w:rsidR="002D1261" w:rsidRPr="00421D1C">
        <w:rPr>
          <w:rFonts w:ascii="Times New Roman" w:hAnsi="Times New Roman" w:cs="Times New Roman"/>
          <w:sz w:val="24"/>
          <w:szCs w:val="24"/>
        </w:rPr>
        <w:t>(Fickert et al., 2017)</w:t>
      </w:r>
      <w:r w:rsidR="002D1261" w:rsidRPr="00421D1C">
        <w:rPr>
          <w:rFonts w:ascii="Times New Roman" w:hAnsi="Times New Roman" w:cs="Times New Roman"/>
          <w:sz w:val="24"/>
          <w:szCs w:val="24"/>
        </w:rPr>
        <w:fldChar w:fldCharType="end"/>
      </w:r>
      <w:r w:rsidR="002D1261" w:rsidRPr="00421D1C">
        <w:rPr>
          <w:rFonts w:ascii="Times New Roman" w:hAnsi="Times New Roman" w:cs="Times New Roman"/>
          <w:sz w:val="24"/>
          <w:szCs w:val="24"/>
        </w:rPr>
        <w:t xml:space="preserve">, UDCA has </w:t>
      </w:r>
      <w:r w:rsidR="00FE6B17" w:rsidRPr="00421D1C">
        <w:rPr>
          <w:rFonts w:ascii="Times New Roman" w:hAnsi="Times New Roman" w:cs="Times New Roman"/>
          <w:sz w:val="24"/>
          <w:szCs w:val="24"/>
        </w:rPr>
        <w:t>shown to be toxic at higher doses</w:t>
      </w:r>
      <w:r w:rsidR="00901324" w:rsidRPr="00421D1C">
        <w:rPr>
          <w:rFonts w:ascii="Times New Roman" w:hAnsi="Times New Roman" w:cs="Times New Roman"/>
          <w:sz w:val="24"/>
          <w:szCs w:val="24"/>
        </w:rPr>
        <w:t xml:space="preserve"> presumably due to increased biliary BA concentrations</w:t>
      </w:r>
      <w:r w:rsidR="00FE6B17" w:rsidRPr="00421D1C">
        <w:rPr>
          <w:rFonts w:ascii="Times New Roman" w:hAnsi="Times New Roman" w:cs="Times New Roman"/>
          <w:sz w:val="24"/>
          <w:szCs w:val="24"/>
        </w:rPr>
        <w:t xml:space="preserve"> </w:t>
      </w:r>
      <w:r w:rsidR="00FE6B17" w:rsidRPr="00421D1C">
        <w:rPr>
          <w:rFonts w:ascii="Times New Roman" w:hAnsi="Times New Roman" w:cs="Times New Roman"/>
          <w:sz w:val="24"/>
          <w:szCs w:val="24"/>
        </w:rPr>
        <w:fldChar w:fldCharType="begin"/>
      </w:r>
      <w:r w:rsidR="00E06F62" w:rsidRPr="00421D1C">
        <w:rPr>
          <w:rFonts w:ascii="Times New Roman" w:hAnsi="Times New Roman" w:cs="Times New Roman"/>
          <w:sz w:val="24"/>
          <w:szCs w:val="24"/>
        </w:rPr>
        <w:instrText xml:space="preserve"> ADDIN ZOTERO_ITEM CSL_CITATION {"citationID":"Wy4IqWhf","properties":{"formattedCitation":"(Halilbasic et al., 2017)","plainCitation":"(Halilbasic et al., 2017)","noteIndex":0},"citationItems":[{"id":19319,"uris":["http://zotero.org/groups/425949/items/TLXZVN6N"],"itemData":{"id":19319,"type":"article-journal","abstract":"Norursodeoxycholic acid (norUDCA) is a side-chain-shortened derivative of ursodeoxycholic acid with relative resistance to amidation, which enables its cholehepatic shunting. Based on its specific pharmacologic properties, norUDCA is a promising drug for a range of cholestatic liver and bile duct disorders. Recently, norUDCA has been successfully tested clinically in patients with primary sclerosing cholangitis (PSC) as first application in patients. Moreover, hepatic enrichment of norUDCA facilitates direct therapeutic effects on both parenchymal and non-parenchymal liver cells, thereby counteracting cholestasis, steatosis, hepatic inflammation and fibrosis, inhibiting hepatocellular proliferation, and promoting autophagy. This may open its therapeutic use to other non-cholestatic and metabolic liver diseases. This review article is a summary of a lecture given at the XXIV International Bile Acid Meeting (Falk Symposium 203) on \"Bile Acids in Health and Disease\" held in Düsseldorf, on June 17-18, 2016 and summarizes the recent progress of norUDCA as novel therapeutic approach in cholestatic and metabolic liver disorders with a specific focus on PSC.","container-title":"Digestive Diseases (Basel, Switzerland)","DOI":"10.1159/000454904","ISSN":"1421-9875","issue":"3","journalAbbreviation":"Dig Dis","language":"eng","note":"PMID: 28249255","page":"288-292","source":"PubMed","title":"Nor-Ursodeoxycholic Acid as a Novel Therapeutic Approach for Cholestatic and Metabolic Liver Diseases","volume":"35","author":[{"family":"Halilbasic","given":"Emina"},{"family":"Steinacher","given":"Daniel"},{"family":"Trauner","given":"Michael"}],"issued":{"date-parts":[["2017"]]}}}],"schema":"https://github.com/citation-style-language/schema/raw/master/csl-citation.json"} </w:instrText>
      </w:r>
      <w:r w:rsidR="00FE6B17" w:rsidRPr="00421D1C">
        <w:rPr>
          <w:rFonts w:ascii="Times New Roman" w:hAnsi="Times New Roman" w:cs="Times New Roman"/>
          <w:sz w:val="24"/>
          <w:szCs w:val="24"/>
        </w:rPr>
        <w:fldChar w:fldCharType="separate"/>
      </w:r>
      <w:r w:rsidR="00FE6B17" w:rsidRPr="00421D1C">
        <w:rPr>
          <w:rFonts w:ascii="Times New Roman" w:hAnsi="Times New Roman" w:cs="Times New Roman"/>
          <w:sz w:val="24"/>
          <w:szCs w:val="24"/>
        </w:rPr>
        <w:t>(Halilbasic et al., 2017)</w:t>
      </w:r>
      <w:r w:rsidR="00FE6B17" w:rsidRPr="00421D1C">
        <w:rPr>
          <w:rFonts w:ascii="Times New Roman" w:hAnsi="Times New Roman" w:cs="Times New Roman"/>
          <w:sz w:val="24"/>
          <w:szCs w:val="24"/>
        </w:rPr>
        <w:fldChar w:fldCharType="end"/>
      </w:r>
      <w:r w:rsidR="00FE6B17" w:rsidRPr="00421D1C">
        <w:rPr>
          <w:rFonts w:ascii="Times New Roman" w:hAnsi="Times New Roman" w:cs="Times New Roman"/>
          <w:sz w:val="24"/>
          <w:szCs w:val="24"/>
        </w:rPr>
        <w:t>.</w:t>
      </w:r>
    </w:p>
    <w:p w14:paraId="58FDCDA2" w14:textId="79CE034C" w:rsidR="00964C50" w:rsidRPr="00421D1C" w:rsidRDefault="00964C50" w:rsidP="00421D1C">
      <w:pPr>
        <w:jc w:val="both"/>
        <w:rPr>
          <w:rFonts w:ascii="Times New Roman" w:hAnsi="Times New Roman" w:cs="Times New Roman"/>
          <w:i/>
          <w:iCs/>
          <w:sz w:val="24"/>
          <w:szCs w:val="24"/>
        </w:rPr>
      </w:pPr>
      <w:r w:rsidRPr="00421D1C">
        <w:rPr>
          <w:rFonts w:ascii="Times New Roman" w:hAnsi="Times New Roman" w:cs="Times New Roman"/>
          <w:i/>
          <w:iCs/>
          <w:sz w:val="24"/>
          <w:szCs w:val="24"/>
        </w:rPr>
        <w:t>Bicarbonate secretion</w:t>
      </w:r>
    </w:p>
    <w:p w14:paraId="627EE641" w14:textId="09F524F5" w:rsidR="00471A5F" w:rsidRPr="00421D1C" w:rsidRDefault="00471A5F" w:rsidP="00421D1C">
      <w:pPr>
        <w:jc w:val="both"/>
        <w:rPr>
          <w:rFonts w:ascii="Times New Roman" w:hAnsi="Times New Roman" w:cs="Times New Roman"/>
          <w:sz w:val="24"/>
          <w:szCs w:val="24"/>
        </w:rPr>
      </w:pPr>
      <w:r w:rsidRPr="00421D1C">
        <w:rPr>
          <w:rFonts w:ascii="Times New Roman" w:hAnsi="Times New Roman" w:cs="Times New Roman"/>
          <w:sz w:val="24"/>
          <w:szCs w:val="24"/>
        </w:rPr>
        <w:t xml:space="preserve">A glycocalyx, a 20-30-nm-thick layer on the apical membrane of cholangiocytes as identified by electron microscopy, is believed to stabilize the alkaline pH microclimate in the bile duct and protect cholangiocytes against free biliary BAs, giving rise to the so-called “bicarbonate umbrella” </w:t>
      </w:r>
      <w:r w:rsidRPr="00421D1C">
        <w:rPr>
          <w:rFonts w:ascii="Times New Roman" w:hAnsi="Times New Roman" w:cs="Times New Roman"/>
          <w:sz w:val="24"/>
          <w:szCs w:val="24"/>
        </w:rPr>
        <w:fldChar w:fldCharType="begin"/>
      </w:r>
      <w:r w:rsidR="0088045B" w:rsidRPr="00421D1C">
        <w:rPr>
          <w:rFonts w:ascii="Times New Roman" w:hAnsi="Times New Roman" w:cs="Times New Roman"/>
          <w:sz w:val="24"/>
          <w:szCs w:val="24"/>
        </w:rPr>
        <w:instrText xml:space="preserve"> ADDIN ZOTERO_ITEM CSL_CITATION {"citationID":"9p60bWlG","properties":{"formattedCitation":"(Hohenester et al., 2012; Arab et al., 2017)","plainCitation":"(Hohenester et al., 2012; Arab et al., 2017)","noteIndex":0},"citationItems":[{"id":19314,"uris":["http://zotero.org/groups/425949/items/EK8HAKEU"],"itemData":{"id":19314,"type":"article-journal","abstract":"Human cholangiocytes are continuously exposed to millimolar levels of hydrophobic bile salt monomers. We recently hypothesized that an apical biliary HCO3- umbrella might prevent the protonation of biliary glycine-conjugated bile salts and uncontrolled cell entry of the corresponding bile acids, and that defects in this biliary HCO3- umbrella might predispose to chronic cholangiopathies. Here, we tested in vitro whether human cholangiocyte integrity in the presence of millimolar bile salt monomers is dependent on (1) pH, (2) adequate expression of the key HCO3- exporter, anion exchanger 2 (AE2), and (3) an intact cholangiocyte glycocalyx. To address these questions, human immortalized cholangiocytes and cholangiocarcinoma cells were exposed to chenodeoxycholate and its glycine/taurine conjugates at different pH levels. Bile acid uptake was determined radiochemically. Cell viability and apoptosis were measured enzymatically. AE2 was knocked down by lentiviral short hairpin RNA. A cholangiocyte glycocalyx was identified by electron microscopy, was enzymatically desialylated, and sialylation was quantified by flow cytometry. We found that bile acid uptake and toxicity in human immortalized cholangiocytes and cholangiocarcinoma cell lines in vitro were pH and AE2 dependent, with the highest rates at low pH and when AE2 expression was defective. An apical glycocalyx was identified on cholangiocytes in vitro by electron microscopic techniques. Desialylation of this protective layer increased cholangiocellular vulnerability in a pH-dependent manner.\nCONCLUSION: A biliary HCO3- umbrella protects human cholangiocytes against damage by bile acid monomers. An intact glycocalyx and adequate AE2 expression are crucial in this process. Defects of the biliary HCO3- umbrella may lead to the development of chronic cholangiopathies.","container-title":"Hepatology (Baltimore, Md.)","DOI":"10.1002/hep.24691","ISSN":"1527-3350","issue":"1","journalAbbreviation":"Hepatology","language":"eng","note":"PMID: 21932391","page":"173-183","source":"PubMed","title":"A biliary HCO3- umbrella constitutes a protective mechanism against bile acid-induced injury in human cholangiocytes","volume":"55","author":[{"family":"Hohenester","given":"Simon"},{"family":"Wenniger","given":"Lucas Maillette de Buy"},{"family":"Paulusma","given":"Coen C."},{"family":"Vliet","given":"Sandra J.","non-dropping-particle":"van"},{"family":"Jefferson","given":"Douglas M."},{"family":"Elferink","given":"Ronald P. Oude"},{"family":"Beuers","given":"Ulrich"}],"issued":{"date-parts":[["2012",1]]}}},{"id":19037,"uris":["http://zotero.org/groups/425949/items/EPFKI27L"],"itemData":{"id":19037,"type":"article-journal","abstract":"Bile acids (BA) are key molecules in generating bile flow, which is an essential function of the liver. In the last decades there have been great advances in the understanding of the role of a number of specific transport proteins present at the sinusoidal and canalicular membrane domains of hepatocytes and cholangiocytes in generating and maintaining bile flow. Also, a clearer understanding on how BA regulate their own synthesis and the expression and/or function of transporters has been reached. This new knowledge has helped to better delineate the pathophysiology of cholestasis and the adaptive responses of hepatocytes to cholestatic liver injury as well as of the mechanisms of injury of biliary epithelia. In this context, therapeutic approaches including new hydrophilic BA such as the conjugation-resistant nor- ursodeoxycholic acid, nuclear receptors (FXR, PPAR-alpha) agonists, FGF19 analogues, inhibitors of the apical sodium-dependent bile acid transporter [ASBT] and modulators of the inflammatory cascade triggered by BAs are being studied as novel treatments of cholestasis. In the present review we summarize recent experimental and clinical data on the role of BAs in cholestasis and its treatment.","container-title":"Annals of Hepatology","DOI":"10.5604/01.3001.0010.5497","ISSN":"1665-2681","issue":"Suppl. 1: s3-105.","journalAbbreviation":"Ann Hepatol","language":"eng","note":"PMID: 29080340","page":"s53-s57","source":"PubMed","title":"Bile Acids in Cholestasis and its Treatment","volume":"16","author":[{"family":"Arab","given":"Juan Pablo"},{"family":"Cabrera","given":"Daniel"},{"family":"Arrese","given":"Marco"}],"issued":{"date-parts":[["2017",11]]}}}],"schema":"https://github.com/citation-style-language/schema/raw/master/csl-citation.json"} </w:instrText>
      </w:r>
      <w:r w:rsidRPr="00421D1C">
        <w:rPr>
          <w:rFonts w:ascii="Times New Roman" w:hAnsi="Times New Roman" w:cs="Times New Roman"/>
          <w:sz w:val="24"/>
          <w:szCs w:val="24"/>
        </w:rPr>
        <w:fldChar w:fldCharType="separate"/>
      </w:r>
      <w:r w:rsidRPr="00421D1C">
        <w:rPr>
          <w:rFonts w:ascii="Times New Roman" w:hAnsi="Times New Roman" w:cs="Times New Roman"/>
          <w:sz w:val="24"/>
          <w:szCs w:val="24"/>
        </w:rPr>
        <w:t>(Hohenester et al., 2012; Arab et al., 2017)</w:t>
      </w:r>
      <w:r w:rsidRPr="00421D1C">
        <w:rPr>
          <w:rFonts w:ascii="Times New Roman" w:hAnsi="Times New Roman" w:cs="Times New Roman"/>
          <w:sz w:val="24"/>
          <w:szCs w:val="24"/>
        </w:rPr>
        <w:fldChar w:fldCharType="end"/>
      </w:r>
      <w:r w:rsidRPr="00421D1C">
        <w:rPr>
          <w:rFonts w:ascii="Times New Roman" w:hAnsi="Times New Roman" w:cs="Times New Roman"/>
          <w:sz w:val="24"/>
          <w:szCs w:val="24"/>
        </w:rPr>
        <w:t xml:space="preserve">. Destabilization of this glycocalyx via </w:t>
      </w:r>
      <w:proofErr w:type="spellStart"/>
      <w:r w:rsidRPr="00421D1C">
        <w:rPr>
          <w:rFonts w:ascii="Times New Roman" w:hAnsi="Times New Roman" w:cs="Times New Roman"/>
          <w:sz w:val="24"/>
          <w:szCs w:val="24"/>
        </w:rPr>
        <w:t>desialylation</w:t>
      </w:r>
      <w:proofErr w:type="spellEnd"/>
      <w:r w:rsidRPr="00421D1C">
        <w:rPr>
          <w:rFonts w:ascii="Times New Roman" w:hAnsi="Times New Roman" w:cs="Times New Roman"/>
          <w:sz w:val="24"/>
          <w:szCs w:val="24"/>
        </w:rPr>
        <w:t xml:space="preserve"> (e.g., by neuraminidase treatment) increased susceptibility to BA-induced toxicity in a pH-dependent manner </w:t>
      </w:r>
      <w:r w:rsidRPr="00421D1C">
        <w:rPr>
          <w:rFonts w:ascii="Times New Roman" w:hAnsi="Times New Roman" w:cs="Times New Roman"/>
          <w:sz w:val="24"/>
          <w:szCs w:val="24"/>
        </w:rPr>
        <w:fldChar w:fldCharType="begin"/>
      </w:r>
      <w:r w:rsidR="0088045B" w:rsidRPr="00421D1C">
        <w:rPr>
          <w:rFonts w:ascii="Times New Roman" w:hAnsi="Times New Roman" w:cs="Times New Roman"/>
          <w:sz w:val="24"/>
          <w:szCs w:val="24"/>
        </w:rPr>
        <w:instrText xml:space="preserve"> ADDIN ZOTERO_ITEM CSL_CITATION {"citationID":"Mk9gV8MU","properties":{"formattedCitation":"(Hohenester et al., 2012)","plainCitation":"(Hohenester et al., 2012)","noteIndex":0},"citationItems":[{"id":19314,"uris":["http://zotero.org/groups/425949/items/EK8HAKEU"],"itemData":{"id":19314,"type":"article-journal","abstract":"Human cholangiocytes are continuously exposed to millimolar levels of hydrophobic bile salt monomers. We recently hypothesized that an apical biliary HCO3- umbrella might prevent the protonation of biliary glycine-conjugated bile salts and uncontrolled cell entry of the corresponding bile acids, and that defects in this biliary HCO3- umbrella might predispose to chronic cholangiopathies. Here, we tested in vitro whether human cholangiocyte integrity in the presence of millimolar bile salt monomers is dependent on (1) pH, (2) adequate expression of the key HCO3- exporter, anion exchanger 2 (AE2), and (3) an intact cholangiocyte glycocalyx. To address these questions, human immortalized cholangiocytes and cholangiocarcinoma cells were exposed to chenodeoxycholate and its glycine/taurine conjugates at different pH levels. Bile acid uptake was determined radiochemically. Cell viability and apoptosis were measured enzymatically. AE2 was knocked down by lentiviral short hairpin RNA. A cholangiocyte glycocalyx was identified by electron microscopy, was enzymatically desialylated, and sialylation was quantified by flow cytometry. We found that bile acid uptake and toxicity in human immortalized cholangiocytes and cholangiocarcinoma cell lines in vitro were pH and AE2 dependent, with the highest rates at low pH and when AE2 expression was defective. An apical glycocalyx was identified on cholangiocytes in vitro by electron microscopic techniques. Desialylation of this protective layer increased cholangiocellular vulnerability in a pH-dependent manner.\nCONCLUSION: A biliary HCO3- umbrella protects human cholangiocytes against damage by bile acid monomers. An intact glycocalyx and adequate AE2 expression are crucial in this process. Defects of the biliary HCO3- umbrella may lead to the development of chronic cholangiopathies.","container-title":"Hepatology (Baltimore, Md.)","DOI":"10.1002/hep.24691","ISSN":"1527-3350","issue":"1","journalAbbreviation":"Hepatology","language":"eng","note":"PMID: 21932391","page":"173-183","source":"PubMed","title":"A biliary HCO3- umbrella constitutes a protective mechanism against bile acid-induced injury in human cholangiocytes","volume":"55","author":[{"family":"Hohenester","given":"Simon"},{"family":"Wenniger","given":"Lucas Maillette de Buy"},{"family":"Paulusma","given":"Coen C."},{"family":"Vliet","given":"Sandra J.","non-dropping-particle":"van"},{"family":"Jefferson","given":"Douglas M."},{"family":"Elferink","given":"Ronald P. Oude"},{"family":"Beuers","given":"Ulrich"}],"issued":{"date-parts":[["2012",1]]}}}],"schema":"https://github.com/citation-style-language/schema/raw/master/csl-citation.json"} </w:instrText>
      </w:r>
      <w:r w:rsidRPr="00421D1C">
        <w:rPr>
          <w:rFonts w:ascii="Times New Roman" w:hAnsi="Times New Roman" w:cs="Times New Roman"/>
          <w:sz w:val="24"/>
          <w:szCs w:val="24"/>
        </w:rPr>
        <w:fldChar w:fldCharType="separate"/>
      </w:r>
      <w:r w:rsidRPr="00421D1C">
        <w:rPr>
          <w:rFonts w:ascii="Times New Roman" w:hAnsi="Times New Roman" w:cs="Times New Roman"/>
          <w:sz w:val="24"/>
          <w:szCs w:val="24"/>
        </w:rPr>
        <w:t>(Hohenester et al., 2012)</w:t>
      </w:r>
      <w:r w:rsidRPr="00421D1C">
        <w:rPr>
          <w:rFonts w:ascii="Times New Roman" w:hAnsi="Times New Roman" w:cs="Times New Roman"/>
          <w:sz w:val="24"/>
          <w:szCs w:val="24"/>
        </w:rPr>
        <w:fldChar w:fldCharType="end"/>
      </w:r>
      <w:r w:rsidRPr="00421D1C">
        <w:rPr>
          <w:rFonts w:ascii="Times New Roman" w:hAnsi="Times New Roman" w:cs="Times New Roman"/>
          <w:sz w:val="24"/>
          <w:szCs w:val="24"/>
        </w:rPr>
        <w:t>. The HCO</w:t>
      </w:r>
      <w:r w:rsidRPr="00421D1C">
        <w:rPr>
          <w:rFonts w:ascii="Times New Roman" w:hAnsi="Times New Roman" w:cs="Times New Roman"/>
          <w:sz w:val="24"/>
          <w:szCs w:val="24"/>
          <w:vertAlign w:val="subscript"/>
        </w:rPr>
        <w:t>3</w:t>
      </w:r>
      <w:r w:rsidRPr="00421D1C">
        <w:rPr>
          <w:rFonts w:ascii="Times New Roman" w:hAnsi="Times New Roman" w:cs="Times New Roman"/>
          <w:sz w:val="24"/>
          <w:szCs w:val="24"/>
          <w:vertAlign w:val="superscript"/>
        </w:rPr>
        <w:t>-</w:t>
      </w:r>
      <w:r w:rsidRPr="00421D1C">
        <w:rPr>
          <w:rFonts w:ascii="Times New Roman" w:hAnsi="Times New Roman" w:cs="Times New Roman"/>
          <w:sz w:val="24"/>
          <w:szCs w:val="24"/>
        </w:rPr>
        <w:t xml:space="preserve"> umbrella is hypothesized to enable deprotonation of BAs in close proximity to the apical </w:t>
      </w:r>
      <w:proofErr w:type="spellStart"/>
      <w:r w:rsidRPr="00421D1C">
        <w:rPr>
          <w:rFonts w:ascii="Times New Roman" w:hAnsi="Times New Roman" w:cs="Times New Roman"/>
          <w:sz w:val="24"/>
          <w:szCs w:val="24"/>
        </w:rPr>
        <w:t>cholangiocellular</w:t>
      </w:r>
      <w:proofErr w:type="spellEnd"/>
      <w:r w:rsidRPr="00421D1C">
        <w:rPr>
          <w:rFonts w:ascii="Times New Roman" w:hAnsi="Times New Roman" w:cs="Times New Roman"/>
          <w:sz w:val="24"/>
          <w:szCs w:val="24"/>
        </w:rPr>
        <w:t xml:space="preserve"> plasma membrane </w:t>
      </w:r>
      <w:r w:rsidRPr="00421D1C">
        <w:rPr>
          <w:rFonts w:ascii="Times New Roman" w:hAnsi="Times New Roman" w:cs="Times New Roman"/>
          <w:sz w:val="24"/>
          <w:szCs w:val="24"/>
        </w:rPr>
        <w:fldChar w:fldCharType="begin"/>
      </w:r>
      <w:r w:rsidR="0088045B" w:rsidRPr="00421D1C">
        <w:rPr>
          <w:rFonts w:ascii="Times New Roman" w:hAnsi="Times New Roman" w:cs="Times New Roman"/>
          <w:sz w:val="24"/>
          <w:szCs w:val="24"/>
        </w:rPr>
        <w:instrText xml:space="preserve"> ADDIN ZOTERO_ITEM CSL_CITATION {"citationID":"XvsKfuiI","properties":{"formattedCitation":"(Hohenester et al., 2012)","plainCitation":"(Hohenester et al., 2012)","noteIndex":0},"citationItems":[{"id":19314,"uris":["http://zotero.org/groups/425949/items/EK8HAKEU"],"itemData":{"id":19314,"type":"article-journal","abstract":"Human cholangiocytes are continuously exposed to millimolar levels of hydrophobic bile salt monomers. We recently hypothesized that an apical biliary HCO3- umbrella might prevent the protonation of biliary glycine-conjugated bile salts and uncontrolled cell entry of the corresponding bile acids, and that defects in this biliary HCO3- umbrella might predispose to chronic cholangiopathies. Here, we tested in vitro whether human cholangiocyte integrity in the presence of millimolar bile salt monomers is dependent on (1) pH, (2) adequate expression of the key HCO3- exporter, anion exchanger 2 (AE2), and (3) an intact cholangiocyte glycocalyx. To address these questions, human immortalized cholangiocytes and cholangiocarcinoma cells were exposed to chenodeoxycholate and its glycine/taurine conjugates at different pH levels. Bile acid uptake was determined radiochemically. Cell viability and apoptosis were measured enzymatically. AE2 was knocked down by lentiviral short hairpin RNA. A cholangiocyte glycocalyx was identified by electron microscopy, was enzymatically desialylated, and sialylation was quantified by flow cytometry. We found that bile acid uptake and toxicity in human immortalized cholangiocytes and cholangiocarcinoma cell lines in vitro were pH and AE2 dependent, with the highest rates at low pH and when AE2 expression was defective. An apical glycocalyx was identified on cholangiocytes in vitro by electron microscopic techniques. Desialylation of this protective layer increased cholangiocellular vulnerability in a pH-dependent manner.\nCONCLUSION: A biliary HCO3- umbrella protects human cholangiocytes against damage by bile acid monomers. An intact glycocalyx and adequate AE2 expression are crucial in this process. Defects of the biliary HCO3- umbrella may lead to the development of chronic cholangiopathies.","container-title":"Hepatology (Baltimore, Md.)","DOI":"10.1002/hep.24691","ISSN":"1527-3350","issue":"1","journalAbbreviation":"Hepatology","language":"eng","note":"PMID: 21932391","page":"173-183","source":"PubMed","title":"A biliary HCO3- umbrella constitutes a protective mechanism against bile acid-induced injury in human cholangiocytes","volume":"55","author":[{"family":"Hohenester","given":"Simon"},{"family":"Wenniger","given":"Lucas Maillette de Buy"},{"family":"Paulusma","given":"Coen C."},{"family":"Vliet","given":"Sandra J.","non-dropping-particle":"van"},{"family":"Jefferson","given":"Douglas M."},{"family":"Elferink","given":"Ronald P. Oude"},{"family":"Beuers","given":"Ulrich"}],"issued":{"date-parts":[["2012",1]]}}}],"schema":"https://github.com/citation-style-language/schema/raw/master/csl-citation.json"} </w:instrText>
      </w:r>
      <w:r w:rsidRPr="00421D1C">
        <w:rPr>
          <w:rFonts w:ascii="Times New Roman" w:hAnsi="Times New Roman" w:cs="Times New Roman"/>
          <w:sz w:val="24"/>
          <w:szCs w:val="24"/>
        </w:rPr>
        <w:fldChar w:fldCharType="separate"/>
      </w:r>
      <w:r w:rsidRPr="00421D1C">
        <w:rPr>
          <w:rFonts w:ascii="Times New Roman" w:hAnsi="Times New Roman" w:cs="Times New Roman"/>
          <w:sz w:val="24"/>
          <w:szCs w:val="24"/>
        </w:rPr>
        <w:t>(Hohenester et al., 2012)</w:t>
      </w:r>
      <w:r w:rsidRPr="00421D1C">
        <w:rPr>
          <w:rFonts w:ascii="Times New Roman" w:hAnsi="Times New Roman" w:cs="Times New Roman"/>
          <w:sz w:val="24"/>
          <w:szCs w:val="24"/>
        </w:rPr>
        <w:fldChar w:fldCharType="end"/>
      </w:r>
      <w:r w:rsidRPr="00421D1C">
        <w:rPr>
          <w:rFonts w:ascii="Times New Roman" w:hAnsi="Times New Roman" w:cs="Times New Roman"/>
          <w:sz w:val="24"/>
          <w:szCs w:val="24"/>
        </w:rPr>
        <w:t xml:space="preserve">. Interestingly, the gene encoding for the </w:t>
      </w:r>
      <w:proofErr w:type="spellStart"/>
      <w:r w:rsidRPr="00421D1C">
        <w:rPr>
          <w:rFonts w:ascii="Times New Roman" w:hAnsi="Times New Roman" w:cs="Times New Roman"/>
          <w:sz w:val="24"/>
          <w:szCs w:val="24"/>
        </w:rPr>
        <w:t>fucosyltransferase</w:t>
      </w:r>
      <w:proofErr w:type="spellEnd"/>
      <w:r w:rsidRPr="00421D1C">
        <w:rPr>
          <w:rFonts w:ascii="Times New Roman" w:hAnsi="Times New Roman" w:cs="Times New Roman"/>
          <w:sz w:val="24"/>
          <w:szCs w:val="24"/>
        </w:rPr>
        <w:t xml:space="preserve"> 2 enzyme involved in glycocalyx maintenance was found to be a risk factor for PSC </w:t>
      </w:r>
      <w:r w:rsidRPr="00421D1C">
        <w:rPr>
          <w:rFonts w:ascii="Times New Roman" w:hAnsi="Times New Roman" w:cs="Times New Roman"/>
          <w:sz w:val="24"/>
          <w:szCs w:val="24"/>
        </w:rPr>
        <w:fldChar w:fldCharType="begin"/>
      </w:r>
      <w:r w:rsidR="0088045B" w:rsidRPr="00421D1C">
        <w:rPr>
          <w:rFonts w:ascii="Times New Roman" w:hAnsi="Times New Roman" w:cs="Times New Roman"/>
          <w:sz w:val="24"/>
          <w:szCs w:val="24"/>
        </w:rPr>
        <w:instrText xml:space="preserve"> ADDIN ZOTERO_ITEM CSL_CITATION {"citationID":"wiMClGrK","properties":{"formattedCitation":"(Hohenester et al., 2012)","plainCitation":"(Hohenester et al., 2012)","noteIndex":0},"citationItems":[{"id":19314,"uris":["http://zotero.org/groups/425949/items/EK8HAKEU"],"itemData":{"id":19314,"type":"article-journal","abstract":"Human cholangiocytes are continuously exposed to millimolar levels of hydrophobic bile salt monomers. We recently hypothesized that an apical biliary HCO3- umbrella might prevent the protonation of biliary glycine-conjugated bile salts and uncontrolled cell entry of the corresponding bile acids, and that defects in this biliary HCO3- umbrella might predispose to chronic cholangiopathies. Here, we tested in vitro whether human cholangiocyte integrity in the presence of millimolar bile salt monomers is dependent on (1) pH, (2) adequate expression of the key HCO3- exporter, anion exchanger 2 (AE2), and (3) an intact cholangiocyte glycocalyx. To address these questions, human immortalized cholangiocytes and cholangiocarcinoma cells were exposed to chenodeoxycholate and its glycine/taurine conjugates at different pH levels. Bile acid uptake was determined radiochemically. Cell viability and apoptosis were measured enzymatically. AE2 was knocked down by lentiviral short hairpin RNA. A cholangiocyte glycocalyx was identified by electron microscopy, was enzymatically desialylated, and sialylation was quantified by flow cytometry. We found that bile acid uptake and toxicity in human immortalized cholangiocytes and cholangiocarcinoma cell lines in vitro were pH and AE2 dependent, with the highest rates at low pH and when AE2 expression was defective. An apical glycocalyx was identified on cholangiocytes in vitro by electron microscopic techniques. Desialylation of this protective layer increased cholangiocellular vulnerability in a pH-dependent manner.\nCONCLUSION: A biliary HCO3- umbrella protects human cholangiocytes against damage by bile acid monomers. An intact glycocalyx and adequate AE2 expression are crucial in this process. Defects of the biliary HCO3- umbrella may lead to the development of chronic cholangiopathies.","container-title":"Hepatology (Baltimore, Md.)","DOI":"10.1002/hep.24691","ISSN":"1527-3350","issue":"1","journalAbbreviation":"Hepatology","language":"eng","note":"PMID: 21932391","page":"173-183","source":"PubMed","title":"A biliary HCO3- umbrella constitutes a protective mechanism against bile acid-induced injury in human cholangiocytes","volume":"55","author":[{"family":"Hohenester","given":"Simon"},{"family":"Wenniger","given":"Lucas Maillette de Buy"},{"family":"Paulusma","given":"Coen C."},{"family":"Vliet","given":"Sandra J.","non-dropping-particle":"van"},{"family":"Jefferson","given":"Douglas M."},{"family":"Elferink","given":"Ronald P. Oude"},{"family":"Beuers","given":"Ulrich"}],"issued":{"date-parts":[["2012",1]]}}}],"schema":"https://github.com/citation-style-language/schema/raw/master/csl-citation.json"} </w:instrText>
      </w:r>
      <w:r w:rsidRPr="00421D1C">
        <w:rPr>
          <w:rFonts w:ascii="Times New Roman" w:hAnsi="Times New Roman" w:cs="Times New Roman"/>
          <w:sz w:val="24"/>
          <w:szCs w:val="24"/>
        </w:rPr>
        <w:fldChar w:fldCharType="separate"/>
      </w:r>
      <w:r w:rsidRPr="00421D1C">
        <w:rPr>
          <w:rFonts w:ascii="Times New Roman" w:hAnsi="Times New Roman" w:cs="Times New Roman"/>
          <w:sz w:val="24"/>
          <w:szCs w:val="24"/>
        </w:rPr>
        <w:t>(Hohenester et al., 2012)</w:t>
      </w:r>
      <w:r w:rsidRPr="00421D1C">
        <w:rPr>
          <w:rFonts w:ascii="Times New Roman" w:hAnsi="Times New Roman" w:cs="Times New Roman"/>
          <w:sz w:val="24"/>
          <w:szCs w:val="24"/>
        </w:rPr>
        <w:fldChar w:fldCharType="end"/>
      </w:r>
      <w:r w:rsidRPr="00421D1C">
        <w:rPr>
          <w:rFonts w:ascii="Times New Roman" w:hAnsi="Times New Roman" w:cs="Times New Roman"/>
          <w:sz w:val="24"/>
          <w:szCs w:val="24"/>
        </w:rPr>
        <w:t>. Furthermore, AE2 expression is downregulated in PBC, resulting in impaired HCO</w:t>
      </w:r>
      <w:r w:rsidRPr="00421D1C">
        <w:rPr>
          <w:rFonts w:ascii="Times New Roman" w:hAnsi="Times New Roman" w:cs="Times New Roman"/>
          <w:sz w:val="24"/>
          <w:szCs w:val="24"/>
          <w:vertAlign w:val="subscript"/>
        </w:rPr>
        <w:t>3</w:t>
      </w:r>
      <w:r w:rsidRPr="00421D1C">
        <w:rPr>
          <w:rFonts w:ascii="Times New Roman" w:hAnsi="Times New Roman" w:cs="Times New Roman"/>
          <w:sz w:val="24"/>
          <w:szCs w:val="24"/>
          <w:vertAlign w:val="superscript"/>
        </w:rPr>
        <w:t>-</w:t>
      </w:r>
      <w:r w:rsidRPr="00421D1C">
        <w:rPr>
          <w:rFonts w:ascii="Times New Roman" w:hAnsi="Times New Roman" w:cs="Times New Roman"/>
          <w:sz w:val="24"/>
          <w:szCs w:val="24"/>
        </w:rPr>
        <w:t xml:space="preserve"> secretion </w:t>
      </w:r>
      <w:r w:rsidRPr="00421D1C">
        <w:rPr>
          <w:rFonts w:ascii="Times New Roman" w:hAnsi="Times New Roman" w:cs="Times New Roman"/>
          <w:sz w:val="24"/>
          <w:szCs w:val="24"/>
        </w:rPr>
        <w:fldChar w:fldCharType="begin"/>
      </w:r>
      <w:r w:rsidR="0088045B" w:rsidRPr="00421D1C">
        <w:rPr>
          <w:rFonts w:ascii="Times New Roman" w:hAnsi="Times New Roman" w:cs="Times New Roman"/>
          <w:sz w:val="24"/>
          <w:szCs w:val="24"/>
        </w:rPr>
        <w:instrText xml:space="preserve"> ADDIN ZOTERO_ITEM CSL_CITATION {"citationID":"pIGTLUCX","properties":{"formattedCitation":"(Banales et al., 2019)","plainCitation":"(Banales et al., 2019)","noteIndex":0},"citationItems":[{"id":19034,"uris":["http://zotero.org/groups/425949/items/PM3EVRHW"],"itemData":{"id":19034,"type":"article-journal","abstract":"Cholangiocytes, the epithelial cells lining the intrahepatic and extrahepatic bile ducts, are highly specialized cells residing in a complex anatomic niche where they participate in bile production and homeostasis. Cholangiocytes are damaged in a variety of human diseases termed cholangiopathies, often causing advanced liver failure. The regulation of cholangiocyte transport properties is increasingly understood, as is their anatomical and functional heterogeneity along the biliary tract. Furthermore, cholangiocytes are pivotal in liver regeneration, especially when hepatocyte regeneration is compromised. The role of cholangiocytes in innate and adaptive immune responses, a critical subject relevant to immune-mediated cholangiopathies, is also emerging. Finally, reactive ductular cells are present in many cholestatic and other liver diseases. In chronic disease states, this repair response contributes to liver inflammation, fibrosis and carcinogenesis and is a subject of intense investigation. This Review highlights advances in cholangiocyte research, especially their role in development and liver regeneration, their functional and biochemical heterogeneity, their activation and involvement in inflammation and fibrosis and their engagement with the immune system. We aim to focus further attention on cholangiocyte pathobiology and the search for new disease-modifying therapies targeting the cholangiopathies.","container-title":"Nature Reviews. Gastroenterology &amp; Hepatology","DOI":"10.1038/s41575-019-0125-y","ISSN":"1759-5053","issue":"5","journalAbbreviation":"Nat Rev Gastroenterol Hepatol","language":"eng","note":"PMID: 30850822\nPMCID: PMC6563606","page":"269-281","source":"PubMed","title":"Cholangiocyte pathobiology","volume":"16","author":[{"family":"Banales","given":"Jesus M."},{"family":"Huebert","given":"Robert C."},{"family":"Karlsen","given":"Tom"},{"family":"Strazzabosco","given":"Mario"},{"family":"LaRusso","given":"Nicholas F."},{"family":"Gores","given":"Gregory J."}],"issued":{"date-parts":[["2019",5]]}}}],"schema":"https://github.com/citation-style-language/schema/raw/master/csl-citation.json"} </w:instrText>
      </w:r>
      <w:r w:rsidRPr="00421D1C">
        <w:rPr>
          <w:rFonts w:ascii="Times New Roman" w:hAnsi="Times New Roman" w:cs="Times New Roman"/>
          <w:sz w:val="24"/>
          <w:szCs w:val="24"/>
        </w:rPr>
        <w:fldChar w:fldCharType="separate"/>
      </w:r>
      <w:r w:rsidRPr="00421D1C">
        <w:rPr>
          <w:rFonts w:ascii="Times New Roman" w:hAnsi="Times New Roman" w:cs="Times New Roman"/>
          <w:sz w:val="24"/>
          <w:szCs w:val="24"/>
        </w:rPr>
        <w:t>(Banales et al., 2019)</w:t>
      </w:r>
      <w:r w:rsidRPr="00421D1C">
        <w:rPr>
          <w:rFonts w:ascii="Times New Roman" w:hAnsi="Times New Roman" w:cs="Times New Roman"/>
          <w:sz w:val="24"/>
          <w:szCs w:val="24"/>
        </w:rPr>
        <w:fldChar w:fldCharType="end"/>
      </w:r>
      <w:r w:rsidRPr="00421D1C">
        <w:rPr>
          <w:rFonts w:ascii="Times New Roman" w:hAnsi="Times New Roman" w:cs="Times New Roman"/>
          <w:sz w:val="24"/>
          <w:szCs w:val="24"/>
        </w:rPr>
        <w:t>.</w:t>
      </w:r>
    </w:p>
    <w:p w14:paraId="1C65631B" w14:textId="47820822" w:rsidR="00EB16DA" w:rsidRPr="00421D1C" w:rsidRDefault="00DC279C" w:rsidP="00421D1C">
      <w:pPr>
        <w:jc w:val="both"/>
        <w:rPr>
          <w:rFonts w:ascii="Times New Roman" w:hAnsi="Times New Roman" w:cs="Times New Roman"/>
          <w:sz w:val="24"/>
          <w:szCs w:val="24"/>
        </w:rPr>
      </w:pPr>
      <w:r w:rsidRPr="00421D1C">
        <w:rPr>
          <w:rFonts w:ascii="Times New Roman" w:hAnsi="Times New Roman" w:cs="Times New Roman"/>
          <w:sz w:val="24"/>
          <w:szCs w:val="24"/>
        </w:rPr>
        <w:t>The secretion of biliary HCO</w:t>
      </w:r>
      <w:r w:rsidRPr="00421D1C">
        <w:rPr>
          <w:rFonts w:ascii="Times New Roman" w:hAnsi="Times New Roman" w:cs="Times New Roman"/>
          <w:sz w:val="24"/>
          <w:szCs w:val="24"/>
          <w:vertAlign w:val="subscript"/>
        </w:rPr>
        <w:t>3</w:t>
      </w:r>
      <w:r w:rsidRPr="00421D1C">
        <w:rPr>
          <w:rFonts w:ascii="Times New Roman" w:hAnsi="Times New Roman" w:cs="Times New Roman"/>
          <w:sz w:val="24"/>
          <w:szCs w:val="24"/>
          <w:vertAlign w:val="superscript"/>
        </w:rPr>
        <w:t>-</w:t>
      </w:r>
      <w:r w:rsidRPr="00421D1C">
        <w:rPr>
          <w:rFonts w:ascii="Times New Roman" w:hAnsi="Times New Roman" w:cs="Times New Roman"/>
          <w:sz w:val="24"/>
          <w:szCs w:val="24"/>
        </w:rPr>
        <w:t xml:space="preserve"> is triggered by the gastrointestinal hormone secretin during the postprandial period </w:t>
      </w:r>
      <w:r w:rsidRPr="00421D1C">
        <w:rPr>
          <w:rFonts w:ascii="Times New Roman" w:hAnsi="Times New Roman" w:cs="Times New Roman"/>
          <w:sz w:val="24"/>
          <w:szCs w:val="24"/>
        </w:rPr>
        <w:fldChar w:fldCharType="begin"/>
      </w:r>
      <w:r w:rsidR="00E06F62" w:rsidRPr="00421D1C">
        <w:rPr>
          <w:rFonts w:ascii="Times New Roman" w:hAnsi="Times New Roman" w:cs="Times New Roman"/>
          <w:sz w:val="24"/>
          <w:szCs w:val="24"/>
        </w:rPr>
        <w:instrText xml:space="preserve"> ADDIN ZOTERO_ITEM CSL_CITATION {"citationID":"AxNAAXaC","properties":{"formattedCitation":"(Banales et al., 2019)","plainCitation":"(Banales et al., 2019)","noteIndex":0},"citationItems":[{"id":19034,"uris":["http://zotero.org/groups/425949/items/PM3EVRHW"],"itemData":{"id":19034,"type":"article-journal","abstract":"Cholangiocytes, the epithelial cells lining the intrahepatic and extrahepatic bile ducts, are highly specialized cells residing in a complex anatomic niche where they participate in bile production and homeostasis. Cholangiocytes are damaged in a variety of human diseases termed cholangiopathies, often causing advanced liver failure. The regulation of cholangiocyte transport properties is increasingly understood, as is their anatomical and functional heterogeneity along the biliary tract. Furthermore, cholangiocytes are pivotal in liver regeneration, especially when hepatocyte regeneration is compromised. The role of cholangiocytes in innate and adaptive immune responses, a critical subject relevant to immune-mediated cholangiopathies, is also emerging. Finally, reactive ductular cells are present in many cholestatic and other liver diseases. In chronic disease states, this repair response contributes to liver inflammation, fibrosis and carcinogenesis and is a subject of intense investigation. This Review highlights advances in cholangiocyte research, especially their role in development and liver regeneration, their functional and biochemical heterogeneity, their activation and involvement in inflammation and fibrosis and their engagement with the immune system. We aim to focus further attention on cholangiocyte pathobiology and the search for new disease-modifying therapies targeting the cholangiopathies.","container-title":"Nature Reviews. Gastroenterology &amp; Hepatology","DOI":"10.1038/s41575-019-0125-y","ISSN":"1759-5053","issue":"5","journalAbbreviation":"Nat Rev Gastroenterol Hepatol","language":"eng","note":"PMID: 30850822\nPMCID: PMC6563606","page":"269-281","source":"PubMed","title":"Cholangiocyte pathobiology","volume":"16","author":[{"family":"Banales","given":"Jesus M."},{"family":"Huebert","given":"Robert C."},{"family":"Karlsen","given":"Tom"},{"family":"Strazzabosco","given":"Mario"},{"family":"LaRusso","given":"Nicholas F."},{"family":"Gores","given":"Gregory J."}],"issued":{"date-parts":[["2019",5]]}}}],"schema":"https://github.com/citation-style-language/schema/raw/master/csl-citation.json"} </w:instrText>
      </w:r>
      <w:r w:rsidRPr="00421D1C">
        <w:rPr>
          <w:rFonts w:ascii="Times New Roman" w:hAnsi="Times New Roman" w:cs="Times New Roman"/>
          <w:sz w:val="24"/>
          <w:szCs w:val="24"/>
        </w:rPr>
        <w:fldChar w:fldCharType="separate"/>
      </w:r>
      <w:r w:rsidRPr="00421D1C">
        <w:rPr>
          <w:rFonts w:ascii="Times New Roman" w:hAnsi="Times New Roman" w:cs="Times New Roman"/>
          <w:sz w:val="24"/>
          <w:szCs w:val="24"/>
        </w:rPr>
        <w:t>(Banales et al., 2019)</w:t>
      </w:r>
      <w:r w:rsidRPr="00421D1C">
        <w:rPr>
          <w:rFonts w:ascii="Times New Roman" w:hAnsi="Times New Roman" w:cs="Times New Roman"/>
          <w:sz w:val="24"/>
          <w:szCs w:val="24"/>
        </w:rPr>
        <w:fldChar w:fldCharType="end"/>
      </w:r>
      <w:r w:rsidR="006D2903" w:rsidRPr="00421D1C">
        <w:rPr>
          <w:rFonts w:ascii="Times New Roman" w:hAnsi="Times New Roman" w:cs="Times New Roman"/>
          <w:sz w:val="24"/>
          <w:szCs w:val="24"/>
        </w:rPr>
        <w:t xml:space="preserve">, resulting in a signaling cascade ultimately leading to AE2-mediated efflux of </w:t>
      </w:r>
      <w:r w:rsidR="00A614E8" w:rsidRPr="00421D1C">
        <w:rPr>
          <w:rFonts w:ascii="Times New Roman" w:hAnsi="Times New Roman" w:cs="Times New Roman"/>
          <w:sz w:val="24"/>
          <w:szCs w:val="24"/>
        </w:rPr>
        <w:t>HCO</w:t>
      </w:r>
      <w:r w:rsidR="00A614E8" w:rsidRPr="00421D1C">
        <w:rPr>
          <w:rFonts w:ascii="Times New Roman" w:hAnsi="Times New Roman" w:cs="Times New Roman"/>
          <w:sz w:val="24"/>
          <w:szCs w:val="24"/>
          <w:vertAlign w:val="subscript"/>
        </w:rPr>
        <w:t>3</w:t>
      </w:r>
      <w:r w:rsidR="00A614E8" w:rsidRPr="00421D1C">
        <w:rPr>
          <w:rFonts w:ascii="Times New Roman" w:hAnsi="Times New Roman" w:cs="Times New Roman"/>
          <w:sz w:val="24"/>
          <w:szCs w:val="24"/>
          <w:vertAlign w:val="superscript"/>
        </w:rPr>
        <w:t>-</w:t>
      </w:r>
      <w:r w:rsidRPr="00421D1C">
        <w:rPr>
          <w:rFonts w:ascii="Times New Roman" w:hAnsi="Times New Roman" w:cs="Times New Roman"/>
          <w:sz w:val="24"/>
          <w:szCs w:val="24"/>
        </w:rPr>
        <w:t xml:space="preserve">. </w:t>
      </w:r>
      <w:r w:rsidR="00531684" w:rsidRPr="00421D1C">
        <w:rPr>
          <w:rFonts w:ascii="Times New Roman" w:hAnsi="Times New Roman" w:cs="Times New Roman"/>
          <w:sz w:val="24"/>
          <w:szCs w:val="24"/>
        </w:rPr>
        <w:t xml:space="preserve">Secretin-stimulated biliary </w:t>
      </w:r>
      <w:r w:rsidR="00A614E8" w:rsidRPr="00421D1C">
        <w:rPr>
          <w:rFonts w:ascii="Times New Roman" w:hAnsi="Times New Roman" w:cs="Times New Roman"/>
          <w:sz w:val="24"/>
          <w:szCs w:val="24"/>
        </w:rPr>
        <w:t>HCO</w:t>
      </w:r>
      <w:r w:rsidR="00A614E8" w:rsidRPr="00421D1C">
        <w:rPr>
          <w:rFonts w:ascii="Times New Roman" w:hAnsi="Times New Roman" w:cs="Times New Roman"/>
          <w:sz w:val="24"/>
          <w:szCs w:val="24"/>
          <w:vertAlign w:val="subscript"/>
        </w:rPr>
        <w:t>3</w:t>
      </w:r>
      <w:r w:rsidR="00A614E8" w:rsidRPr="00421D1C">
        <w:rPr>
          <w:rFonts w:ascii="Times New Roman" w:hAnsi="Times New Roman" w:cs="Times New Roman"/>
          <w:sz w:val="24"/>
          <w:szCs w:val="24"/>
          <w:vertAlign w:val="superscript"/>
        </w:rPr>
        <w:t>-</w:t>
      </w:r>
      <w:r w:rsidR="00275109" w:rsidRPr="00421D1C">
        <w:rPr>
          <w:rFonts w:ascii="Times New Roman" w:hAnsi="Times New Roman" w:cs="Times New Roman"/>
          <w:sz w:val="24"/>
          <w:szCs w:val="24"/>
        </w:rPr>
        <w:t xml:space="preserve"> </w:t>
      </w:r>
      <w:r w:rsidR="00531684" w:rsidRPr="00421D1C">
        <w:rPr>
          <w:rFonts w:ascii="Times New Roman" w:hAnsi="Times New Roman" w:cs="Times New Roman"/>
          <w:sz w:val="24"/>
          <w:szCs w:val="24"/>
        </w:rPr>
        <w:t xml:space="preserve">secretion is dependent on </w:t>
      </w:r>
      <w:r w:rsidR="00275109" w:rsidRPr="00421D1C">
        <w:rPr>
          <w:rFonts w:ascii="Times New Roman" w:hAnsi="Times New Roman" w:cs="Times New Roman"/>
          <w:sz w:val="24"/>
          <w:szCs w:val="24"/>
        </w:rPr>
        <w:t>BA concentrations</w:t>
      </w:r>
      <w:r w:rsidR="00531684" w:rsidRPr="00421D1C">
        <w:rPr>
          <w:rFonts w:ascii="Times New Roman" w:hAnsi="Times New Roman" w:cs="Times New Roman"/>
          <w:sz w:val="24"/>
          <w:szCs w:val="24"/>
        </w:rPr>
        <w:t xml:space="preserve"> </w:t>
      </w:r>
      <w:r w:rsidR="00531684" w:rsidRPr="00421D1C">
        <w:rPr>
          <w:rFonts w:ascii="Times New Roman" w:hAnsi="Times New Roman" w:cs="Times New Roman"/>
          <w:sz w:val="24"/>
          <w:szCs w:val="24"/>
        </w:rPr>
        <w:fldChar w:fldCharType="begin"/>
      </w:r>
      <w:r w:rsidR="00E06F62" w:rsidRPr="00421D1C">
        <w:rPr>
          <w:rFonts w:ascii="Times New Roman" w:hAnsi="Times New Roman" w:cs="Times New Roman"/>
          <w:sz w:val="24"/>
          <w:szCs w:val="24"/>
        </w:rPr>
        <w:instrText xml:space="preserve"> ADDIN ZOTERO_ITEM CSL_CITATION {"citationID":"sBy7xOo2","properties":{"formattedCitation":"(Banales et al., 2019)","plainCitation":"(Banales et al., 2019)","noteIndex":0},"citationItems":[{"id":19034,"uris":["http://zotero.org/groups/425949/items/PM3EVRHW"],"itemData":{"id":19034,"type":"article-journal","abstract":"Cholangiocytes, the epithelial cells lining the intrahepatic and extrahepatic bile ducts, are highly specialized cells residing in a complex anatomic niche where they participate in bile production and homeostasis. Cholangiocytes are damaged in a variety of human diseases termed cholangiopathies, often causing advanced liver failure. The regulation of cholangiocyte transport properties is increasingly understood, as is their anatomical and functional heterogeneity along the biliary tract. Furthermore, cholangiocytes are pivotal in liver regeneration, especially when hepatocyte regeneration is compromised. The role of cholangiocytes in innate and adaptive immune responses, a critical subject relevant to immune-mediated cholangiopathies, is also emerging. Finally, reactive ductular cells are present in many cholestatic and other liver diseases. In chronic disease states, this repair response contributes to liver inflammation, fibrosis and carcinogenesis and is a subject of intense investigation. This Review highlights advances in cholangiocyte research, especially their role in development and liver regeneration, their functional and biochemical heterogeneity, their activation and involvement in inflammation and fibrosis and their engagement with the immune system. We aim to focus further attention on cholangiocyte pathobiology and the search for new disease-modifying therapies targeting the cholangiopathies.","container-title":"Nature Reviews. Gastroenterology &amp; Hepatology","DOI":"10.1038/s41575-019-0125-y","ISSN":"1759-5053","issue":"5","journalAbbreviation":"Nat Rev Gastroenterol Hepatol","language":"eng","note":"PMID: 30850822\nPMCID: PMC6563606","page":"269-281","source":"PubMed","title":"Cholangiocyte pathobiology","volume":"16","author":[{"family":"Banales","given":"Jesus M."},{"family":"Huebert","given":"Robert C."},{"family":"Karlsen","given":"Tom"},{"family":"Strazzabosco","given":"Mario"},{"family":"LaRusso","given":"Nicholas F."},{"family":"Gores","given":"Gregory J."}],"issued":{"date-parts":[["2019",5]]}}}],"schema":"https://github.com/citation-style-language/schema/raw/master/csl-citation.json"} </w:instrText>
      </w:r>
      <w:r w:rsidR="00531684" w:rsidRPr="00421D1C">
        <w:rPr>
          <w:rFonts w:ascii="Times New Roman" w:hAnsi="Times New Roman" w:cs="Times New Roman"/>
          <w:sz w:val="24"/>
          <w:szCs w:val="24"/>
        </w:rPr>
        <w:fldChar w:fldCharType="separate"/>
      </w:r>
      <w:r w:rsidR="00531684" w:rsidRPr="00421D1C">
        <w:rPr>
          <w:rFonts w:ascii="Times New Roman" w:hAnsi="Times New Roman" w:cs="Times New Roman"/>
          <w:sz w:val="24"/>
          <w:szCs w:val="24"/>
        </w:rPr>
        <w:t>(Banales et al., 2019)</w:t>
      </w:r>
      <w:r w:rsidR="00531684" w:rsidRPr="00421D1C">
        <w:rPr>
          <w:rFonts w:ascii="Times New Roman" w:hAnsi="Times New Roman" w:cs="Times New Roman"/>
          <w:sz w:val="24"/>
          <w:szCs w:val="24"/>
        </w:rPr>
        <w:fldChar w:fldCharType="end"/>
      </w:r>
      <w:r w:rsidR="00046016" w:rsidRPr="00421D1C">
        <w:rPr>
          <w:rFonts w:ascii="Times New Roman" w:hAnsi="Times New Roman" w:cs="Times New Roman"/>
          <w:sz w:val="24"/>
          <w:szCs w:val="24"/>
        </w:rPr>
        <w:t xml:space="preserve">, which is supported by </w:t>
      </w:r>
      <w:r w:rsidR="007C1E65" w:rsidRPr="00421D1C">
        <w:rPr>
          <w:rFonts w:ascii="Times New Roman" w:hAnsi="Times New Roman" w:cs="Times New Roman"/>
          <w:sz w:val="24"/>
          <w:szCs w:val="24"/>
        </w:rPr>
        <w:t xml:space="preserve">reports </w:t>
      </w:r>
      <w:r w:rsidR="00046016" w:rsidRPr="00421D1C">
        <w:rPr>
          <w:rFonts w:ascii="Times New Roman" w:hAnsi="Times New Roman" w:cs="Times New Roman"/>
          <w:sz w:val="24"/>
          <w:szCs w:val="24"/>
        </w:rPr>
        <w:t>that b</w:t>
      </w:r>
      <w:r w:rsidR="00367C0E" w:rsidRPr="00421D1C">
        <w:rPr>
          <w:rFonts w:ascii="Times New Roman" w:hAnsi="Times New Roman" w:cs="Times New Roman"/>
          <w:sz w:val="24"/>
          <w:szCs w:val="24"/>
        </w:rPr>
        <w:t xml:space="preserve">iliary BA concentrations and composition regulate secretory function of cholangiocytes </w:t>
      </w:r>
      <w:r w:rsidR="00367C0E" w:rsidRPr="00421D1C">
        <w:rPr>
          <w:rFonts w:ascii="Times New Roman" w:hAnsi="Times New Roman" w:cs="Times New Roman"/>
          <w:sz w:val="24"/>
          <w:szCs w:val="24"/>
        </w:rPr>
        <w:fldChar w:fldCharType="begin"/>
      </w:r>
      <w:r w:rsidR="00E06F62" w:rsidRPr="00421D1C">
        <w:rPr>
          <w:rFonts w:ascii="Times New Roman" w:hAnsi="Times New Roman" w:cs="Times New Roman"/>
          <w:sz w:val="24"/>
          <w:szCs w:val="24"/>
        </w:rPr>
        <w:instrText xml:space="preserve"> ADDIN ZOTERO_ITEM CSL_CITATION {"citationID":"vUHqMTji","properties":{"formattedCitation":"(Alpini et al., 1999; Arab et al., 2017)","plainCitation":"(Alpini et al., 1999; Arab et al., 2017)","noteIndex":0},"citationItems":[{"id":19038,"uris":["http://zotero.org/groups/425949/items/ZGG9DDM2"],"itemData":{"id":19038,"type":"article-journal","abstract":"BACKGROUND &amp; AIMS: We have shown that taurocholate (TC) and taurolithocholate (TLC) interact in vitro with normal cholangiocytes, increasing DNA synthesis, secretin receptor (SR) gene expression, and adenosine 3',5'-cyclic monophosphate (cAMP) synthesis. To further extend these in vitro studies, we tested the hypothesis that bile acids (BAs) directly stimulate cholangiocyte proliferation and secretion in vivo.\nMETHODS: After feeding with TC or TLC (1% for 1-4 weeks), we assessed the following in vivo: (1) ductal proliferation by both morphometry and immunohistochemistry for proliferating cell nuclear antigen (PCNA) and measurement of [3H]thymidine incorporation; and (2) the effect of secretin on bile secretion and bicarbonate secretion in vivo. Genetic expression of H3-histone and SR and intracellular cAMP levels were measured in isolated cholangiocytes.\nRESULTS: After BA feeding, there was an increased number of PCNA-positive cholangiocytes and an increased number of ducts compared with control rats. [3H]Thymidine incorporation, absent in control cholangiocytes, was increased in cholangiocytes from BA-fed rats. In BA-fed rats, there was increased SR gene expression (approximately 2.5-fold) and secretin-induced cAMP levels (approximately 3.0-fold) in cholangiocytes, which was associated with de novo secretin-stimulated bile flow and bicarbonate secretion.\nCONCLUSIONS: These data indicate that elevated BA levels stimulate ductal secretion and cholangiocyte proliferation.","container-title":"Gastroenterology","DOI":"10.1016/s0016-5085(99)70242-8","ISSN":"0016-5085","issue":"1","journalAbbreviation":"Gastroenterology","language":"eng","note":"PMID: 9869616","page":"179-186","source":"PubMed","title":"Bile acid feeding induces cholangiocyte proliferation and secretion: evidence for bile acid-regulated ductal secretion","title-short":"Bile acid feeding induces cholangiocyte proliferation and secretion","volume":"116","author":[{"family":"Alpini","given":"G."},{"family":"Glaser","given":"S. S."},{"family":"Ueno","given":"Y."},{"family":"Rodgers","given":"R."},{"family":"Phinizy","given":"J. L."},{"family":"Francis","given":"H."},{"family":"Baiocchi","given":"L."},{"family":"Holcomb","given":"L. A."},{"family":"Caligiuri","given":"A."},{"family":"LeSage","given":"G. D."}],"issued":{"date-parts":[["1999",1]]}}},{"id":19037,"uris":["http://zotero.org/groups/425949/items/EPFKI27L"],"itemData":{"id":19037,"type":"article-journal","abstract":"Bile acids (BA) are key molecules in generating bile flow, which is an essential function of the liver. In the last decades there have been great advances in the understanding of the role of a number of specific transport proteins present at the sinusoidal and canalicular membrane domains of hepatocytes and cholangiocytes in generating and maintaining bile flow. Also, a clearer understanding on how BA regulate their own synthesis and the expression and/or function of transporters has been reached. This new knowledge has helped to better delineate the pathophysiology of cholestasis and the adaptive responses of hepatocytes to cholestatic liver injury as well as of the mechanisms of injury of biliary epithelia. In this context, therapeutic approaches including new hydrophilic BA such as the conjugation-resistant nor- ursodeoxycholic acid, nuclear receptors (FXR, PPAR-alpha) agonists, FGF19 analogues, inhibitors of the apical sodium-dependent bile acid transporter [ASBT] and modulators of the inflammatory cascade triggered by BAs are being studied as novel treatments of cholestasis. In the present review we summarize recent experimental and clinical data on the role of BAs in cholestasis and its treatment.","container-title":"Annals of Hepatology","DOI":"10.5604/01.3001.0010.5497","ISSN":"1665-2681","issue":"Suppl. 1: s3-105.","journalAbbreviation":"Ann Hepatol","language":"eng","note":"PMID: 29080340","page":"s53-s57","source":"PubMed","title":"Bile Acids in Cholestasis and its Treatment","volume":"16","author":[{"family":"Arab","given":"Juan Pablo"},{"family":"Cabrera","given":"Daniel"},{"family":"Arrese","given":"Marco"}],"issued":{"date-parts":[["2017",11]]}}}],"schema":"https://github.com/citation-style-language/schema/raw/master/csl-citation.json"} </w:instrText>
      </w:r>
      <w:r w:rsidR="00367C0E" w:rsidRPr="00421D1C">
        <w:rPr>
          <w:rFonts w:ascii="Times New Roman" w:hAnsi="Times New Roman" w:cs="Times New Roman"/>
          <w:sz w:val="24"/>
          <w:szCs w:val="24"/>
        </w:rPr>
        <w:fldChar w:fldCharType="separate"/>
      </w:r>
      <w:r w:rsidR="00C31CBD" w:rsidRPr="00421D1C">
        <w:rPr>
          <w:rFonts w:ascii="Times New Roman" w:hAnsi="Times New Roman" w:cs="Times New Roman"/>
          <w:sz w:val="24"/>
          <w:szCs w:val="24"/>
        </w:rPr>
        <w:t>(Alpini et al., 1999; Arab et al., 2017)</w:t>
      </w:r>
      <w:r w:rsidR="00367C0E" w:rsidRPr="00421D1C">
        <w:rPr>
          <w:rFonts w:ascii="Times New Roman" w:hAnsi="Times New Roman" w:cs="Times New Roman"/>
          <w:sz w:val="24"/>
          <w:szCs w:val="24"/>
        </w:rPr>
        <w:fldChar w:fldCharType="end"/>
      </w:r>
      <w:r w:rsidR="00046016" w:rsidRPr="00421D1C">
        <w:rPr>
          <w:rFonts w:ascii="Times New Roman" w:hAnsi="Times New Roman" w:cs="Times New Roman"/>
          <w:sz w:val="24"/>
          <w:szCs w:val="24"/>
        </w:rPr>
        <w:t xml:space="preserve">. </w:t>
      </w:r>
      <w:r w:rsidR="001F49AC" w:rsidRPr="00421D1C">
        <w:rPr>
          <w:rFonts w:ascii="Times New Roman" w:hAnsi="Times New Roman" w:cs="Times New Roman"/>
          <w:sz w:val="24"/>
          <w:szCs w:val="24"/>
        </w:rPr>
        <w:t xml:space="preserve">The G protein-coupled </w:t>
      </w:r>
      <w:r w:rsidR="00C4473A" w:rsidRPr="00421D1C">
        <w:rPr>
          <w:rFonts w:ascii="Times New Roman" w:hAnsi="Times New Roman" w:cs="Times New Roman"/>
          <w:sz w:val="24"/>
          <w:szCs w:val="24"/>
        </w:rPr>
        <w:t>BA</w:t>
      </w:r>
      <w:r w:rsidR="001F49AC" w:rsidRPr="00421D1C">
        <w:rPr>
          <w:rFonts w:ascii="Times New Roman" w:hAnsi="Times New Roman" w:cs="Times New Roman"/>
          <w:sz w:val="24"/>
          <w:szCs w:val="24"/>
        </w:rPr>
        <w:t xml:space="preserve"> receptor 1 (GPBAR1), or TGR5, resides on the tip of the </w:t>
      </w:r>
      <w:proofErr w:type="spellStart"/>
      <w:r w:rsidR="001F49AC" w:rsidRPr="00421D1C">
        <w:rPr>
          <w:rFonts w:ascii="Times New Roman" w:hAnsi="Times New Roman" w:cs="Times New Roman"/>
          <w:sz w:val="24"/>
          <w:szCs w:val="24"/>
        </w:rPr>
        <w:t>cholangiocellular</w:t>
      </w:r>
      <w:proofErr w:type="spellEnd"/>
      <w:r w:rsidR="001F49AC" w:rsidRPr="00421D1C">
        <w:rPr>
          <w:rFonts w:ascii="Times New Roman" w:hAnsi="Times New Roman" w:cs="Times New Roman"/>
          <w:sz w:val="24"/>
          <w:szCs w:val="24"/>
        </w:rPr>
        <w:t xml:space="preserve"> cilia</w:t>
      </w:r>
      <w:r w:rsidR="00AF17CA" w:rsidRPr="00421D1C">
        <w:rPr>
          <w:rFonts w:ascii="Times New Roman" w:hAnsi="Times New Roman" w:cs="Times New Roman"/>
          <w:sz w:val="24"/>
          <w:szCs w:val="24"/>
        </w:rPr>
        <w:t xml:space="preserve"> in intra- and extrahepatic bile ducts</w:t>
      </w:r>
      <w:r w:rsidR="001F49AC" w:rsidRPr="00421D1C">
        <w:rPr>
          <w:rFonts w:ascii="Times New Roman" w:hAnsi="Times New Roman" w:cs="Times New Roman"/>
          <w:sz w:val="24"/>
          <w:szCs w:val="24"/>
        </w:rPr>
        <w:t xml:space="preserve"> that reach beyond the HCO</w:t>
      </w:r>
      <w:r w:rsidR="001F49AC" w:rsidRPr="00421D1C">
        <w:rPr>
          <w:rFonts w:ascii="Times New Roman" w:hAnsi="Times New Roman" w:cs="Times New Roman"/>
          <w:sz w:val="24"/>
          <w:szCs w:val="24"/>
          <w:vertAlign w:val="subscript"/>
        </w:rPr>
        <w:t>3</w:t>
      </w:r>
      <w:r w:rsidR="001F49AC" w:rsidRPr="00421D1C">
        <w:rPr>
          <w:rFonts w:ascii="Times New Roman" w:hAnsi="Times New Roman" w:cs="Times New Roman"/>
          <w:sz w:val="24"/>
          <w:szCs w:val="24"/>
          <w:vertAlign w:val="superscript"/>
        </w:rPr>
        <w:t>-</w:t>
      </w:r>
      <w:r w:rsidR="001F49AC" w:rsidRPr="00421D1C">
        <w:rPr>
          <w:rFonts w:ascii="Times New Roman" w:hAnsi="Times New Roman" w:cs="Times New Roman"/>
          <w:sz w:val="24"/>
          <w:szCs w:val="24"/>
        </w:rPr>
        <w:t xml:space="preserve"> umbrella, </w:t>
      </w:r>
      <w:r w:rsidR="001F49AC" w:rsidRPr="00421D1C">
        <w:rPr>
          <w:rFonts w:ascii="Times New Roman" w:hAnsi="Times New Roman" w:cs="Times New Roman"/>
          <w:sz w:val="24"/>
          <w:szCs w:val="24"/>
        </w:rPr>
        <w:lastRenderedPageBreak/>
        <w:t xml:space="preserve">and is able to detect biliary BAs </w:t>
      </w:r>
      <w:r w:rsidR="001F49AC" w:rsidRPr="00421D1C">
        <w:rPr>
          <w:rFonts w:ascii="Times New Roman" w:hAnsi="Times New Roman" w:cs="Times New Roman"/>
          <w:sz w:val="24"/>
          <w:szCs w:val="24"/>
        </w:rPr>
        <w:fldChar w:fldCharType="begin"/>
      </w:r>
      <w:r w:rsidR="00E06F62" w:rsidRPr="00421D1C">
        <w:rPr>
          <w:rFonts w:ascii="Times New Roman" w:hAnsi="Times New Roman" w:cs="Times New Roman"/>
          <w:sz w:val="24"/>
          <w:szCs w:val="24"/>
        </w:rPr>
        <w:instrText xml:space="preserve"> ADDIN ZOTERO_ITEM CSL_CITATION {"citationID":"wsEKp27h","properties":{"formattedCitation":"(Beuers et al., 2010)","plainCitation":"(Beuers et al., 2010)","noteIndex":0},"citationItems":[{"id":19031,"uris":["http://zotero.org/groups/425949/items/ZN4ZSZUE"],"itemData":{"id":19031,"type":"article-journal","abstract":"This review focuses on the hypothesis that biliary HCO(3)(-) secretion in humans serves to maintain an alkaline pH near the apical surface of hepatocytes and cholangiocytes to prevent the uncontrolled membrane permeation of protonated glycine-conjugated bile acids. Functional impairment of this biliary HCO(3)(-) umbrella or its regulation may lead to enhanced vulnerability of cholangiocytes and periportal hepatocytes toward the attack of apolar hydrophobic bile acids. An intact interplay of hepatocellular and cholangiocellular adenosine triphosphate (ATP) secretion, ATP/P2Y- and bile salt/TGR5-mediated Cl(-)/ HCO(3)(-) exchange and HCO(3)(-) secretion, and alkaline phosphatase-mediated ATP breakdown may guarantee a stable biliary HCO(3)(-) umbrella under physiological conditions. Genetic and acquired functional defects leading to destabilization of the biliary HCO(3)(-) umbrella may contribute to development and progression of various forms of fibrosing/sclerosing cholangitis.","container-title":"Hepatology (Baltimore, Md.)","DOI":"10.1002/hep.23810","ISSN":"1527-3350","issue":"4","journalAbbreviation":"Hepatology","language":"eng","note":"PMID: 20721884","page":"1489-1496","source":"PubMed","title":"The biliary HCO(3)(-) umbrella: a unifying hypothesis on pathogenetic and therapeutic aspects of fibrosing cholangiopathies","title-short":"The biliary HCO(3)(-) umbrella","volume":"52","author":[{"family":"Beuers","given":"Ulrich"},{"family":"Hohenester","given":"Simon"},{"family":"Buy Wenniger","given":"Lucas J. Maillette","non-dropping-particle":"de"},{"family":"Kremer","given":"Andreas E."},{"family":"Jansen","given":"Peter L. M."},{"family":"Elferink","given":"Ronald P. J. Oude"}],"issued":{"date-parts":[["2010",10]]}}}],"schema":"https://github.com/citation-style-language/schema/raw/master/csl-citation.json"} </w:instrText>
      </w:r>
      <w:r w:rsidR="001F49AC" w:rsidRPr="00421D1C">
        <w:rPr>
          <w:rFonts w:ascii="Times New Roman" w:hAnsi="Times New Roman" w:cs="Times New Roman"/>
          <w:sz w:val="24"/>
          <w:szCs w:val="24"/>
        </w:rPr>
        <w:fldChar w:fldCharType="separate"/>
      </w:r>
      <w:r w:rsidR="001F49AC" w:rsidRPr="00421D1C">
        <w:rPr>
          <w:rFonts w:ascii="Times New Roman" w:hAnsi="Times New Roman" w:cs="Times New Roman"/>
          <w:sz w:val="24"/>
          <w:szCs w:val="24"/>
        </w:rPr>
        <w:t>(Beuers et al., 2010)</w:t>
      </w:r>
      <w:r w:rsidR="001F49AC" w:rsidRPr="00421D1C">
        <w:rPr>
          <w:rFonts w:ascii="Times New Roman" w:hAnsi="Times New Roman" w:cs="Times New Roman"/>
          <w:sz w:val="24"/>
          <w:szCs w:val="24"/>
        </w:rPr>
        <w:fldChar w:fldCharType="end"/>
      </w:r>
      <w:r w:rsidR="001F49AC" w:rsidRPr="00421D1C">
        <w:rPr>
          <w:rFonts w:ascii="Times New Roman" w:hAnsi="Times New Roman" w:cs="Times New Roman"/>
          <w:sz w:val="24"/>
          <w:szCs w:val="24"/>
        </w:rPr>
        <w:t xml:space="preserve">. Data support a role for biliary BAs </w:t>
      </w:r>
      <w:r w:rsidR="00BE40E8" w:rsidRPr="00421D1C">
        <w:rPr>
          <w:rFonts w:ascii="Times New Roman" w:hAnsi="Times New Roman" w:cs="Times New Roman"/>
          <w:sz w:val="24"/>
          <w:szCs w:val="24"/>
        </w:rPr>
        <w:t>mediating</w:t>
      </w:r>
      <w:r w:rsidR="001F49AC" w:rsidRPr="00421D1C">
        <w:rPr>
          <w:rFonts w:ascii="Times New Roman" w:hAnsi="Times New Roman" w:cs="Times New Roman"/>
          <w:sz w:val="24"/>
          <w:szCs w:val="24"/>
        </w:rPr>
        <w:t xml:space="preserve"> a TGR5-based signaling cascade leading to biliary HCO</w:t>
      </w:r>
      <w:r w:rsidR="001F49AC" w:rsidRPr="00421D1C">
        <w:rPr>
          <w:rFonts w:ascii="Times New Roman" w:hAnsi="Times New Roman" w:cs="Times New Roman"/>
          <w:sz w:val="24"/>
          <w:szCs w:val="24"/>
          <w:vertAlign w:val="subscript"/>
        </w:rPr>
        <w:t>3</w:t>
      </w:r>
      <w:r w:rsidR="001F49AC" w:rsidRPr="00421D1C">
        <w:rPr>
          <w:rFonts w:ascii="Times New Roman" w:hAnsi="Times New Roman" w:cs="Times New Roman"/>
          <w:sz w:val="24"/>
          <w:szCs w:val="24"/>
          <w:vertAlign w:val="superscript"/>
        </w:rPr>
        <w:t>-</w:t>
      </w:r>
      <w:r w:rsidR="001F49AC" w:rsidRPr="00421D1C">
        <w:rPr>
          <w:rFonts w:ascii="Times New Roman" w:hAnsi="Times New Roman" w:cs="Times New Roman"/>
          <w:sz w:val="24"/>
          <w:szCs w:val="24"/>
        </w:rPr>
        <w:t xml:space="preserve"> secretion</w:t>
      </w:r>
      <w:r w:rsidR="00BE40E8" w:rsidRPr="00421D1C">
        <w:rPr>
          <w:rFonts w:ascii="Times New Roman" w:hAnsi="Times New Roman" w:cs="Times New Roman"/>
          <w:sz w:val="24"/>
          <w:szCs w:val="24"/>
        </w:rPr>
        <w:t xml:space="preserve"> </w:t>
      </w:r>
      <w:r w:rsidR="00BE40E8" w:rsidRPr="00421D1C">
        <w:rPr>
          <w:rFonts w:ascii="Times New Roman" w:hAnsi="Times New Roman" w:cs="Times New Roman"/>
          <w:sz w:val="24"/>
          <w:szCs w:val="24"/>
        </w:rPr>
        <w:fldChar w:fldCharType="begin"/>
      </w:r>
      <w:r w:rsidR="00E06F62" w:rsidRPr="00421D1C">
        <w:rPr>
          <w:rFonts w:ascii="Times New Roman" w:hAnsi="Times New Roman" w:cs="Times New Roman"/>
          <w:sz w:val="24"/>
          <w:szCs w:val="24"/>
        </w:rPr>
        <w:instrText xml:space="preserve"> ADDIN ZOTERO_ITEM CSL_CITATION {"citationID":"c6fJsM89","properties":{"formattedCitation":"(Beuers et al., 2010; Boyer, 2013; Duboc et al., 2014)","plainCitation":"(Beuers et al., 2010; Boyer, 2013; Duboc et al., 2014)","noteIndex":0},"citationItems":[{"id":19031,"uris":["http://zotero.org/groups/425949/items/ZN4ZSZUE"],"itemData":{"id":19031,"type":"article-journal","abstract":"This review focuses on the hypothesis that biliary HCO(3)(-) secretion in humans serves to maintain an alkaline pH near the apical surface of hepatocytes and cholangiocytes to prevent the uncontrolled membrane permeation of protonated glycine-conjugated bile acids. Functional impairment of this biliary HCO(3)(-) umbrella or its regulation may lead to enhanced vulnerability of cholangiocytes and periportal hepatocytes toward the attack of apolar hydrophobic bile acids. An intact interplay of hepatocellular and cholangiocellular adenosine triphosphate (ATP) secretion, ATP/P2Y- and bile salt/TGR5-mediated Cl(-)/ HCO(3)(-) exchange and HCO(3)(-) secretion, and alkaline phosphatase-mediated ATP breakdown may guarantee a stable biliary HCO(3)(-) umbrella under physiological conditions. Genetic and acquired functional defects leading to destabilization of the biliary HCO(3)(-) umbrella may contribute to development and progression of various forms of fibrosing/sclerosing cholangitis.","container-title":"Hepatology (Baltimore, Md.)","DOI":"10.1002/hep.23810","ISSN":"1527-3350","issue":"4","journalAbbreviation":"Hepatology","language":"eng","note":"PMID: 20721884","page":"1489-1496","source":"PubMed","title":"The biliary HCO(3)(-) umbrella: a unifying hypothesis on pathogenetic and therapeutic aspects of fibrosing cholangiopathies","title-short":"The biliary HCO(3)(-) umbrella","volume":"52","author":[{"family":"Beuers","given":"Ulrich"},{"family":"Hohenester","given":"Simon"},{"family":"Buy Wenniger","given":"Lucas J. Maillette","non-dropping-particle":"de"},{"family":"Kremer","given":"Andreas E."},{"family":"Jansen","given":"Peter L. M."},{"family":"Elferink","given":"Ronald P. J. Oude"}],"issued":{"date-parts":[["2010",10]]}}},{"id":19028,"uris":["http://zotero.org/groups/425949/items/PUKC8MZ5"],"itemData":{"id":19028,"type":"article-journal","abstract":"Bile is a unique and vital aqueous secretion of the liver that is formed by the hepatocyte and modified down stream by absorptive and secretory properties of the bile duct epithelium. Approximately 5% of bile consists of organic and inorganic solutes of considerable complexity. The bile-secretory unit consists of a canalicular network which is formed by the apical membrane of adjacent hepatocytes and sealed by tight junctions. The bile canaliculi (</w:instrText>
      </w:r>
      <w:r w:rsidR="00E06F62" w:rsidRPr="00421D1C">
        <w:rPr>
          <w:rFonts w:ascii="Cambria Math" w:hAnsi="Cambria Math" w:cs="Cambria Math"/>
          <w:sz w:val="24"/>
          <w:szCs w:val="24"/>
        </w:rPr>
        <w:instrText>∼</w:instrText>
      </w:r>
      <w:r w:rsidR="00E06F62" w:rsidRPr="00421D1C">
        <w:rPr>
          <w:rFonts w:ascii="Times New Roman" w:hAnsi="Times New Roman" w:cs="Times New Roman"/>
          <w:sz w:val="24"/>
          <w:szCs w:val="24"/>
        </w:rPr>
        <w:instrText xml:space="preserve">1 μm in diameter) conduct the flow of bile countercurrent to the direction of portal blood flow and connect with the canal of Hering and bile ducts which progressively increase in diameter and complexity prior to the entry of bile into the gallbladder, common bile duct, and intestine. Canalicular bile secretion is determined by both bile salt-dependent and independent transport systems which are localized at the apical membrane of the hepatocyte and largely consist of a series of adenosine triphosphate-binding cassette transport proteins that function as export pumps for bile salts and other organic solutes. These transporters create osmotic gradients within the bile canalicular lumen that provide the driving force for movement of fluid into the lumen via aquaporins. Species vary with respect to the relative amounts of bile salt-dependent and independent canalicular flow and cholangiocyte secretion which is highly regulated by hormones, second messengers, and signal transduction pathways. Most determinants of bile secretion are now characterized at the molecular level in animal models and in man. Genetic mutations serve to illuminate many of their functions.","container-title":"Comprehensive Physiology","DOI":"10.1002/cphy.c120027","ISSN":"2040-4603","issue":"3","journalAbbreviation":"Compr Physiol","language":"eng","note":"PMID: 23897680\nPMCID: PMC4091928","page":"1035-1078","source":"PubMed","title":"Bile formation and secretion","volume":"3","author":[{"family":"Boyer","given":"James L."}],"issued":{"date-parts":[["2013",7]]}}},{"id":19025,"uris":["http://zotero.org/groups/425949/items/9LB3F7WR"],"itemData":{"id":19025,"type":"article-journal","abstract":"The TGR5 receptor (or GP-BAR1, or M-BAR) was characterized ten years ago as the first identified G-coupled protein receptor specific for bile acids. TGR5 gene expression is widely distributed, including endocrine glands, adipocytes, muscles, immune organs, spinal cord, and the enteric nervous system. The effect of TGR5 activation depends on the tissue where it is expressed and the signalling cascade that it induces. Animal studies suggest that TGR5 activation influences energy production and thereby may be involved in obesity and diabetes. TGR5 activation also influences intestinal motility. This review provides an overview of TGR5-bile acid interactions in health as well as the possible involvement of TGR5 in human disease.","container-title":"Digestive and Liver Disease: Official Journal of the Italian Society of Gastroenterology and the Italian Association for the Study of the Liver","DOI":"10.1016/j.dld.2013.10.021","ISSN":"1878-3562","issue":"4","journalAbbreviation":"Dig Liver Dis","language":"eng","note":"PMID: 24411485\nPMCID: PMC5953190","page":"302-312","source":"PubMed","title":"The bile acid TGR5 membrane receptor: from basic research to clinical application","title-short":"The bile acid TGR5 membrane receptor","volume":"46","author":[{"family":"Duboc","given":"Henri"},{"family":"Taché","given":"Yvette"},{"family":"Hofmann","given":"Alan F."}],"issued":{"date-parts":[["2014",4]]}}}],"schema":"https://github.com/citation-style-language/schema/raw/master/csl-citation.json"} </w:instrText>
      </w:r>
      <w:r w:rsidR="00BE40E8" w:rsidRPr="00421D1C">
        <w:rPr>
          <w:rFonts w:ascii="Times New Roman" w:hAnsi="Times New Roman" w:cs="Times New Roman"/>
          <w:sz w:val="24"/>
          <w:szCs w:val="24"/>
        </w:rPr>
        <w:fldChar w:fldCharType="separate"/>
      </w:r>
      <w:r w:rsidR="00A00311" w:rsidRPr="00421D1C">
        <w:rPr>
          <w:rFonts w:ascii="Times New Roman" w:hAnsi="Times New Roman" w:cs="Times New Roman"/>
          <w:sz w:val="24"/>
          <w:szCs w:val="24"/>
        </w:rPr>
        <w:t>(Beuers et al., 2010; Boyer, 2013; Duboc et al., 2014)</w:t>
      </w:r>
      <w:r w:rsidR="00BE40E8" w:rsidRPr="00421D1C">
        <w:rPr>
          <w:rFonts w:ascii="Times New Roman" w:hAnsi="Times New Roman" w:cs="Times New Roman"/>
          <w:sz w:val="24"/>
          <w:szCs w:val="24"/>
        </w:rPr>
        <w:fldChar w:fldCharType="end"/>
      </w:r>
      <w:r w:rsidR="00AF17CA" w:rsidRPr="00421D1C">
        <w:rPr>
          <w:rFonts w:ascii="Times New Roman" w:hAnsi="Times New Roman" w:cs="Times New Roman"/>
          <w:sz w:val="24"/>
          <w:szCs w:val="24"/>
        </w:rPr>
        <w:t>. The gene encoding for TGR5 has been found to be a risk factor in PSC, potentially impacting the function of the biliary HCO</w:t>
      </w:r>
      <w:r w:rsidR="00AF17CA" w:rsidRPr="00421D1C">
        <w:rPr>
          <w:rFonts w:ascii="Times New Roman" w:hAnsi="Times New Roman" w:cs="Times New Roman"/>
          <w:sz w:val="24"/>
          <w:szCs w:val="24"/>
          <w:vertAlign w:val="subscript"/>
        </w:rPr>
        <w:t>3</w:t>
      </w:r>
      <w:r w:rsidR="00AF17CA" w:rsidRPr="00421D1C">
        <w:rPr>
          <w:rFonts w:ascii="Times New Roman" w:hAnsi="Times New Roman" w:cs="Times New Roman"/>
          <w:sz w:val="24"/>
          <w:szCs w:val="24"/>
          <w:vertAlign w:val="superscript"/>
        </w:rPr>
        <w:t>-</w:t>
      </w:r>
      <w:r w:rsidR="00AF17CA" w:rsidRPr="00421D1C">
        <w:rPr>
          <w:rFonts w:ascii="Times New Roman" w:hAnsi="Times New Roman" w:cs="Times New Roman"/>
          <w:sz w:val="24"/>
          <w:szCs w:val="24"/>
        </w:rPr>
        <w:t xml:space="preserve"> umbrella </w:t>
      </w:r>
      <w:r w:rsidR="00AF17CA" w:rsidRPr="00421D1C">
        <w:rPr>
          <w:rFonts w:ascii="Times New Roman" w:hAnsi="Times New Roman" w:cs="Times New Roman"/>
          <w:sz w:val="24"/>
          <w:szCs w:val="24"/>
        </w:rPr>
        <w:fldChar w:fldCharType="begin"/>
      </w:r>
      <w:r w:rsidR="00E06F62" w:rsidRPr="00421D1C">
        <w:rPr>
          <w:rFonts w:ascii="Times New Roman" w:hAnsi="Times New Roman" w:cs="Times New Roman"/>
          <w:sz w:val="24"/>
          <w:szCs w:val="24"/>
        </w:rPr>
        <w:instrText xml:space="preserve"> ADDIN ZOTERO_ITEM CSL_CITATION {"citationID":"SoN3B2QC","properties":{"formattedCitation":"(Beuers et al., 2010)","plainCitation":"(Beuers et al., 2010)","noteIndex":0},"citationItems":[{"id":19031,"uris":["http://zotero.org/groups/425949/items/ZN4ZSZUE"],"itemData":{"id":19031,"type":"article-journal","abstract":"This review focuses on the hypothesis that biliary HCO(3)(-) secretion in humans serves to maintain an alkaline pH near the apical surface of hepatocytes and cholangiocytes to prevent the uncontrolled membrane permeation of protonated glycine-conjugated bile acids. Functional impairment of this biliary HCO(3)(-) umbrella or its regulation may lead to enhanced vulnerability of cholangiocytes and periportal hepatocytes toward the attack of apolar hydrophobic bile acids. An intact interplay of hepatocellular and cholangiocellular adenosine triphosphate (ATP) secretion, ATP/P2Y- and bile salt/TGR5-mediated Cl(-)/ HCO(3)(-) exchange and HCO(3)(-) secretion, and alkaline phosphatase-mediated ATP breakdown may guarantee a stable biliary HCO(3)(-) umbrella under physiological conditions. Genetic and acquired functional defects leading to destabilization of the biliary HCO(3)(-) umbrella may contribute to development and progression of various forms of fibrosing/sclerosing cholangitis.","container-title":"Hepatology (Baltimore, Md.)","DOI":"10.1002/hep.23810","ISSN":"1527-3350","issue":"4","journalAbbreviation":"Hepatology","language":"eng","note":"PMID: 20721884","page":"1489-1496","source":"PubMed","title":"The biliary HCO(3)(-) umbrella: a unifying hypothesis on pathogenetic and therapeutic aspects of fibrosing cholangiopathies","title-short":"The biliary HCO(3)(-) umbrella","volume":"52","author":[{"family":"Beuers","given":"Ulrich"},{"family":"Hohenester","given":"Simon"},{"family":"Buy Wenniger","given":"Lucas J. Maillette","non-dropping-particle":"de"},{"family":"Kremer","given":"Andreas E."},{"family":"Jansen","given":"Peter L. M."},{"family":"Elferink","given":"Ronald P. J. Oude"}],"issued":{"date-parts":[["2010",10]]}}}],"schema":"https://github.com/citation-style-language/schema/raw/master/csl-citation.json"} </w:instrText>
      </w:r>
      <w:r w:rsidR="00AF17CA" w:rsidRPr="00421D1C">
        <w:rPr>
          <w:rFonts w:ascii="Times New Roman" w:hAnsi="Times New Roman" w:cs="Times New Roman"/>
          <w:sz w:val="24"/>
          <w:szCs w:val="24"/>
        </w:rPr>
        <w:fldChar w:fldCharType="separate"/>
      </w:r>
      <w:r w:rsidR="00AF17CA" w:rsidRPr="00421D1C">
        <w:rPr>
          <w:rFonts w:ascii="Times New Roman" w:hAnsi="Times New Roman" w:cs="Times New Roman"/>
          <w:sz w:val="24"/>
          <w:szCs w:val="24"/>
        </w:rPr>
        <w:t>(Beuers et al., 2010)</w:t>
      </w:r>
      <w:r w:rsidR="00AF17CA" w:rsidRPr="00421D1C">
        <w:rPr>
          <w:rFonts w:ascii="Times New Roman" w:hAnsi="Times New Roman" w:cs="Times New Roman"/>
          <w:sz w:val="24"/>
          <w:szCs w:val="24"/>
        </w:rPr>
        <w:fldChar w:fldCharType="end"/>
      </w:r>
      <w:r w:rsidR="00AF17CA" w:rsidRPr="00421D1C">
        <w:rPr>
          <w:rFonts w:ascii="Times New Roman" w:hAnsi="Times New Roman" w:cs="Times New Roman"/>
          <w:sz w:val="24"/>
          <w:szCs w:val="24"/>
        </w:rPr>
        <w:t xml:space="preserve">. </w:t>
      </w:r>
      <w:r w:rsidR="000238B2" w:rsidRPr="00421D1C">
        <w:rPr>
          <w:rFonts w:ascii="Times New Roman" w:hAnsi="Times New Roman" w:cs="Times New Roman"/>
          <w:sz w:val="24"/>
          <w:szCs w:val="24"/>
        </w:rPr>
        <w:t xml:space="preserve">TGR5 can be activated by a wide range of unconjugated and conjugated BAs </w:t>
      </w:r>
      <w:r w:rsidR="000238B2" w:rsidRPr="00421D1C">
        <w:rPr>
          <w:rFonts w:ascii="Times New Roman" w:hAnsi="Times New Roman" w:cs="Times New Roman"/>
          <w:sz w:val="24"/>
          <w:szCs w:val="24"/>
        </w:rPr>
        <w:fldChar w:fldCharType="begin"/>
      </w:r>
      <w:r w:rsidR="00E06F62" w:rsidRPr="00421D1C">
        <w:rPr>
          <w:rFonts w:ascii="Times New Roman" w:hAnsi="Times New Roman" w:cs="Times New Roman"/>
          <w:sz w:val="24"/>
          <w:szCs w:val="24"/>
        </w:rPr>
        <w:instrText xml:space="preserve"> ADDIN ZOTERO_ITEM CSL_CITATION {"citationID":"XBTGFbCH","properties":{"formattedCitation":"(Duboc et al., 2014; Fiorucci and Distrutti, 2019)","plainCitation":"(Duboc et al., 2014; Fiorucci and Distrutti, 2019)","noteIndex":0},"citationItems":[{"id":19025,"uris":["http://zotero.org/groups/425949/items/9LB3F7WR"],"itemData":{"id":19025,"type":"article-journal","abstract":"The TGR5 receptor (or GP-BAR1, or M-BAR) was characterized ten years ago as the first identified G-coupled protein receptor specific for bile acids. TGR5 gene expression is widely distributed, including endocrine glands, adipocytes, muscles, immune organs, spinal cord, and the enteric nervous system. The effect of TGR5 activation depends on the tissue where it is expressed and the signalling cascade that it induces. Animal studies suggest that TGR5 activation influences energy production and thereby may be involved in obesity and diabetes. TGR5 activation also influences intestinal motility. This review provides an overview of TGR5-bile acid interactions in health as well as the possible involvement of TGR5 in human disease.","container-title":"Digestive and Liver Disease: Official Journal of the Italian Society of Gastroenterology and the Italian Association for the Study of the Liver","DOI":"10.1016/j.dld.2013.10.021","ISSN":"1878-3562","issue":"4","journalAbbreviation":"Dig Liver Dis","language":"eng","note":"PMID: 24411485\nPMCID: PMC5953190","page":"302-312","source":"PubMed","title":"The bile acid TGR5 membrane receptor: from basic research to clinical application","title-short":"The bile acid TGR5 membrane receptor","volume":"46","author":[{"family":"Duboc","given":"Henri"},{"family":"Taché","given":"Yvette"},{"family":"Hofmann","given":"Alan F."}],"issued":{"date-parts":[["2014",4]]}}},{"id":19320,"uris":["http://zotero.org/groups/425949/items/XYPURS57"],"itemData":{"id":19320,"type":"book","collection-title":"Handbook of Experimental Pharmacology","event-place":"Cham","ISBN":"978-3-030-22004-4","language":"en","note":"DOI: 10.1007/978-3-030-22005-1","publisher":"Springer International Publishing","publisher-place":"Cham","source":"DOI.org (Crossref)","title":"Bile Acids and Their Receptors","URL":"https://link.springer.com/10.1007/978-3-030-22005-1","volume":"256","editor":[{"family":"Fiorucci","given":"Stefano"},{"family":"Distrutti","given":"Eleonora"}],"accessed":{"date-parts":[["2022",10,1]]},"issued":{"date-parts":[["2019"]]}}}],"schema":"https://github.com/citation-style-language/schema/raw/master/csl-citation.json"} </w:instrText>
      </w:r>
      <w:r w:rsidR="000238B2" w:rsidRPr="00421D1C">
        <w:rPr>
          <w:rFonts w:ascii="Times New Roman" w:hAnsi="Times New Roman" w:cs="Times New Roman"/>
          <w:sz w:val="24"/>
          <w:szCs w:val="24"/>
        </w:rPr>
        <w:fldChar w:fldCharType="separate"/>
      </w:r>
      <w:r w:rsidR="000238B2" w:rsidRPr="00421D1C">
        <w:rPr>
          <w:rFonts w:ascii="Times New Roman" w:hAnsi="Times New Roman" w:cs="Times New Roman"/>
          <w:sz w:val="24"/>
          <w:szCs w:val="24"/>
        </w:rPr>
        <w:t>(Duboc et al., 2014; Fiorucci and Distrutti, 2019)</w:t>
      </w:r>
      <w:r w:rsidR="000238B2" w:rsidRPr="00421D1C">
        <w:rPr>
          <w:rFonts w:ascii="Times New Roman" w:hAnsi="Times New Roman" w:cs="Times New Roman"/>
          <w:sz w:val="24"/>
          <w:szCs w:val="24"/>
        </w:rPr>
        <w:fldChar w:fldCharType="end"/>
      </w:r>
      <w:r w:rsidR="000238B2" w:rsidRPr="00421D1C">
        <w:rPr>
          <w:rFonts w:ascii="Times New Roman" w:hAnsi="Times New Roman" w:cs="Times New Roman"/>
          <w:sz w:val="24"/>
          <w:szCs w:val="24"/>
        </w:rPr>
        <w:t xml:space="preserve">. Experiments measuring downstream TGR5 signaling (i.e., cAMP production) suggest that TGR5 is activated in a dose-dependent manner by BAs in the following rank order: LCA≥DCA&gt;CDCA&gt;CA, indicating that TGR5 activation is most sensitive to the relatively lipophilic and hepatotoxic BA species </w:t>
      </w:r>
      <w:r w:rsidR="000238B2" w:rsidRPr="00421D1C">
        <w:rPr>
          <w:rFonts w:ascii="Times New Roman" w:hAnsi="Times New Roman" w:cs="Times New Roman"/>
          <w:sz w:val="24"/>
          <w:szCs w:val="24"/>
        </w:rPr>
        <w:fldChar w:fldCharType="begin"/>
      </w:r>
      <w:r w:rsidR="00E06F62" w:rsidRPr="00421D1C">
        <w:rPr>
          <w:rFonts w:ascii="Times New Roman" w:hAnsi="Times New Roman" w:cs="Times New Roman"/>
          <w:sz w:val="24"/>
          <w:szCs w:val="24"/>
        </w:rPr>
        <w:instrText xml:space="preserve"> ADDIN ZOTERO_ITEM CSL_CITATION {"citationID":"2dPs7h0E","properties":{"formattedCitation":"(Duboc et al., 2014)","plainCitation":"(Duboc et al., 2014)","noteIndex":0},"citationItems":[{"id":19025,"uris":["http://zotero.org/groups/425949/items/9LB3F7WR"],"itemData":{"id":19025,"type":"article-journal","abstract":"The TGR5 receptor (or GP-BAR1, or M-BAR) was characterized ten years ago as the first identified G-coupled protein receptor specific for bile acids. TGR5 gene expression is widely distributed, including endocrine glands, adipocytes, muscles, immune organs, spinal cord, and the enteric nervous system. The effect of TGR5 activation depends on the tissue where it is expressed and the signalling cascade that it induces. Animal studies suggest that TGR5 activation influences energy production and thereby may be involved in obesity and diabetes. TGR5 activation also influences intestinal motility. This review provides an overview of TGR5-bile acid interactions in health as well as the possible involvement of TGR5 in human disease.","container-title":"Digestive and Liver Disease: Official Journal of the Italian Society of Gastroenterology and the Italian Association for the Study of the Liver","DOI":"10.1016/j.dld.2013.10.021","ISSN":"1878-3562","issue":"4","journalAbbreviation":"Dig Liver Dis","language":"eng","note":"PMID: 24411485\nPMCID: PMC5953190","page":"302-312","source":"PubMed","title":"The bile acid TGR5 membrane receptor: from basic research to clinical application","title-short":"The bile acid TGR5 membrane receptor","volume":"46","author":[{"family":"Duboc","given":"Henri"},{"family":"Taché","given":"Yvette"},{"family":"Hofmann","given":"Alan F."}],"issued":{"date-parts":[["2014",4]]}}}],"schema":"https://github.com/citation-style-language/schema/raw/master/csl-citation.json"} </w:instrText>
      </w:r>
      <w:r w:rsidR="000238B2" w:rsidRPr="00421D1C">
        <w:rPr>
          <w:rFonts w:ascii="Times New Roman" w:hAnsi="Times New Roman" w:cs="Times New Roman"/>
          <w:sz w:val="24"/>
          <w:szCs w:val="24"/>
        </w:rPr>
        <w:fldChar w:fldCharType="separate"/>
      </w:r>
      <w:r w:rsidR="000238B2" w:rsidRPr="00421D1C">
        <w:rPr>
          <w:rFonts w:ascii="Times New Roman" w:hAnsi="Times New Roman" w:cs="Times New Roman"/>
          <w:sz w:val="24"/>
          <w:szCs w:val="24"/>
        </w:rPr>
        <w:t>(Duboc et al., 2014)</w:t>
      </w:r>
      <w:r w:rsidR="000238B2" w:rsidRPr="00421D1C">
        <w:rPr>
          <w:rFonts w:ascii="Times New Roman" w:hAnsi="Times New Roman" w:cs="Times New Roman"/>
          <w:sz w:val="24"/>
          <w:szCs w:val="24"/>
        </w:rPr>
        <w:fldChar w:fldCharType="end"/>
      </w:r>
      <w:r w:rsidR="000238B2" w:rsidRPr="00421D1C">
        <w:rPr>
          <w:rFonts w:ascii="Times New Roman" w:hAnsi="Times New Roman" w:cs="Times New Roman"/>
          <w:sz w:val="24"/>
          <w:szCs w:val="24"/>
        </w:rPr>
        <w:t>.</w:t>
      </w:r>
      <w:r w:rsidR="003C179E" w:rsidRPr="00421D1C">
        <w:rPr>
          <w:rFonts w:ascii="Times New Roman" w:hAnsi="Times New Roman" w:cs="Times New Roman"/>
          <w:sz w:val="24"/>
          <w:szCs w:val="24"/>
        </w:rPr>
        <w:t xml:space="preserve"> LCA is considered the most potent endogenous agonist for TGR5, with </w:t>
      </w:r>
      <w:r w:rsidR="000238B2" w:rsidRPr="00421D1C">
        <w:rPr>
          <w:rFonts w:ascii="Times New Roman" w:hAnsi="Times New Roman" w:cs="Times New Roman"/>
          <w:sz w:val="24"/>
          <w:szCs w:val="24"/>
        </w:rPr>
        <w:t>an EC</w:t>
      </w:r>
      <w:r w:rsidR="000238B2" w:rsidRPr="00421D1C">
        <w:rPr>
          <w:rFonts w:ascii="Times New Roman" w:hAnsi="Times New Roman" w:cs="Times New Roman"/>
          <w:sz w:val="24"/>
          <w:szCs w:val="24"/>
          <w:vertAlign w:val="subscript"/>
        </w:rPr>
        <w:t>50</w:t>
      </w:r>
      <w:r w:rsidR="000238B2" w:rsidRPr="00421D1C">
        <w:rPr>
          <w:rFonts w:ascii="Times New Roman" w:hAnsi="Times New Roman" w:cs="Times New Roman"/>
          <w:sz w:val="24"/>
          <w:szCs w:val="24"/>
        </w:rPr>
        <w:t xml:space="preserve"> of 530 </w:t>
      </w:r>
      <w:proofErr w:type="spellStart"/>
      <w:r w:rsidR="000238B2" w:rsidRPr="00421D1C">
        <w:rPr>
          <w:rFonts w:ascii="Times New Roman" w:hAnsi="Times New Roman" w:cs="Times New Roman"/>
          <w:sz w:val="24"/>
          <w:szCs w:val="24"/>
        </w:rPr>
        <w:t>nM</w:t>
      </w:r>
      <w:proofErr w:type="spellEnd"/>
      <w:r w:rsidR="000238B2" w:rsidRPr="00421D1C">
        <w:rPr>
          <w:rFonts w:ascii="Times New Roman" w:hAnsi="Times New Roman" w:cs="Times New Roman"/>
          <w:sz w:val="24"/>
          <w:szCs w:val="24"/>
        </w:rPr>
        <w:t xml:space="preserve"> </w:t>
      </w:r>
      <w:r w:rsidR="000238B2" w:rsidRPr="00421D1C">
        <w:rPr>
          <w:rFonts w:ascii="Times New Roman" w:hAnsi="Times New Roman" w:cs="Times New Roman"/>
          <w:sz w:val="24"/>
          <w:szCs w:val="24"/>
        </w:rPr>
        <w:fldChar w:fldCharType="begin"/>
      </w:r>
      <w:r w:rsidR="00E06F62" w:rsidRPr="00421D1C">
        <w:rPr>
          <w:rFonts w:ascii="Times New Roman" w:hAnsi="Times New Roman" w:cs="Times New Roman"/>
          <w:sz w:val="24"/>
          <w:szCs w:val="24"/>
        </w:rPr>
        <w:instrText xml:space="preserve"> ADDIN ZOTERO_ITEM CSL_CITATION {"citationID":"IsoczR7b","properties":{"formattedCitation":"(Thomas et al., 2008)","plainCitation":"(Thomas et al., 2008)","noteIndex":0},"citationItems":[{"id":19308,"uris":["http://zotero.org/groups/425949/items/HXNSDKAW"],"itemData":{"id":19308,"type":"article-journal","abstract":"Bile acids are increasingly being appreciated as complex metabolic integrators and signalling factors and not just as lipid solubilizers and simple regulators of bile-acid homeostasis. It is therefore not surprising that a number of bile-acid-activated signalling pathways have become attractive therapeutic targets for metabolic disorders. Here, we review how the signalling functions of bile acids can be exploited in the development of drugs for obesity, type 2 diabetes, hypertriglyceridaemia and atherosclerosis, as well as other associated chronic diseases such as non-alcoholic steatohepatitis.","container-title":"Nature Reviews. Drug Discovery","DOI":"10.1038/nrd2619","ISSN":"1474-1784","issue":"8","journalAbbreviation":"Nat Rev Drug Discov","language":"eng","note":"PMID: 18670431","page":"678-693","source":"PubMed","title":"Targeting bile-acid signalling for metabolic diseases","volume":"7","author":[{"family":"Thomas","given":"Charles"},{"family":"Pellicciari","given":"Roberto"},{"family":"Pruzanski","given":"Mark"},{"family":"Auwerx","given":"Johan"},{"family":"Schoonjans","given":"Kristina"}],"issued":{"date-parts":[["2008",8]]}}}],"schema":"https://github.com/citation-style-language/schema/raw/master/csl-citation.json"} </w:instrText>
      </w:r>
      <w:r w:rsidR="000238B2" w:rsidRPr="00421D1C">
        <w:rPr>
          <w:rFonts w:ascii="Times New Roman" w:hAnsi="Times New Roman" w:cs="Times New Roman"/>
          <w:sz w:val="24"/>
          <w:szCs w:val="24"/>
        </w:rPr>
        <w:fldChar w:fldCharType="separate"/>
      </w:r>
      <w:r w:rsidR="000238B2" w:rsidRPr="00421D1C">
        <w:rPr>
          <w:rFonts w:ascii="Times New Roman" w:hAnsi="Times New Roman" w:cs="Times New Roman"/>
          <w:sz w:val="24"/>
          <w:szCs w:val="24"/>
        </w:rPr>
        <w:t>(Thomas et al., 2008)</w:t>
      </w:r>
      <w:r w:rsidR="000238B2" w:rsidRPr="00421D1C">
        <w:rPr>
          <w:rFonts w:ascii="Times New Roman" w:hAnsi="Times New Roman" w:cs="Times New Roman"/>
          <w:sz w:val="24"/>
          <w:szCs w:val="24"/>
        </w:rPr>
        <w:fldChar w:fldCharType="end"/>
      </w:r>
      <w:r w:rsidR="000238B2" w:rsidRPr="00421D1C">
        <w:rPr>
          <w:rFonts w:ascii="Times New Roman" w:hAnsi="Times New Roman" w:cs="Times New Roman"/>
          <w:sz w:val="24"/>
          <w:szCs w:val="24"/>
        </w:rPr>
        <w:t>.</w:t>
      </w:r>
      <w:r w:rsidR="00EB16DA" w:rsidRPr="00421D1C">
        <w:rPr>
          <w:rFonts w:ascii="Times New Roman" w:hAnsi="Times New Roman" w:cs="Times New Roman"/>
          <w:sz w:val="24"/>
          <w:szCs w:val="24"/>
        </w:rPr>
        <w:br w:type="page"/>
      </w:r>
    </w:p>
    <w:p w14:paraId="03BBB32C" w14:textId="2B9C39C3" w:rsidR="00B83F27" w:rsidRPr="00421D1C" w:rsidRDefault="00B83F27" w:rsidP="00421D1C">
      <w:pPr>
        <w:spacing w:after="0"/>
        <w:jc w:val="both"/>
        <w:rPr>
          <w:rFonts w:ascii="Times New Roman" w:hAnsi="Times New Roman" w:cs="Times New Roman"/>
          <w:b/>
          <w:bCs/>
          <w:sz w:val="24"/>
          <w:szCs w:val="24"/>
        </w:rPr>
      </w:pPr>
      <w:r w:rsidRPr="00421D1C">
        <w:rPr>
          <w:rFonts w:ascii="Times New Roman" w:hAnsi="Times New Roman" w:cs="Times New Roman"/>
          <w:b/>
          <w:bCs/>
          <w:sz w:val="24"/>
          <w:szCs w:val="24"/>
        </w:rPr>
        <w:lastRenderedPageBreak/>
        <w:t>References</w:t>
      </w:r>
    </w:p>
    <w:p w14:paraId="2360A7B0" w14:textId="61385ACB" w:rsidR="00B83F27" w:rsidRPr="00421D1C" w:rsidRDefault="00B83F27" w:rsidP="00421D1C">
      <w:pPr>
        <w:spacing w:after="0"/>
        <w:jc w:val="both"/>
        <w:rPr>
          <w:rFonts w:ascii="Times New Roman" w:hAnsi="Times New Roman" w:cs="Times New Roman"/>
          <w:sz w:val="24"/>
          <w:szCs w:val="24"/>
        </w:rPr>
      </w:pPr>
    </w:p>
    <w:p w14:paraId="4F10A38F" w14:textId="77777777" w:rsidR="00421D1C" w:rsidRPr="00421D1C" w:rsidRDefault="009604F0" w:rsidP="00421D1C">
      <w:pPr>
        <w:pStyle w:val="Bibliography"/>
        <w:jc w:val="both"/>
        <w:rPr>
          <w:rFonts w:ascii="Times New Roman" w:hAnsi="Times New Roman" w:cs="Times New Roman"/>
          <w:sz w:val="24"/>
          <w:szCs w:val="24"/>
        </w:rPr>
      </w:pPr>
      <w:r w:rsidRPr="00421D1C">
        <w:rPr>
          <w:rFonts w:ascii="Times New Roman" w:hAnsi="Times New Roman" w:cs="Times New Roman"/>
          <w:sz w:val="24"/>
          <w:szCs w:val="24"/>
        </w:rPr>
        <w:fldChar w:fldCharType="begin"/>
      </w:r>
      <w:r w:rsidR="00421D1C" w:rsidRPr="00421D1C">
        <w:rPr>
          <w:rFonts w:ascii="Times New Roman" w:hAnsi="Times New Roman" w:cs="Times New Roman"/>
          <w:sz w:val="24"/>
          <w:szCs w:val="24"/>
        </w:rPr>
        <w:instrText xml:space="preserve"> ADDIN ZOTERO_BIBL {"uncited":[],"omitted":[],"custom":[]} CSL_BIBLIOGRAPHY </w:instrText>
      </w:r>
      <w:r w:rsidRPr="00421D1C">
        <w:rPr>
          <w:rFonts w:ascii="Times New Roman" w:hAnsi="Times New Roman" w:cs="Times New Roman"/>
          <w:sz w:val="24"/>
          <w:szCs w:val="24"/>
        </w:rPr>
        <w:fldChar w:fldCharType="separate"/>
      </w:r>
      <w:r w:rsidR="00421D1C" w:rsidRPr="00421D1C">
        <w:rPr>
          <w:rFonts w:ascii="Times New Roman" w:hAnsi="Times New Roman" w:cs="Times New Roman"/>
          <w:sz w:val="24"/>
          <w:szCs w:val="24"/>
        </w:rPr>
        <w:t xml:space="preserve">Ali, A. H., Tabibian, J. H., and Lindor, K. D. (2017). Update on pharmacotherapies for cholestatic liver disease. </w:t>
      </w:r>
      <w:r w:rsidR="00421D1C" w:rsidRPr="00421D1C">
        <w:rPr>
          <w:rFonts w:ascii="Times New Roman" w:hAnsi="Times New Roman" w:cs="Times New Roman"/>
          <w:i/>
          <w:iCs/>
          <w:sz w:val="24"/>
          <w:szCs w:val="24"/>
        </w:rPr>
        <w:t>Hepatol Commun</w:t>
      </w:r>
      <w:r w:rsidR="00421D1C" w:rsidRPr="00421D1C">
        <w:rPr>
          <w:rFonts w:ascii="Times New Roman" w:hAnsi="Times New Roman" w:cs="Times New Roman"/>
          <w:sz w:val="24"/>
          <w:szCs w:val="24"/>
        </w:rPr>
        <w:t xml:space="preserve"> 1, 7–17. doi: 10.1002/hep4.1013.</w:t>
      </w:r>
    </w:p>
    <w:p w14:paraId="4C5F823C" w14:textId="77777777" w:rsidR="00421D1C" w:rsidRPr="00421D1C" w:rsidRDefault="00421D1C" w:rsidP="00421D1C">
      <w:pPr>
        <w:pStyle w:val="Bibliography"/>
        <w:jc w:val="both"/>
        <w:rPr>
          <w:rFonts w:ascii="Times New Roman" w:hAnsi="Times New Roman" w:cs="Times New Roman"/>
          <w:sz w:val="24"/>
          <w:szCs w:val="24"/>
        </w:rPr>
      </w:pPr>
      <w:r w:rsidRPr="00421D1C">
        <w:rPr>
          <w:rFonts w:ascii="Times New Roman" w:hAnsi="Times New Roman" w:cs="Times New Roman"/>
          <w:sz w:val="24"/>
          <w:szCs w:val="24"/>
        </w:rPr>
        <w:t xml:space="preserve">Alpini, G., Glaser, S. S., Ueno, Y., Rodgers, R., Phinizy, J. L., Francis, H., et al. (1999). Bile acid feeding induces cholangiocyte proliferation and secretion: evidence for bile acid-regulated ductal secretion. </w:t>
      </w:r>
      <w:r w:rsidRPr="00421D1C">
        <w:rPr>
          <w:rFonts w:ascii="Times New Roman" w:hAnsi="Times New Roman" w:cs="Times New Roman"/>
          <w:i/>
          <w:iCs/>
          <w:sz w:val="24"/>
          <w:szCs w:val="24"/>
        </w:rPr>
        <w:t>Gastroenterology</w:t>
      </w:r>
      <w:r w:rsidRPr="00421D1C">
        <w:rPr>
          <w:rFonts w:ascii="Times New Roman" w:hAnsi="Times New Roman" w:cs="Times New Roman"/>
          <w:sz w:val="24"/>
          <w:szCs w:val="24"/>
        </w:rPr>
        <w:t xml:space="preserve"> 116, 179–186. doi: 10.1016/s0016-5085(99)70242-8.</w:t>
      </w:r>
    </w:p>
    <w:p w14:paraId="0714171C" w14:textId="77777777" w:rsidR="00421D1C" w:rsidRPr="00421D1C" w:rsidRDefault="00421D1C" w:rsidP="00421D1C">
      <w:pPr>
        <w:pStyle w:val="Bibliography"/>
        <w:jc w:val="both"/>
        <w:rPr>
          <w:rFonts w:ascii="Times New Roman" w:hAnsi="Times New Roman" w:cs="Times New Roman"/>
          <w:sz w:val="24"/>
          <w:szCs w:val="24"/>
        </w:rPr>
      </w:pPr>
      <w:r w:rsidRPr="00421D1C">
        <w:rPr>
          <w:rFonts w:ascii="Times New Roman" w:hAnsi="Times New Roman" w:cs="Times New Roman"/>
          <w:sz w:val="24"/>
          <w:szCs w:val="24"/>
        </w:rPr>
        <w:t xml:space="preserve">Arab, J. P., Cabrera, D., and Arrese, M. (2017). Bile Acids in Cholestasis and its Treatment. </w:t>
      </w:r>
      <w:r w:rsidRPr="00421D1C">
        <w:rPr>
          <w:rFonts w:ascii="Times New Roman" w:hAnsi="Times New Roman" w:cs="Times New Roman"/>
          <w:i/>
          <w:iCs/>
          <w:sz w:val="24"/>
          <w:szCs w:val="24"/>
        </w:rPr>
        <w:t>Ann Hepatol</w:t>
      </w:r>
      <w:r w:rsidRPr="00421D1C">
        <w:rPr>
          <w:rFonts w:ascii="Times New Roman" w:hAnsi="Times New Roman" w:cs="Times New Roman"/>
          <w:sz w:val="24"/>
          <w:szCs w:val="24"/>
        </w:rPr>
        <w:t xml:space="preserve"> 16, s53–s57. doi: 10.5604/01.3001.0010.5497.</w:t>
      </w:r>
    </w:p>
    <w:p w14:paraId="28C74273" w14:textId="77777777" w:rsidR="00421D1C" w:rsidRPr="00421D1C" w:rsidRDefault="00421D1C" w:rsidP="00421D1C">
      <w:pPr>
        <w:pStyle w:val="Bibliography"/>
        <w:jc w:val="both"/>
        <w:rPr>
          <w:rFonts w:ascii="Times New Roman" w:hAnsi="Times New Roman" w:cs="Times New Roman"/>
          <w:sz w:val="24"/>
          <w:szCs w:val="24"/>
        </w:rPr>
      </w:pPr>
      <w:r w:rsidRPr="00421D1C">
        <w:rPr>
          <w:rFonts w:ascii="Times New Roman" w:hAnsi="Times New Roman" w:cs="Times New Roman"/>
          <w:sz w:val="24"/>
          <w:szCs w:val="24"/>
        </w:rPr>
        <w:t xml:space="preserve">Banales, J. M., Huebert, R. C., Karlsen, T., Strazzabosco, M., LaRusso, N. F., and Gores, G. J. (2019). Cholangiocyte pathobiology. </w:t>
      </w:r>
      <w:r w:rsidRPr="00421D1C">
        <w:rPr>
          <w:rFonts w:ascii="Times New Roman" w:hAnsi="Times New Roman" w:cs="Times New Roman"/>
          <w:i/>
          <w:iCs/>
          <w:sz w:val="24"/>
          <w:szCs w:val="24"/>
        </w:rPr>
        <w:t>Nat Rev Gastroenterol Hepatol</w:t>
      </w:r>
      <w:r w:rsidRPr="00421D1C">
        <w:rPr>
          <w:rFonts w:ascii="Times New Roman" w:hAnsi="Times New Roman" w:cs="Times New Roman"/>
          <w:sz w:val="24"/>
          <w:szCs w:val="24"/>
        </w:rPr>
        <w:t xml:space="preserve"> 16, 269–281. doi: 10.1038/s41575-019-0125-y.</w:t>
      </w:r>
    </w:p>
    <w:p w14:paraId="7F4CEEDF" w14:textId="77777777" w:rsidR="00421D1C" w:rsidRPr="00421D1C" w:rsidRDefault="00421D1C" w:rsidP="00421D1C">
      <w:pPr>
        <w:pStyle w:val="Bibliography"/>
        <w:jc w:val="both"/>
        <w:rPr>
          <w:rFonts w:ascii="Times New Roman" w:hAnsi="Times New Roman" w:cs="Times New Roman"/>
          <w:sz w:val="24"/>
          <w:szCs w:val="24"/>
        </w:rPr>
      </w:pPr>
      <w:r w:rsidRPr="00421D1C">
        <w:rPr>
          <w:rFonts w:ascii="Times New Roman" w:hAnsi="Times New Roman" w:cs="Times New Roman"/>
          <w:sz w:val="24"/>
          <w:szCs w:val="24"/>
        </w:rPr>
        <w:t xml:space="preserve">Benedetti, A., Di Sario, A., Marucci, L., Svegliati-Baroni, G., Schteingart, C. D., Ton-Nu, H. T., et al. (1997). Carrier-mediated transport of conjugated bile acids across the basolateral membrane of biliary epithelial cells. </w:t>
      </w:r>
      <w:r w:rsidRPr="00421D1C">
        <w:rPr>
          <w:rFonts w:ascii="Times New Roman" w:hAnsi="Times New Roman" w:cs="Times New Roman"/>
          <w:i/>
          <w:iCs/>
          <w:sz w:val="24"/>
          <w:szCs w:val="24"/>
        </w:rPr>
        <w:t>Am J Physiol</w:t>
      </w:r>
      <w:r w:rsidRPr="00421D1C">
        <w:rPr>
          <w:rFonts w:ascii="Times New Roman" w:hAnsi="Times New Roman" w:cs="Times New Roman"/>
          <w:sz w:val="24"/>
          <w:szCs w:val="24"/>
        </w:rPr>
        <w:t xml:space="preserve"> 272, G1416-1424. doi: 10.1152/ajpgi.1997.272.6.G1416.</w:t>
      </w:r>
    </w:p>
    <w:p w14:paraId="4574CA96" w14:textId="77777777" w:rsidR="00421D1C" w:rsidRPr="00421D1C" w:rsidRDefault="00421D1C" w:rsidP="00421D1C">
      <w:pPr>
        <w:pStyle w:val="Bibliography"/>
        <w:jc w:val="both"/>
        <w:rPr>
          <w:rFonts w:ascii="Times New Roman" w:hAnsi="Times New Roman" w:cs="Times New Roman"/>
          <w:sz w:val="24"/>
          <w:szCs w:val="24"/>
        </w:rPr>
      </w:pPr>
      <w:r w:rsidRPr="00421D1C">
        <w:rPr>
          <w:rFonts w:ascii="Times New Roman" w:hAnsi="Times New Roman" w:cs="Times New Roman"/>
          <w:sz w:val="24"/>
          <w:szCs w:val="24"/>
        </w:rPr>
        <w:t xml:space="preserve">Beuers, U., Hohenester, S., de Buy Wenniger, L. J. M., Kremer, A. E., Jansen, P. L. M., and Elferink, R. P. J. O. (2010). The biliary HCO(3)(-) umbrella: a unifying hypothesis on pathogenetic and therapeutic aspects of fibrosing cholangiopathies. </w:t>
      </w:r>
      <w:r w:rsidRPr="00421D1C">
        <w:rPr>
          <w:rFonts w:ascii="Times New Roman" w:hAnsi="Times New Roman" w:cs="Times New Roman"/>
          <w:i/>
          <w:iCs/>
          <w:sz w:val="24"/>
          <w:szCs w:val="24"/>
        </w:rPr>
        <w:t>Hepatology</w:t>
      </w:r>
      <w:r w:rsidRPr="00421D1C">
        <w:rPr>
          <w:rFonts w:ascii="Times New Roman" w:hAnsi="Times New Roman" w:cs="Times New Roman"/>
          <w:sz w:val="24"/>
          <w:szCs w:val="24"/>
        </w:rPr>
        <w:t xml:space="preserve"> 52, 1489–1496. doi: 10.1002/hep.23810.</w:t>
      </w:r>
    </w:p>
    <w:p w14:paraId="2C8CB3C9" w14:textId="77777777" w:rsidR="00421D1C" w:rsidRPr="00421D1C" w:rsidRDefault="00421D1C" w:rsidP="00421D1C">
      <w:pPr>
        <w:pStyle w:val="Bibliography"/>
        <w:jc w:val="both"/>
        <w:rPr>
          <w:rFonts w:ascii="Times New Roman" w:hAnsi="Times New Roman" w:cs="Times New Roman"/>
          <w:sz w:val="24"/>
          <w:szCs w:val="24"/>
        </w:rPr>
      </w:pPr>
      <w:r w:rsidRPr="00421D1C">
        <w:rPr>
          <w:rFonts w:ascii="Times New Roman" w:hAnsi="Times New Roman" w:cs="Times New Roman"/>
          <w:sz w:val="24"/>
          <w:szCs w:val="24"/>
        </w:rPr>
        <w:t xml:space="preserve">Boyer, J. L. (2013). Bile formation and secretion. </w:t>
      </w:r>
      <w:r w:rsidRPr="00421D1C">
        <w:rPr>
          <w:rFonts w:ascii="Times New Roman" w:hAnsi="Times New Roman" w:cs="Times New Roman"/>
          <w:i/>
          <w:iCs/>
          <w:sz w:val="24"/>
          <w:szCs w:val="24"/>
        </w:rPr>
        <w:t>Compr Physiol</w:t>
      </w:r>
      <w:r w:rsidRPr="00421D1C">
        <w:rPr>
          <w:rFonts w:ascii="Times New Roman" w:hAnsi="Times New Roman" w:cs="Times New Roman"/>
          <w:sz w:val="24"/>
          <w:szCs w:val="24"/>
        </w:rPr>
        <w:t xml:space="preserve"> 3, 1035–1078. doi: 10.1002/cphy.c120027.</w:t>
      </w:r>
    </w:p>
    <w:p w14:paraId="2CD9F0F3" w14:textId="77777777" w:rsidR="00421D1C" w:rsidRPr="00421D1C" w:rsidRDefault="00421D1C" w:rsidP="00421D1C">
      <w:pPr>
        <w:pStyle w:val="Bibliography"/>
        <w:jc w:val="both"/>
        <w:rPr>
          <w:rFonts w:ascii="Times New Roman" w:hAnsi="Times New Roman" w:cs="Times New Roman"/>
          <w:sz w:val="24"/>
          <w:szCs w:val="24"/>
        </w:rPr>
      </w:pPr>
      <w:r w:rsidRPr="00421D1C">
        <w:rPr>
          <w:rFonts w:ascii="Times New Roman" w:hAnsi="Times New Roman" w:cs="Times New Roman"/>
          <w:sz w:val="24"/>
          <w:szCs w:val="24"/>
        </w:rPr>
        <w:t xml:space="preserve">Buis, C. I., Geuken, E., Visser, D. S., Kuipers, F., Haagsma, E. B., Verkade, H. J., et al. (2009). Altered bile composition after liver transplantation is associated with the development of nonanastomotic biliary strictures. </w:t>
      </w:r>
      <w:r w:rsidRPr="00421D1C">
        <w:rPr>
          <w:rFonts w:ascii="Times New Roman" w:hAnsi="Times New Roman" w:cs="Times New Roman"/>
          <w:i/>
          <w:iCs/>
          <w:sz w:val="24"/>
          <w:szCs w:val="24"/>
        </w:rPr>
        <w:t>J Hepatol</w:t>
      </w:r>
      <w:r w:rsidRPr="00421D1C">
        <w:rPr>
          <w:rFonts w:ascii="Times New Roman" w:hAnsi="Times New Roman" w:cs="Times New Roman"/>
          <w:sz w:val="24"/>
          <w:szCs w:val="24"/>
        </w:rPr>
        <w:t xml:space="preserve"> 50, 69–79. doi: 10.1016/j.jhep.2008.07.032.</w:t>
      </w:r>
    </w:p>
    <w:p w14:paraId="3FFD6654" w14:textId="77777777" w:rsidR="00421D1C" w:rsidRPr="00421D1C" w:rsidRDefault="00421D1C" w:rsidP="00421D1C">
      <w:pPr>
        <w:pStyle w:val="Bibliography"/>
        <w:jc w:val="both"/>
        <w:rPr>
          <w:rFonts w:ascii="Times New Roman" w:hAnsi="Times New Roman" w:cs="Times New Roman"/>
          <w:sz w:val="24"/>
          <w:szCs w:val="24"/>
        </w:rPr>
      </w:pPr>
      <w:r w:rsidRPr="00421D1C">
        <w:rPr>
          <w:rFonts w:ascii="Times New Roman" w:hAnsi="Times New Roman" w:cs="Times New Roman"/>
          <w:sz w:val="24"/>
          <w:szCs w:val="24"/>
        </w:rPr>
        <w:t xml:space="preserve">Davit-Spraul, A., Gonzales, E., Baussan, C., and Jacquemin, E. (2009). Progressive familial intrahepatic cholestasis. </w:t>
      </w:r>
      <w:r w:rsidRPr="00421D1C">
        <w:rPr>
          <w:rFonts w:ascii="Times New Roman" w:hAnsi="Times New Roman" w:cs="Times New Roman"/>
          <w:i/>
          <w:iCs/>
          <w:sz w:val="24"/>
          <w:szCs w:val="24"/>
        </w:rPr>
        <w:t>Orphanet J Rare Dis</w:t>
      </w:r>
      <w:r w:rsidRPr="00421D1C">
        <w:rPr>
          <w:rFonts w:ascii="Times New Roman" w:hAnsi="Times New Roman" w:cs="Times New Roman"/>
          <w:sz w:val="24"/>
          <w:szCs w:val="24"/>
        </w:rPr>
        <w:t xml:space="preserve"> 4, 1. doi: 10.1186/1750-1172-4-1.</w:t>
      </w:r>
    </w:p>
    <w:p w14:paraId="774B8C5D" w14:textId="77777777" w:rsidR="00421D1C" w:rsidRPr="00421D1C" w:rsidRDefault="00421D1C" w:rsidP="00421D1C">
      <w:pPr>
        <w:pStyle w:val="Bibliography"/>
        <w:jc w:val="both"/>
        <w:rPr>
          <w:rFonts w:ascii="Times New Roman" w:hAnsi="Times New Roman" w:cs="Times New Roman"/>
          <w:sz w:val="24"/>
          <w:szCs w:val="24"/>
        </w:rPr>
      </w:pPr>
      <w:r w:rsidRPr="00421D1C">
        <w:rPr>
          <w:rFonts w:ascii="Times New Roman" w:hAnsi="Times New Roman" w:cs="Times New Roman"/>
          <w:sz w:val="24"/>
          <w:szCs w:val="24"/>
        </w:rPr>
        <w:t xml:space="preserve">de Vries, Y., von Meijenfeldt, F. A., and Porte, R. J. (2018). Post-transplant cholangiopathy: Classification, pathogenesis, and preventive strategies. </w:t>
      </w:r>
      <w:r w:rsidRPr="00421D1C">
        <w:rPr>
          <w:rFonts w:ascii="Times New Roman" w:hAnsi="Times New Roman" w:cs="Times New Roman"/>
          <w:i/>
          <w:iCs/>
          <w:sz w:val="24"/>
          <w:szCs w:val="24"/>
        </w:rPr>
        <w:t>Biochim Biophys Acta Mol Basis Dis</w:t>
      </w:r>
      <w:r w:rsidRPr="00421D1C">
        <w:rPr>
          <w:rFonts w:ascii="Times New Roman" w:hAnsi="Times New Roman" w:cs="Times New Roman"/>
          <w:sz w:val="24"/>
          <w:szCs w:val="24"/>
        </w:rPr>
        <w:t xml:space="preserve"> 1864, 1507–1515. doi: 10.1016/j.bbadis.2017.06.013.</w:t>
      </w:r>
    </w:p>
    <w:p w14:paraId="2854C28C" w14:textId="77777777" w:rsidR="00421D1C" w:rsidRPr="00421D1C" w:rsidRDefault="00421D1C" w:rsidP="00421D1C">
      <w:pPr>
        <w:pStyle w:val="Bibliography"/>
        <w:jc w:val="both"/>
        <w:rPr>
          <w:rFonts w:ascii="Times New Roman" w:hAnsi="Times New Roman" w:cs="Times New Roman"/>
          <w:sz w:val="24"/>
          <w:szCs w:val="24"/>
        </w:rPr>
      </w:pPr>
      <w:r w:rsidRPr="00421D1C">
        <w:rPr>
          <w:rFonts w:ascii="Times New Roman" w:hAnsi="Times New Roman" w:cs="Times New Roman"/>
          <w:sz w:val="24"/>
          <w:szCs w:val="24"/>
        </w:rPr>
        <w:t xml:space="preserve">Duboc, H., Taché, Y., and Hofmann, A. F. (2014). The bile acid TGR5 membrane receptor: from basic research to clinical application. </w:t>
      </w:r>
      <w:r w:rsidRPr="00421D1C">
        <w:rPr>
          <w:rFonts w:ascii="Times New Roman" w:hAnsi="Times New Roman" w:cs="Times New Roman"/>
          <w:i/>
          <w:iCs/>
          <w:sz w:val="24"/>
          <w:szCs w:val="24"/>
        </w:rPr>
        <w:t>Dig Liver Dis</w:t>
      </w:r>
      <w:r w:rsidRPr="00421D1C">
        <w:rPr>
          <w:rFonts w:ascii="Times New Roman" w:hAnsi="Times New Roman" w:cs="Times New Roman"/>
          <w:sz w:val="24"/>
          <w:szCs w:val="24"/>
        </w:rPr>
        <w:t xml:space="preserve"> 46, 302–312. doi: 10.1016/j.dld.2013.10.021.</w:t>
      </w:r>
    </w:p>
    <w:p w14:paraId="56B84AF3" w14:textId="77777777" w:rsidR="00421D1C" w:rsidRPr="00421D1C" w:rsidRDefault="00421D1C" w:rsidP="00421D1C">
      <w:pPr>
        <w:pStyle w:val="Bibliography"/>
        <w:jc w:val="both"/>
        <w:rPr>
          <w:rFonts w:ascii="Times New Roman" w:hAnsi="Times New Roman" w:cs="Times New Roman"/>
          <w:sz w:val="24"/>
          <w:szCs w:val="24"/>
        </w:rPr>
      </w:pPr>
      <w:r w:rsidRPr="00421D1C">
        <w:rPr>
          <w:rFonts w:ascii="Times New Roman" w:hAnsi="Times New Roman" w:cs="Times New Roman"/>
          <w:sz w:val="24"/>
          <w:szCs w:val="24"/>
        </w:rPr>
        <w:t xml:space="preserve">Fickert, P., Hirschfield, G. M., Denk, G., Marschall, H.-U., Altorjay, I., Färkkilä, M., et al. (2017). norUrsodeoxycholic acid improves cholestasis in primary sclerosing cholangitis. </w:t>
      </w:r>
      <w:r w:rsidRPr="00421D1C">
        <w:rPr>
          <w:rFonts w:ascii="Times New Roman" w:hAnsi="Times New Roman" w:cs="Times New Roman"/>
          <w:i/>
          <w:iCs/>
          <w:sz w:val="24"/>
          <w:szCs w:val="24"/>
        </w:rPr>
        <w:t>J Hepatol</w:t>
      </w:r>
      <w:r w:rsidRPr="00421D1C">
        <w:rPr>
          <w:rFonts w:ascii="Times New Roman" w:hAnsi="Times New Roman" w:cs="Times New Roman"/>
          <w:sz w:val="24"/>
          <w:szCs w:val="24"/>
        </w:rPr>
        <w:t xml:space="preserve"> 67, 549–558. doi: 10.1016/j.jhep.2017.05.009.</w:t>
      </w:r>
    </w:p>
    <w:p w14:paraId="7720412A" w14:textId="77777777" w:rsidR="00421D1C" w:rsidRPr="00421D1C" w:rsidRDefault="00421D1C" w:rsidP="00421D1C">
      <w:pPr>
        <w:pStyle w:val="Bibliography"/>
        <w:jc w:val="both"/>
        <w:rPr>
          <w:rFonts w:ascii="Times New Roman" w:hAnsi="Times New Roman" w:cs="Times New Roman"/>
          <w:sz w:val="24"/>
          <w:szCs w:val="24"/>
        </w:rPr>
      </w:pPr>
      <w:r w:rsidRPr="00421D1C">
        <w:rPr>
          <w:rFonts w:ascii="Times New Roman" w:hAnsi="Times New Roman" w:cs="Times New Roman"/>
          <w:sz w:val="24"/>
          <w:szCs w:val="24"/>
        </w:rPr>
        <w:lastRenderedPageBreak/>
        <w:t xml:space="preserve">Fiorucci, S., and Distrutti, E. eds. (2019). </w:t>
      </w:r>
      <w:r w:rsidRPr="00421D1C">
        <w:rPr>
          <w:rFonts w:ascii="Times New Roman" w:hAnsi="Times New Roman" w:cs="Times New Roman"/>
          <w:i/>
          <w:iCs/>
          <w:sz w:val="24"/>
          <w:szCs w:val="24"/>
        </w:rPr>
        <w:t>Bile Acids and Their Receptors</w:t>
      </w:r>
      <w:r w:rsidRPr="00421D1C">
        <w:rPr>
          <w:rFonts w:ascii="Times New Roman" w:hAnsi="Times New Roman" w:cs="Times New Roman"/>
          <w:sz w:val="24"/>
          <w:szCs w:val="24"/>
        </w:rPr>
        <w:t>. Cham: Springer International Publishing doi: 10.1007/978-3-030-22005-1.</w:t>
      </w:r>
    </w:p>
    <w:p w14:paraId="2B70CFE3" w14:textId="77777777" w:rsidR="00421D1C" w:rsidRPr="00421D1C" w:rsidRDefault="00421D1C" w:rsidP="00421D1C">
      <w:pPr>
        <w:pStyle w:val="Bibliography"/>
        <w:jc w:val="both"/>
        <w:rPr>
          <w:rFonts w:ascii="Times New Roman" w:hAnsi="Times New Roman" w:cs="Times New Roman"/>
          <w:sz w:val="24"/>
          <w:szCs w:val="24"/>
        </w:rPr>
      </w:pPr>
      <w:r w:rsidRPr="00421D1C">
        <w:rPr>
          <w:rFonts w:ascii="Times New Roman" w:hAnsi="Times New Roman" w:cs="Times New Roman"/>
          <w:sz w:val="24"/>
          <w:szCs w:val="24"/>
        </w:rPr>
        <w:t xml:space="preserve">Geuken, E., Visser, D., Kuipers, F., Blokzijl, H., Leuvenink, H. G. D., de Jong, K. P., et al. (2004). Rapid increase of bile salt secretion is associated with bile duct injury after human liver transplantation. </w:t>
      </w:r>
      <w:r w:rsidRPr="00421D1C">
        <w:rPr>
          <w:rFonts w:ascii="Times New Roman" w:hAnsi="Times New Roman" w:cs="Times New Roman"/>
          <w:i/>
          <w:iCs/>
          <w:sz w:val="24"/>
          <w:szCs w:val="24"/>
        </w:rPr>
        <w:t>J Hepatol</w:t>
      </w:r>
      <w:r w:rsidRPr="00421D1C">
        <w:rPr>
          <w:rFonts w:ascii="Times New Roman" w:hAnsi="Times New Roman" w:cs="Times New Roman"/>
          <w:sz w:val="24"/>
          <w:szCs w:val="24"/>
        </w:rPr>
        <w:t xml:space="preserve"> 41, 1017–1025. doi: 10.1016/j.jhep.2004.08.023.</w:t>
      </w:r>
    </w:p>
    <w:p w14:paraId="21E3F309" w14:textId="77777777" w:rsidR="00421D1C" w:rsidRPr="00421D1C" w:rsidRDefault="00421D1C" w:rsidP="00421D1C">
      <w:pPr>
        <w:pStyle w:val="Bibliography"/>
        <w:jc w:val="both"/>
        <w:rPr>
          <w:rFonts w:ascii="Times New Roman" w:hAnsi="Times New Roman" w:cs="Times New Roman"/>
          <w:sz w:val="24"/>
          <w:szCs w:val="24"/>
        </w:rPr>
      </w:pPr>
      <w:r w:rsidRPr="00421D1C">
        <w:rPr>
          <w:rFonts w:ascii="Times New Roman" w:hAnsi="Times New Roman" w:cs="Times New Roman"/>
          <w:sz w:val="24"/>
          <w:szCs w:val="24"/>
        </w:rPr>
        <w:t xml:space="preserve">Halilbasic, E., Steinacher, D., and Trauner, M. (2017). Nor-Ursodeoxycholic Acid as a Novel Therapeutic Approach for Cholestatic and Metabolic Liver Diseases. </w:t>
      </w:r>
      <w:r w:rsidRPr="00421D1C">
        <w:rPr>
          <w:rFonts w:ascii="Times New Roman" w:hAnsi="Times New Roman" w:cs="Times New Roman"/>
          <w:i/>
          <w:iCs/>
          <w:sz w:val="24"/>
          <w:szCs w:val="24"/>
        </w:rPr>
        <w:t>Dig Dis</w:t>
      </w:r>
      <w:r w:rsidRPr="00421D1C">
        <w:rPr>
          <w:rFonts w:ascii="Times New Roman" w:hAnsi="Times New Roman" w:cs="Times New Roman"/>
          <w:sz w:val="24"/>
          <w:szCs w:val="24"/>
        </w:rPr>
        <w:t xml:space="preserve"> 35, 288–292. doi: 10.1159/000454904.</w:t>
      </w:r>
    </w:p>
    <w:p w14:paraId="40EF6341" w14:textId="77777777" w:rsidR="00421D1C" w:rsidRPr="00421D1C" w:rsidRDefault="00421D1C" w:rsidP="00421D1C">
      <w:pPr>
        <w:pStyle w:val="Bibliography"/>
        <w:jc w:val="both"/>
        <w:rPr>
          <w:rFonts w:ascii="Times New Roman" w:hAnsi="Times New Roman" w:cs="Times New Roman"/>
          <w:sz w:val="24"/>
          <w:szCs w:val="24"/>
        </w:rPr>
      </w:pPr>
      <w:r w:rsidRPr="00421D1C">
        <w:rPr>
          <w:rFonts w:ascii="Times New Roman" w:hAnsi="Times New Roman" w:cs="Times New Roman"/>
          <w:sz w:val="24"/>
          <w:szCs w:val="24"/>
        </w:rPr>
        <w:t xml:space="preserve">Hirohashi, T., Suzuki, H., Takikawa, H., and Sugiyama, Y. (2000). ATP-dependent transport of bile salts by rat multidrug resistance-associated protein 3 (Mrp3). </w:t>
      </w:r>
      <w:r w:rsidRPr="00421D1C">
        <w:rPr>
          <w:rFonts w:ascii="Times New Roman" w:hAnsi="Times New Roman" w:cs="Times New Roman"/>
          <w:i/>
          <w:iCs/>
          <w:sz w:val="24"/>
          <w:szCs w:val="24"/>
        </w:rPr>
        <w:t>J Biol Chem</w:t>
      </w:r>
      <w:r w:rsidRPr="00421D1C">
        <w:rPr>
          <w:rFonts w:ascii="Times New Roman" w:hAnsi="Times New Roman" w:cs="Times New Roman"/>
          <w:sz w:val="24"/>
          <w:szCs w:val="24"/>
        </w:rPr>
        <w:t xml:space="preserve"> 275, 2905–2910. doi: 10.1074/jbc.275.4.2905.</w:t>
      </w:r>
    </w:p>
    <w:p w14:paraId="3ABF9D4A" w14:textId="77777777" w:rsidR="00421D1C" w:rsidRPr="00421D1C" w:rsidRDefault="00421D1C" w:rsidP="00421D1C">
      <w:pPr>
        <w:pStyle w:val="Bibliography"/>
        <w:jc w:val="both"/>
        <w:rPr>
          <w:rFonts w:ascii="Times New Roman" w:hAnsi="Times New Roman" w:cs="Times New Roman"/>
          <w:sz w:val="24"/>
          <w:szCs w:val="24"/>
        </w:rPr>
      </w:pPr>
      <w:r w:rsidRPr="00421D1C">
        <w:rPr>
          <w:rFonts w:ascii="Times New Roman" w:hAnsi="Times New Roman" w:cs="Times New Roman"/>
          <w:sz w:val="24"/>
          <w:szCs w:val="24"/>
        </w:rPr>
        <w:t xml:space="preserve">Hohenester, S., Wenniger, L. M. de B., Paulusma, C. C., van Vliet, S. J., Jefferson, D. M., Elferink, R. P. O., et al. (2012). A biliary HCO3- umbrella constitutes a protective mechanism against bile acid-induced injury in human cholangiocytes. </w:t>
      </w:r>
      <w:r w:rsidRPr="00421D1C">
        <w:rPr>
          <w:rFonts w:ascii="Times New Roman" w:hAnsi="Times New Roman" w:cs="Times New Roman"/>
          <w:i/>
          <w:iCs/>
          <w:sz w:val="24"/>
          <w:szCs w:val="24"/>
        </w:rPr>
        <w:t>Hepatology</w:t>
      </w:r>
      <w:r w:rsidRPr="00421D1C">
        <w:rPr>
          <w:rFonts w:ascii="Times New Roman" w:hAnsi="Times New Roman" w:cs="Times New Roman"/>
          <w:sz w:val="24"/>
          <w:szCs w:val="24"/>
        </w:rPr>
        <w:t xml:space="preserve"> 55, 173–183. doi: 10.1002/hep.24691.</w:t>
      </w:r>
    </w:p>
    <w:p w14:paraId="6401F034" w14:textId="77777777" w:rsidR="00421D1C" w:rsidRPr="00421D1C" w:rsidRDefault="00421D1C" w:rsidP="00421D1C">
      <w:pPr>
        <w:pStyle w:val="Bibliography"/>
        <w:jc w:val="both"/>
        <w:rPr>
          <w:rFonts w:ascii="Times New Roman" w:hAnsi="Times New Roman" w:cs="Times New Roman"/>
          <w:sz w:val="24"/>
          <w:szCs w:val="24"/>
        </w:rPr>
      </w:pPr>
      <w:r w:rsidRPr="00421D1C">
        <w:rPr>
          <w:rFonts w:ascii="Times New Roman" w:hAnsi="Times New Roman" w:cs="Times New Roman"/>
          <w:sz w:val="24"/>
          <w:szCs w:val="24"/>
        </w:rPr>
        <w:t xml:space="preserve">Jonker, J. W., Liddle, C., and Downes, M. (2012). FXR and PXR: potential therapeutic targets in cholestasis. </w:t>
      </w:r>
      <w:r w:rsidRPr="00421D1C">
        <w:rPr>
          <w:rFonts w:ascii="Times New Roman" w:hAnsi="Times New Roman" w:cs="Times New Roman"/>
          <w:i/>
          <w:iCs/>
          <w:sz w:val="24"/>
          <w:szCs w:val="24"/>
        </w:rPr>
        <w:t>J Steroid Biochem Mol Biol</w:t>
      </w:r>
      <w:r w:rsidRPr="00421D1C">
        <w:rPr>
          <w:rFonts w:ascii="Times New Roman" w:hAnsi="Times New Roman" w:cs="Times New Roman"/>
          <w:sz w:val="24"/>
          <w:szCs w:val="24"/>
        </w:rPr>
        <w:t xml:space="preserve"> 130, 147–158. doi: 10.1016/j.jsbmb.2011.06.012.</w:t>
      </w:r>
    </w:p>
    <w:p w14:paraId="3968F04E" w14:textId="77777777" w:rsidR="00421D1C" w:rsidRPr="00421D1C" w:rsidRDefault="00421D1C" w:rsidP="00421D1C">
      <w:pPr>
        <w:pStyle w:val="Bibliography"/>
        <w:jc w:val="both"/>
        <w:rPr>
          <w:rFonts w:ascii="Times New Roman" w:hAnsi="Times New Roman" w:cs="Times New Roman"/>
          <w:sz w:val="24"/>
          <w:szCs w:val="24"/>
        </w:rPr>
      </w:pPr>
      <w:r w:rsidRPr="00421D1C">
        <w:rPr>
          <w:rFonts w:ascii="Times New Roman" w:hAnsi="Times New Roman" w:cs="Times New Roman"/>
          <w:sz w:val="24"/>
          <w:szCs w:val="24"/>
        </w:rPr>
        <w:t xml:space="preserve">Kagawa, T. (2017). “Hepatobiliary Transport of Bile Acids,” in </w:t>
      </w:r>
      <w:r w:rsidRPr="00421D1C">
        <w:rPr>
          <w:rFonts w:ascii="Times New Roman" w:hAnsi="Times New Roman" w:cs="Times New Roman"/>
          <w:i/>
          <w:iCs/>
          <w:sz w:val="24"/>
          <w:szCs w:val="24"/>
        </w:rPr>
        <w:t>Bile Acids in Gastroenterology</w:t>
      </w:r>
      <w:r w:rsidRPr="00421D1C">
        <w:rPr>
          <w:rFonts w:ascii="Times New Roman" w:hAnsi="Times New Roman" w:cs="Times New Roman"/>
          <w:sz w:val="24"/>
          <w:szCs w:val="24"/>
        </w:rPr>
        <w:t>, eds. S. Tazuma and H. Takikawa (Tokyo: Springer Japan), 9–25. doi: 10.1007/978-4-431-56062-3_2.</w:t>
      </w:r>
    </w:p>
    <w:p w14:paraId="09D7AC04" w14:textId="77777777" w:rsidR="00421D1C" w:rsidRPr="00421D1C" w:rsidRDefault="00421D1C" w:rsidP="00421D1C">
      <w:pPr>
        <w:pStyle w:val="Bibliography"/>
        <w:jc w:val="both"/>
        <w:rPr>
          <w:rFonts w:ascii="Times New Roman" w:hAnsi="Times New Roman" w:cs="Times New Roman"/>
          <w:sz w:val="24"/>
          <w:szCs w:val="24"/>
        </w:rPr>
      </w:pPr>
      <w:r w:rsidRPr="00421D1C">
        <w:rPr>
          <w:rFonts w:ascii="Times New Roman" w:hAnsi="Times New Roman" w:cs="Times New Roman"/>
          <w:sz w:val="24"/>
          <w:szCs w:val="24"/>
        </w:rPr>
        <w:t xml:space="preserve">Meier, P. J., and Stieger, B. (2002). Bile salt transporters. </w:t>
      </w:r>
      <w:r w:rsidRPr="00421D1C">
        <w:rPr>
          <w:rFonts w:ascii="Times New Roman" w:hAnsi="Times New Roman" w:cs="Times New Roman"/>
          <w:i/>
          <w:iCs/>
          <w:sz w:val="24"/>
          <w:szCs w:val="24"/>
        </w:rPr>
        <w:t>Annu Rev Physiol</w:t>
      </w:r>
      <w:r w:rsidRPr="00421D1C">
        <w:rPr>
          <w:rFonts w:ascii="Times New Roman" w:hAnsi="Times New Roman" w:cs="Times New Roman"/>
          <w:sz w:val="24"/>
          <w:szCs w:val="24"/>
        </w:rPr>
        <w:t xml:space="preserve"> 64, 635–661. doi: 10.1146/annurev.physiol.64.082201.100300.</w:t>
      </w:r>
    </w:p>
    <w:p w14:paraId="31EEDA77" w14:textId="77777777" w:rsidR="00421D1C" w:rsidRPr="00421D1C" w:rsidRDefault="00421D1C" w:rsidP="00421D1C">
      <w:pPr>
        <w:pStyle w:val="Bibliography"/>
        <w:jc w:val="both"/>
        <w:rPr>
          <w:rFonts w:ascii="Times New Roman" w:hAnsi="Times New Roman" w:cs="Times New Roman"/>
          <w:sz w:val="24"/>
          <w:szCs w:val="24"/>
        </w:rPr>
      </w:pPr>
      <w:r w:rsidRPr="00421D1C">
        <w:rPr>
          <w:rFonts w:ascii="Times New Roman" w:hAnsi="Times New Roman" w:cs="Times New Roman"/>
          <w:sz w:val="24"/>
          <w:szCs w:val="24"/>
        </w:rPr>
        <w:t xml:space="preserve">Mok, H. Y., Von Bergmann, K., and Grundy, S. M. (1977). Regulation of pool size of bile acids in man. </w:t>
      </w:r>
      <w:r w:rsidRPr="00421D1C">
        <w:rPr>
          <w:rFonts w:ascii="Times New Roman" w:hAnsi="Times New Roman" w:cs="Times New Roman"/>
          <w:i/>
          <w:iCs/>
          <w:sz w:val="24"/>
          <w:szCs w:val="24"/>
        </w:rPr>
        <w:t>Gastroenterology</w:t>
      </w:r>
      <w:r w:rsidRPr="00421D1C">
        <w:rPr>
          <w:rFonts w:ascii="Times New Roman" w:hAnsi="Times New Roman" w:cs="Times New Roman"/>
          <w:sz w:val="24"/>
          <w:szCs w:val="24"/>
        </w:rPr>
        <w:t xml:space="preserve"> 73, 684–690.</w:t>
      </w:r>
    </w:p>
    <w:p w14:paraId="333FC5DF" w14:textId="77777777" w:rsidR="00421D1C" w:rsidRPr="00421D1C" w:rsidRDefault="00421D1C" w:rsidP="00421D1C">
      <w:pPr>
        <w:pStyle w:val="Bibliography"/>
        <w:jc w:val="both"/>
        <w:rPr>
          <w:rFonts w:ascii="Times New Roman" w:hAnsi="Times New Roman" w:cs="Times New Roman"/>
          <w:sz w:val="24"/>
          <w:szCs w:val="24"/>
        </w:rPr>
      </w:pPr>
      <w:r w:rsidRPr="00421D1C">
        <w:rPr>
          <w:rFonts w:ascii="Times New Roman" w:hAnsi="Times New Roman" w:cs="Times New Roman"/>
          <w:sz w:val="24"/>
          <w:szCs w:val="24"/>
        </w:rPr>
        <w:t xml:space="preserve">Padda, M. S., Sanchez, M., Akhtar, A. J., and Boyer, J. L. (2011). Drug-induced cholestasis. </w:t>
      </w:r>
      <w:r w:rsidRPr="00421D1C">
        <w:rPr>
          <w:rFonts w:ascii="Times New Roman" w:hAnsi="Times New Roman" w:cs="Times New Roman"/>
          <w:i/>
          <w:iCs/>
          <w:sz w:val="24"/>
          <w:szCs w:val="24"/>
        </w:rPr>
        <w:t>Hepatology</w:t>
      </w:r>
      <w:r w:rsidRPr="00421D1C">
        <w:rPr>
          <w:rFonts w:ascii="Times New Roman" w:hAnsi="Times New Roman" w:cs="Times New Roman"/>
          <w:sz w:val="24"/>
          <w:szCs w:val="24"/>
        </w:rPr>
        <w:t xml:space="preserve"> 53, 1377–1387. doi: 10.1002/hep.24229.</w:t>
      </w:r>
    </w:p>
    <w:p w14:paraId="3096D028" w14:textId="77777777" w:rsidR="00421D1C" w:rsidRPr="00421D1C" w:rsidRDefault="00421D1C" w:rsidP="00421D1C">
      <w:pPr>
        <w:pStyle w:val="Bibliography"/>
        <w:jc w:val="both"/>
        <w:rPr>
          <w:rFonts w:ascii="Times New Roman" w:hAnsi="Times New Roman" w:cs="Times New Roman"/>
          <w:sz w:val="24"/>
          <w:szCs w:val="24"/>
        </w:rPr>
      </w:pPr>
      <w:r w:rsidRPr="00421D1C">
        <w:rPr>
          <w:rFonts w:ascii="Times New Roman" w:hAnsi="Times New Roman" w:cs="Times New Roman"/>
          <w:sz w:val="24"/>
          <w:szCs w:val="24"/>
        </w:rPr>
        <w:t xml:space="preserve">Samant, H., Manatsathit, W., Dies, D., Shokouh-Amiri, H., Zibari, G., Boktor, M., et al. (2019). Cholestatic liver diseases: An era of emerging therapies. </w:t>
      </w:r>
      <w:r w:rsidRPr="00421D1C">
        <w:rPr>
          <w:rFonts w:ascii="Times New Roman" w:hAnsi="Times New Roman" w:cs="Times New Roman"/>
          <w:i/>
          <w:iCs/>
          <w:sz w:val="24"/>
          <w:szCs w:val="24"/>
        </w:rPr>
        <w:t>World J Clin Cases</w:t>
      </w:r>
      <w:r w:rsidRPr="00421D1C">
        <w:rPr>
          <w:rFonts w:ascii="Times New Roman" w:hAnsi="Times New Roman" w:cs="Times New Roman"/>
          <w:sz w:val="24"/>
          <w:szCs w:val="24"/>
        </w:rPr>
        <w:t xml:space="preserve"> 7, 1571–1581. doi: 10.12998/wjcc.v7.i13.1571.</w:t>
      </w:r>
    </w:p>
    <w:p w14:paraId="24BC67B3" w14:textId="77777777" w:rsidR="00421D1C" w:rsidRPr="00421D1C" w:rsidRDefault="00421D1C" w:rsidP="00421D1C">
      <w:pPr>
        <w:pStyle w:val="Bibliography"/>
        <w:jc w:val="both"/>
        <w:rPr>
          <w:rFonts w:ascii="Times New Roman" w:hAnsi="Times New Roman" w:cs="Times New Roman"/>
          <w:sz w:val="24"/>
          <w:szCs w:val="24"/>
        </w:rPr>
      </w:pPr>
      <w:r w:rsidRPr="00421D1C">
        <w:rPr>
          <w:rFonts w:ascii="Times New Roman" w:hAnsi="Times New Roman" w:cs="Times New Roman"/>
          <w:sz w:val="24"/>
          <w:szCs w:val="24"/>
        </w:rPr>
        <w:t xml:space="preserve">Scheffer, G. L., Kool, M., de Haas, M., de Vree, J. M. L., Pijnenborg, A. C. L. M., Bosman, D. K., et al. (2002). Tissue distribution and induction of human multidrug resistant protein 3. </w:t>
      </w:r>
      <w:r w:rsidRPr="00421D1C">
        <w:rPr>
          <w:rFonts w:ascii="Times New Roman" w:hAnsi="Times New Roman" w:cs="Times New Roman"/>
          <w:i/>
          <w:iCs/>
          <w:sz w:val="24"/>
          <w:szCs w:val="24"/>
        </w:rPr>
        <w:t>Lab. Invest.</w:t>
      </w:r>
      <w:r w:rsidRPr="00421D1C">
        <w:rPr>
          <w:rFonts w:ascii="Times New Roman" w:hAnsi="Times New Roman" w:cs="Times New Roman"/>
          <w:sz w:val="24"/>
          <w:szCs w:val="24"/>
        </w:rPr>
        <w:t xml:space="preserve"> 82, 193–201.</w:t>
      </w:r>
    </w:p>
    <w:p w14:paraId="6AE2F758" w14:textId="77777777" w:rsidR="00421D1C" w:rsidRPr="00421D1C" w:rsidRDefault="00421D1C" w:rsidP="00421D1C">
      <w:pPr>
        <w:pStyle w:val="Bibliography"/>
        <w:jc w:val="both"/>
        <w:rPr>
          <w:rFonts w:ascii="Times New Roman" w:hAnsi="Times New Roman" w:cs="Times New Roman"/>
          <w:sz w:val="24"/>
          <w:szCs w:val="24"/>
        </w:rPr>
      </w:pPr>
      <w:r w:rsidRPr="00421D1C">
        <w:rPr>
          <w:rFonts w:ascii="Times New Roman" w:hAnsi="Times New Roman" w:cs="Times New Roman"/>
          <w:sz w:val="24"/>
          <w:szCs w:val="24"/>
        </w:rPr>
        <w:t xml:space="preserve">Subbiah, M. T., Tyler, N. E., Buscaglia, M. D., and Marai, L. (1976). Estimation of bile acid excretion in man: comparison of isotopic turnover and fecal excretion methods. </w:t>
      </w:r>
      <w:r w:rsidRPr="00421D1C">
        <w:rPr>
          <w:rFonts w:ascii="Times New Roman" w:hAnsi="Times New Roman" w:cs="Times New Roman"/>
          <w:i/>
          <w:iCs/>
          <w:sz w:val="24"/>
          <w:szCs w:val="24"/>
        </w:rPr>
        <w:t>J Lipid Res</w:t>
      </w:r>
      <w:r w:rsidRPr="00421D1C">
        <w:rPr>
          <w:rFonts w:ascii="Times New Roman" w:hAnsi="Times New Roman" w:cs="Times New Roman"/>
          <w:sz w:val="24"/>
          <w:szCs w:val="24"/>
        </w:rPr>
        <w:t xml:space="preserve"> 17, 78–84.</w:t>
      </w:r>
    </w:p>
    <w:p w14:paraId="2037E973" w14:textId="77777777" w:rsidR="00421D1C" w:rsidRPr="00421D1C" w:rsidRDefault="00421D1C" w:rsidP="00421D1C">
      <w:pPr>
        <w:pStyle w:val="Bibliography"/>
        <w:jc w:val="both"/>
        <w:rPr>
          <w:rFonts w:ascii="Times New Roman" w:hAnsi="Times New Roman" w:cs="Times New Roman"/>
          <w:sz w:val="24"/>
          <w:szCs w:val="24"/>
        </w:rPr>
      </w:pPr>
      <w:r w:rsidRPr="00421D1C">
        <w:rPr>
          <w:rFonts w:ascii="Times New Roman" w:hAnsi="Times New Roman" w:cs="Times New Roman"/>
          <w:sz w:val="24"/>
          <w:szCs w:val="24"/>
        </w:rPr>
        <w:lastRenderedPageBreak/>
        <w:t xml:space="preserve">Thomas, C., Pellicciari, R., Pruzanski, M., Auwerx, J., and Schoonjans, K. (2008). Targeting bile-acid signalling for metabolic diseases. </w:t>
      </w:r>
      <w:r w:rsidRPr="00421D1C">
        <w:rPr>
          <w:rFonts w:ascii="Times New Roman" w:hAnsi="Times New Roman" w:cs="Times New Roman"/>
          <w:i/>
          <w:iCs/>
          <w:sz w:val="24"/>
          <w:szCs w:val="24"/>
        </w:rPr>
        <w:t>Nat Rev Drug Discov</w:t>
      </w:r>
      <w:r w:rsidRPr="00421D1C">
        <w:rPr>
          <w:rFonts w:ascii="Times New Roman" w:hAnsi="Times New Roman" w:cs="Times New Roman"/>
          <w:sz w:val="24"/>
          <w:szCs w:val="24"/>
        </w:rPr>
        <w:t xml:space="preserve"> 7, 678–693. doi: 10.1038/nrd2619.</w:t>
      </w:r>
    </w:p>
    <w:p w14:paraId="1C03ABA2" w14:textId="77777777" w:rsidR="00421D1C" w:rsidRPr="00421D1C" w:rsidRDefault="00421D1C" w:rsidP="00421D1C">
      <w:pPr>
        <w:pStyle w:val="Bibliography"/>
        <w:jc w:val="both"/>
        <w:rPr>
          <w:rFonts w:ascii="Times New Roman" w:hAnsi="Times New Roman" w:cs="Times New Roman"/>
          <w:sz w:val="24"/>
          <w:szCs w:val="24"/>
        </w:rPr>
      </w:pPr>
      <w:r w:rsidRPr="00421D1C">
        <w:rPr>
          <w:rFonts w:ascii="Times New Roman" w:hAnsi="Times New Roman" w:cs="Times New Roman"/>
          <w:sz w:val="24"/>
          <w:szCs w:val="24"/>
        </w:rPr>
        <w:t xml:space="preserve">Vantrappen, G., Rutgeerts, P., and Ghoos, Y. (1981). A new method for the measurement of bile acid turnover and pool size by a double label, single intubation technique. </w:t>
      </w:r>
      <w:r w:rsidRPr="00421D1C">
        <w:rPr>
          <w:rFonts w:ascii="Times New Roman" w:hAnsi="Times New Roman" w:cs="Times New Roman"/>
          <w:i/>
          <w:iCs/>
          <w:sz w:val="24"/>
          <w:szCs w:val="24"/>
        </w:rPr>
        <w:t>J Lipid Res</w:t>
      </w:r>
      <w:r w:rsidRPr="00421D1C">
        <w:rPr>
          <w:rFonts w:ascii="Times New Roman" w:hAnsi="Times New Roman" w:cs="Times New Roman"/>
          <w:sz w:val="24"/>
          <w:szCs w:val="24"/>
        </w:rPr>
        <w:t xml:space="preserve"> 22, 528–531.</w:t>
      </w:r>
    </w:p>
    <w:p w14:paraId="53DC2AEF" w14:textId="77777777" w:rsidR="00421D1C" w:rsidRPr="00421D1C" w:rsidRDefault="00421D1C" w:rsidP="00421D1C">
      <w:pPr>
        <w:pStyle w:val="Bibliography"/>
        <w:jc w:val="both"/>
        <w:rPr>
          <w:rFonts w:ascii="Times New Roman" w:hAnsi="Times New Roman" w:cs="Times New Roman"/>
          <w:sz w:val="24"/>
          <w:szCs w:val="24"/>
        </w:rPr>
      </w:pPr>
      <w:r w:rsidRPr="00421D1C">
        <w:rPr>
          <w:rFonts w:ascii="Times New Roman" w:hAnsi="Times New Roman" w:cs="Times New Roman"/>
          <w:sz w:val="24"/>
          <w:szCs w:val="24"/>
        </w:rPr>
        <w:t xml:space="preserve">Xia, X., Francis, H., Glaser, S., Alpini, G., and LeSage, G. (2006). Bile acid interactions with cholangiocytes. </w:t>
      </w:r>
      <w:r w:rsidRPr="00421D1C">
        <w:rPr>
          <w:rFonts w:ascii="Times New Roman" w:hAnsi="Times New Roman" w:cs="Times New Roman"/>
          <w:i/>
          <w:iCs/>
          <w:sz w:val="24"/>
          <w:szCs w:val="24"/>
        </w:rPr>
        <w:t>World J Gastroenterol</w:t>
      </w:r>
      <w:r w:rsidRPr="00421D1C">
        <w:rPr>
          <w:rFonts w:ascii="Times New Roman" w:hAnsi="Times New Roman" w:cs="Times New Roman"/>
          <w:sz w:val="24"/>
          <w:szCs w:val="24"/>
        </w:rPr>
        <w:t xml:space="preserve"> 12, 3553–3563. doi: 10.3748/wjg.v12.i22.3553.</w:t>
      </w:r>
    </w:p>
    <w:p w14:paraId="25645958" w14:textId="70A6A821" w:rsidR="0093593C" w:rsidRPr="00421D1C" w:rsidRDefault="009604F0" w:rsidP="00421D1C">
      <w:pPr>
        <w:spacing w:after="0"/>
        <w:jc w:val="both"/>
        <w:rPr>
          <w:rFonts w:ascii="Times New Roman" w:hAnsi="Times New Roman" w:cs="Times New Roman"/>
          <w:sz w:val="24"/>
          <w:szCs w:val="24"/>
        </w:rPr>
      </w:pPr>
      <w:r w:rsidRPr="00421D1C">
        <w:rPr>
          <w:rFonts w:ascii="Times New Roman" w:hAnsi="Times New Roman" w:cs="Times New Roman"/>
          <w:sz w:val="24"/>
          <w:szCs w:val="24"/>
        </w:rPr>
        <w:fldChar w:fldCharType="end"/>
      </w:r>
    </w:p>
    <w:sectPr w:rsidR="0093593C" w:rsidRPr="00421D1C" w:rsidSect="00304BE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46B6A" w14:textId="77777777" w:rsidR="00F064F9" w:rsidRDefault="00F064F9" w:rsidP="006B1CC6">
      <w:pPr>
        <w:spacing w:after="0" w:line="240" w:lineRule="auto"/>
      </w:pPr>
      <w:r>
        <w:separator/>
      </w:r>
    </w:p>
  </w:endnote>
  <w:endnote w:type="continuationSeparator" w:id="0">
    <w:p w14:paraId="7A8CDDBA" w14:textId="77777777" w:rsidR="00F064F9" w:rsidRDefault="00F064F9" w:rsidP="006B1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583B" w14:textId="77777777" w:rsidR="00425A73" w:rsidRDefault="00425A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140219"/>
      <w:docPartObj>
        <w:docPartGallery w:val="Page Numbers (Bottom of Page)"/>
        <w:docPartUnique/>
      </w:docPartObj>
    </w:sdtPr>
    <w:sdtContent>
      <w:sdt>
        <w:sdtPr>
          <w:id w:val="-1769616900"/>
          <w:docPartObj>
            <w:docPartGallery w:val="Page Numbers (Top of Page)"/>
            <w:docPartUnique/>
          </w:docPartObj>
        </w:sdtPr>
        <w:sdtContent>
          <w:p w14:paraId="5FFEC3A9" w14:textId="2685CFD4" w:rsidR="006B1CC6" w:rsidRDefault="006B1CC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1AB8E34" w14:textId="77777777" w:rsidR="006B1CC6" w:rsidRDefault="006B1C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21CB2" w14:textId="77777777" w:rsidR="00425A73" w:rsidRDefault="00425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3DF8C" w14:textId="77777777" w:rsidR="00F064F9" w:rsidRDefault="00F064F9" w:rsidP="006B1CC6">
      <w:pPr>
        <w:spacing w:after="0" w:line="240" w:lineRule="auto"/>
      </w:pPr>
      <w:r>
        <w:separator/>
      </w:r>
    </w:p>
  </w:footnote>
  <w:footnote w:type="continuationSeparator" w:id="0">
    <w:p w14:paraId="4BBA5C57" w14:textId="77777777" w:rsidR="00F064F9" w:rsidRDefault="00F064F9" w:rsidP="006B1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92EC" w14:textId="77777777" w:rsidR="00425A73" w:rsidRDefault="00425A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57826" w14:textId="77777777" w:rsidR="00425A73" w:rsidRDefault="00425A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96F98" w14:textId="77777777" w:rsidR="00425A73" w:rsidRDefault="00425A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7C2"/>
    <w:multiLevelType w:val="hybridMultilevel"/>
    <w:tmpl w:val="B958087E"/>
    <w:lvl w:ilvl="0" w:tplc="C89ECC5A">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B5ED7"/>
    <w:multiLevelType w:val="hybridMultilevel"/>
    <w:tmpl w:val="2EA4A14E"/>
    <w:lvl w:ilvl="0" w:tplc="0409000B">
      <w:start w:val="1"/>
      <w:numFmt w:val="bullet"/>
      <w:lvlText w:val=""/>
      <w:lvlJc w:val="left"/>
      <w:pPr>
        <w:ind w:left="720" w:hanging="360"/>
      </w:pPr>
      <w:rPr>
        <w:rFonts w:ascii="Wingdings" w:hAnsi="Wingdings" w:cs="Wingdings" w:hint="default"/>
      </w:rPr>
    </w:lvl>
    <w:lvl w:ilvl="1" w:tplc="147E6880">
      <w:numFmt w:val="bullet"/>
      <w:lvlText w:val=""/>
      <w:lvlJc w:val="left"/>
      <w:pPr>
        <w:ind w:left="1440" w:hanging="360"/>
      </w:pPr>
      <w:rPr>
        <w:rFonts w:ascii="Wingdings" w:eastAsiaTheme="minorHAnsi" w:hAnsi="Wingding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A4A7F"/>
    <w:multiLevelType w:val="multilevel"/>
    <w:tmpl w:val="82D0CECE"/>
    <w:lvl w:ilvl="0">
      <w:start w:val="1"/>
      <w:numFmt w:val="decimal"/>
      <w:lvlText w:val="%1."/>
      <w:lvlJc w:val="left"/>
      <w:pPr>
        <w:ind w:left="720" w:hanging="360"/>
      </w:pPr>
      <w:rPr>
        <w:b/>
        <w:bCs/>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0EF4DEC"/>
    <w:multiLevelType w:val="hybridMultilevel"/>
    <w:tmpl w:val="A210CAEA"/>
    <w:lvl w:ilvl="0" w:tplc="0FE0669E">
      <w:start w:val="1"/>
      <w:numFmt w:val="decimal"/>
      <w:lvlText w:val="%1."/>
      <w:lvlJc w:val="left"/>
      <w:pPr>
        <w:ind w:left="720" w:hanging="360"/>
      </w:pPr>
      <w:rPr>
        <w:rFonts w:hint="default"/>
      </w:rPr>
    </w:lvl>
    <w:lvl w:ilvl="1" w:tplc="0DF4CDA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F6A90"/>
    <w:multiLevelType w:val="hybridMultilevel"/>
    <w:tmpl w:val="B0D8C2A6"/>
    <w:lvl w:ilvl="0" w:tplc="C89ECC5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3F5D55"/>
    <w:multiLevelType w:val="hybridMultilevel"/>
    <w:tmpl w:val="9BCC844A"/>
    <w:lvl w:ilvl="0" w:tplc="7A98902A">
      <w:start w:val="1"/>
      <w:numFmt w:val="bullet"/>
      <w:lvlText w:val="•"/>
      <w:lvlJc w:val="left"/>
      <w:pPr>
        <w:tabs>
          <w:tab w:val="num" w:pos="720"/>
        </w:tabs>
        <w:ind w:left="720" w:hanging="360"/>
      </w:pPr>
      <w:rPr>
        <w:rFonts w:ascii="Arial" w:hAnsi="Arial" w:hint="default"/>
      </w:rPr>
    </w:lvl>
    <w:lvl w:ilvl="1" w:tplc="045A4014" w:tentative="1">
      <w:start w:val="1"/>
      <w:numFmt w:val="bullet"/>
      <w:lvlText w:val="•"/>
      <w:lvlJc w:val="left"/>
      <w:pPr>
        <w:tabs>
          <w:tab w:val="num" w:pos="1440"/>
        </w:tabs>
        <w:ind w:left="1440" w:hanging="360"/>
      </w:pPr>
      <w:rPr>
        <w:rFonts w:ascii="Arial" w:hAnsi="Arial" w:hint="default"/>
      </w:rPr>
    </w:lvl>
    <w:lvl w:ilvl="2" w:tplc="D3285316">
      <w:start w:val="1"/>
      <w:numFmt w:val="bullet"/>
      <w:lvlText w:val="•"/>
      <w:lvlJc w:val="left"/>
      <w:pPr>
        <w:tabs>
          <w:tab w:val="num" w:pos="2160"/>
        </w:tabs>
        <w:ind w:left="2160" w:hanging="360"/>
      </w:pPr>
      <w:rPr>
        <w:rFonts w:ascii="Arial" w:hAnsi="Arial" w:hint="default"/>
      </w:rPr>
    </w:lvl>
    <w:lvl w:ilvl="3" w:tplc="F15607B8">
      <w:numFmt w:val="bullet"/>
      <w:lvlText w:val="–"/>
      <w:lvlJc w:val="left"/>
      <w:pPr>
        <w:tabs>
          <w:tab w:val="num" w:pos="2880"/>
        </w:tabs>
        <w:ind w:left="2880" w:hanging="360"/>
      </w:pPr>
      <w:rPr>
        <w:rFonts w:ascii="Arial" w:hAnsi="Arial" w:hint="default"/>
      </w:rPr>
    </w:lvl>
    <w:lvl w:ilvl="4" w:tplc="7BBA310A" w:tentative="1">
      <w:start w:val="1"/>
      <w:numFmt w:val="bullet"/>
      <w:lvlText w:val="•"/>
      <w:lvlJc w:val="left"/>
      <w:pPr>
        <w:tabs>
          <w:tab w:val="num" w:pos="3600"/>
        </w:tabs>
        <w:ind w:left="3600" w:hanging="360"/>
      </w:pPr>
      <w:rPr>
        <w:rFonts w:ascii="Arial" w:hAnsi="Arial" w:hint="default"/>
      </w:rPr>
    </w:lvl>
    <w:lvl w:ilvl="5" w:tplc="A1F25744" w:tentative="1">
      <w:start w:val="1"/>
      <w:numFmt w:val="bullet"/>
      <w:lvlText w:val="•"/>
      <w:lvlJc w:val="left"/>
      <w:pPr>
        <w:tabs>
          <w:tab w:val="num" w:pos="4320"/>
        </w:tabs>
        <w:ind w:left="4320" w:hanging="360"/>
      </w:pPr>
      <w:rPr>
        <w:rFonts w:ascii="Arial" w:hAnsi="Arial" w:hint="default"/>
      </w:rPr>
    </w:lvl>
    <w:lvl w:ilvl="6" w:tplc="42BC70B8" w:tentative="1">
      <w:start w:val="1"/>
      <w:numFmt w:val="bullet"/>
      <w:lvlText w:val="•"/>
      <w:lvlJc w:val="left"/>
      <w:pPr>
        <w:tabs>
          <w:tab w:val="num" w:pos="5040"/>
        </w:tabs>
        <w:ind w:left="5040" w:hanging="360"/>
      </w:pPr>
      <w:rPr>
        <w:rFonts w:ascii="Arial" w:hAnsi="Arial" w:hint="default"/>
      </w:rPr>
    </w:lvl>
    <w:lvl w:ilvl="7" w:tplc="BEA65E12" w:tentative="1">
      <w:start w:val="1"/>
      <w:numFmt w:val="bullet"/>
      <w:lvlText w:val="•"/>
      <w:lvlJc w:val="left"/>
      <w:pPr>
        <w:tabs>
          <w:tab w:val="num" w:pos="5760"/>
        </w:tabs>
        <w:ind w:left="5760" w:hanging="360"/>
      </w:pPr>
      <w:rPr>
        <w:rFonts w:ascii="Arial" w:hAnsi="Arial" w:hint="default"/>
      </w:rPr>
    </w:lvl>
    <w:lvl w:ilvl="8" w:tplc="5F9C4D9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7CB4501"/>
    <w:multiLevelType w:val="hybridMultilevel"/>
    <w:tmpl w:val="163A0912"/>
    <w:lvl w:ilvl="0" w:tplc="3F88D1B8">
      <w:start w:val="1"/>
      <w:numFmt w:val="bullet"/>
      <w:lvlText w:val=""/>
      <w:lvlJc w:val="left"/>
      <w:pPr>
        <w:tabs>
          <w:tab w:val="num" w:pos="720"/>
        </w:tabs>
        <w:ind w:left="720" w:hanging="360"/>
      </w:pPr>
      <w:rPr>
        <w:rFonts w:ascii="Wingdings" w:hAnsi="Wingdings" w:hint="default"/>
      </w:rPr>
    </w:lvl>
    <w:lvl w:ilvl="1" w:tplc="0BFE9358" w:tentative="1">
      <w:start w:val="1"/>
      <w:numFmt w:val="bullet"/>
      <w:lvlText w:val=""/>
      <w:lvlJc w:val="left"/>
      <w:pPr>
        <w:tabs>
          <w:tab w:val="num" w:pos="1440"/>
        </w:tabs>
        <w:ind w:left="1440" w:hanging="360"/>
      </w:pPr>
      <w:rPr>
        <w:rFonts w:ascii="Wingdings" w:hAnsi="Wingdings" w:hint="default"/>
      </w:rPr>
    </w:lvl>
    <w:lvl w:ilvl="2" w:tplc="3FDEA854" w:tentative="1">
      <w:start w:val="1"/>
      <w:numFmt w:val="bullet"/>
      <w:lvlText w:val=""/>
      <w:lvlJc w:val="left"/>
      <w:pPr>
        <w:tabs>
          <w:tab w:val="num" w:pos="2160"/>
        </w:tabs>
        <w:ind w:left="2160" w:hanging="360"/>
      </w:pPr>
      <w:rPr>
        <w:rFonts w:ascii="Wingdings" w:hAnsi="Wingdings" w:hint="default"/>
      </w:rPr>
    </w:lvl>
    <w:lvl w:ilvl="3" w:tplc="07406B56" w:tentative="1">
      <w:start w:val="1"/>
      <w:numFmt w:val="bullet"/>
      <w:lvlText w:val=""/>
      <w:lvlJc w:val="left"/>
      <w:pPr>
        <w:tabs>
          <w:tab w:val="num" w:pos="2880"/>
        </w:tabs>
        <w:ind w:left="2880" w:hanging="360"/>
      </w:pPr>
      <w:rPr>
        <w:rFonts w:ascii="Wingdings" w:hAnsi="Wingdings" w:hint="default"/>
      </w:rPr>
    </w:lvl>
    <w:lvl w:ilvl="4" w:tplc="59022FA4" w:tentative="1">
      <w:start w:val="1"/>
      <w:numFmt w:val="bullet"/>
      <w:lvlText w:val=""/>
      <w:lvlJc w:val="left"/>
      <w:pPr>
        <w:tabs>
          <w:tab w:val="num" w:pos="3600"/>
        </w:tabs>
        <w:ind w:left="3600" w:hanging="360"/>
      </w:pPr>
      <w:rPr>
        <w:rFonts w:ascii="Wingdings" w:hAnsi="Wingdings" w:hint="default"/>
      </w:rPr>
    </w:lvl>
    <w:lvl w:ilvl="5" w:tplc="21866E46" w:tentative="1">
      <w:start w:val="1"/>
      <w:numFmt w:val="bullet"/>
      <w:lvlText w:val=""/>
      <w:lvlJc w:val="left"/>
      <w:pPr>
        <w:tabs>
          <w:tab w:val="num" w:pos="4320"/>
        </w:tabs>
        <w:ind w:left="4320" w:hanging="360"/>
      </w:pPr>
      <w:rPr>
        <w:rFonts w:ascii="Wingdings" w:hAnsi="Wingdings" w:hint="default"/>
      </w:rPr>
    </w:lvl>
    <w:lvl w:ilvl="6" w:tplc="F8404454" w:tentative="1">
      <w:start w:val="1"/>
      <w:numFmt w:val="bullet"/>
      <w:lvlText w:val=""/>
      <w:lvlJc w:val="left"/>
      <w:pPr>
        <w:tabs>
          <w:tab w:val="num" w:pos="5040"/>
        </w:tabs>
        <w:ind w:left="5040" w:hanging="360"/>
      </w:pPr>
      <w:rPr>
        <w:rFonts w:ascii="Wingdings" w:hAnsi="Wingdings" w:hint="default"/>
      </w:rPr>
    </w:lvl>
    <w:lvl w:ilvl="7" w:tplc="C1A0B4DC" w:tentative="1">
      <w:start w:val="1"/>
      <w:numFmt w:val="bullet"/>
      <w:lvlText w:val=""/>
      <w:lvlJc w:val="left"/>
      <w:pPr>
        <w:tabs>
          <w:tab w:val="num" w:pos="5760"/>
        </w:tabs>
        <w:ind w:left="5760" w:hanging="360"/>
      </w:pPr>
      <w:rPr>
        <w:rFonts w:ascii="Wingdings" w:hAnsi="Wingdings" w:hint="default"/>
      </w:rPr>
    </w:lvl>
    <w:lvl w:ilvl="8" w:tplc="F3CA45B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F34077"/>
    <w:multiLevelType w:val="hybridMultilevel"/>
    <w:tmpl w:val="1AE04FBE"/>
    <w:lvl w:ilvl="0" w:tplc="C89ECC5A">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3503E"/>
    <w:multiLevelType w:val="hybridMultilevel"/>
    <w:tmpl w:val="356A72F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34816D47"/>
    <w:multiLevelType w:val="hybridMultilevel"/>
    <w:tmpl w:val="2C226186"/>
    <w:lvl w:ilvl="0" w:tplc="C89ECC5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641651"/>
    <w:multiLevelType w:val="hybridMultilevel"/>
    <w:tmpl w:val="C3E263E6"/>
    <w:lvl w:ilvl="0" w:tplc="D4BA66C0">
      <w:start w:val="1"/>
      <w:numFmt w:val="bullet"/>
      <w:lvlText w:val=""/>
      <w:lvlJc w:val="left"/>
      <w:pPr>
        <w:tabs>
          <w:tab w:val="num" w:pos="720"/>
        </w:tabs>
        <w:ind w:left="720" w:hanging="360"/>
      </w:pPr>
      <w:rPr>
        <w:rFonts w:ascii="Wingdings" w:hAnsi="Wingdings" w:hint="default"/>
      </w:rPr>
    </w:lvl>
    <w:lvl w:ilvl="1" w:tplc="6FDCBC58" w:tentative="1">
      <w:start w:val="1"/>
      <w:numFmt w:val="bullet"/>
      <w:lvlText w:val=""/>
      <w:lvlJc w:val="left"/>
      <w:pPr>
        <w:tabs>
          <w:tab w:val="num" w:pos="1440"/>
        </w:tabs>
        <w:ind w:left="1440" w:hanging="360"/>
      </w:pPr>
      <w:rPr>
        <w:rFonts w:ascii="Wingdings" w:hAnsi="Wingdings" w:hint="default"/>
      </w:rPr>
    </w:lvl>
    <w:lvl w:ilvl="2" w:tplc="0EB48C30" w:tentative="1">
      <w:start w:val="1"/>
      <w:numFmt w:val="bullet"/>
      <w:lvlText w:val=""/>
      <w:lvlJc w:val="left"/>
      <w:pPr>
        <w:tabs>
          <w:tab w:val="num" w:pos="2160"/>
        </w:tabs>
        <w:ind w:left="2160" w:hanging="360"/>
      </w:pPr>
      <w:rPr>
        <w:rFonts w:ascii="Wingdings" w:hAnsi="Wingdings" w:hint="default"/>
      </w:rPr>
    </w:lvl>
    <w:lvl w:ilvl="3" w:tplc="88467484" w:tentative="1">
      <w:start w:val="1"/>
      <w:numFmt w:val="bullet"/>
      <w:lvlText w:val=""/>
      <w:lvlJc w:val="left"/>
      <w:pPr>
        <w:tabs>
          <w:tab w:val="num" w:pos="2880"/>
        </w:tabs>
        <w:ind w:left="2880" w:hanging="360"/>
      </w:pPr>
      <w:rPr>
        <w:rFonts w:ascii="Wingdings" w:hAnsi="Wingdings" w:hint="default"/>
      </w:rPr>
    </w:lvl>
    <w:lvl w:ilvl="4" w:tplc="72EE9D8E" w:tentative="1">
      <w:start w:val="1"/>
      <w:numFmt w:val="bullet"/>
      <w:lvlText w:val=""/>
      <w:lvlJc w:val="left"/>
      <w:pPr>
        <w:tabs>
          <w:tab w:val="num" w:pos="3600"/>
        </w:tabs>
        <w:ind w:left="3600" w:hanging="360"/>
      </w:pPr>
      <w:rPr>
        <w:rFonts w:ascii="Wingdings" w:hAnsi="Wingdings" w:hint="default"/>
      </w:rPr>
    </w:lvl>
    <w:lvl w:ilvl="5" w:tplc="BFA23CAA" w:tentative="1">
      <w:start w:val="1"/>
      <w:numFmt w:val="bullet"/>
      <w:lvlText w:val=""/>
      <w:lvlJc w:val="left"/>
      <w:pPr>
        <w:tabs>
          <w:tab w:val="num" w:pos="4320"/>
        </w:tabs>
        <w:ind w:left="4320" w:hanging="360"/>
      </w:pPr>
      <w:rPr>
        <w:rFonts w:ascii="Wingdings" w:hAnsi="Wingdings" w:hint="default"/>
      </w:rPr>
    </w:lvl>
    <w:lvl w:ilvl="6" w:tplc="C85E5E24" w:tentative="1">
      <w:start w:val="1"/>
      <w:numFmt w:val="bullet"/>
      <w:lvlText w:val=""/>
      <w:lvlJc w:val="left"/>
      <w:pPr>
        <w:tabs>
          <w:tab w:val="num" w:pos="5040"/>
        </w:tabs>
        <w:ind w:left="5040" w:hanging="360"/>
      </w:pPr>
      <w:rPr>
        <w:rFonts w:ascii="Wingdings" w:hAnsi="Wingdings" w:hint="default"/>
      </w:rPr>
    </w:lvl>
    <w:lvl w:ilvl="7" w:tplc="EC087BF2" w:tentative="1">
      <w:start w:val="1"/>
      <w:numFmt w:val="bullet"/>
      <w:lvlText w:val=""/>
      <w:lvlJc w:val="left"/>
      <w:pPr>
        <w:tabs>
          <w:tab w:val="num" w:pos="5760"/>
        </w:tabs>
        <w:ind w:left="5760" w:hanging="360"/>
      </w:pPr>
      <w:rPr>
        <w:rFonts w:ascii="Wingdings" w:hAnsi="Wingdings" w:hint="default"/>
      </w:rPr>
    </w:lvl>
    <w:lvl w:ilvl="8" w:tplc="8E7EED7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CF201C"/>
    <w:multiLevelType w:val="hybridMultilevel"/>
    <w:tmpl w:val="4148DA28"/>
    <w:lvl w:ilvl="0" w:tplc="0409000B">
      <w:start w:val="1"/>
      <w:numFmt w:val="bullet"/>
      <w:lvlText w:val=""/>
      <w:lvlJc w:val="left"/>
      <w:pPr>
        <w:ind w:left="720" w:hanging="360"/>
      </w:pPr>
      <w:rPr>
        <w:rFonts w:ascii="Wingdings" w:hAnsi="Wingdings" w:cs="Wingdings"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015E9E"/>
    <w:multiLevelType w:val="hybridMultilevel"/>
    <w:tmpl w:val="51E8A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666DDF"/>
    <w:multiLevelType w:val="hybridMultilevel"/>
    <w:tmpl w:val="BCA80E2E"/>
    <w:lvl w:ilvl="0" w:tplc="C89ECC5A">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B247C1"/>
    <w:multiLevelType w:val="hybridMultilevel"/>
    <w:tmpl w:val="7E480E86"/>
    <w:lvl w:ilvl="0" w:tplc="147E6880">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2C1857"/>
    <w:multiLevelType w:val="hybridMultilevel"/>
    <w:tmpl w:val="E814074C"/>
    <w:lvl w:ilvl="0" w:tplc="2AA09B18">
      <w:start w:val="1"/>
      <w:numFmt w:val="bullet"/>
      <w:lvlText w:val="–"/>
      <w:lvlJc w:val="left"/>
      <w:pPr>
        <w:tabs>
          <w:tab w:val="num" w:pos="720"/>
        </w:tabs>
        <w:ind w:left="720" w:hanging="360"/>
      </w:pPr>
      <w:rPr>
        <w:rFonts w:ascii="Arial" w:hAnsi="Arial" w:hint="default"/>
      </w:rPr>
    </w:lvl>
    <w:lvl w:ilvl="1" w:tplc="735CF702" w:tentative="1">
      <w:start w:val="1"/>
      <w:numFmt w:val="bullet"/>
      <w:lvlText w:val="–"/>
      <w:lvlJc w:val="left"/>
      <w:pPr>
        <w:tabs>
          <w:tab w:val="num" w:pos="1440"/>
        </w:tabs>
        <w:ind w:left="1440" w:hanging="360"/>
      </w:pPr>
      <w:rPr>
        <w:rFonts w:ascii="Arial" w:hAnsi="Arial" w:hint="default"/>
      </w:rPr>
    </w:lvl>
    <w:lvl w:ilvl="2" w:tplc="A558ADEE" w:tentative="1">
      <w:start w:val="1"/>
      <w:numFmt w:val="bullet"/>
      <w:lvlText w:val="–"/>
      <w:lvlJc w:val="left"/>
      <w:pPr>
        <w:tabs>
          <w:tab w:val="num" w:pos="2160"/>
        </w:tabs>
        <w:ind w:left="2160" w:hanging="360"/>
      </w:pPr>
      <w:rPr>
        <w:rFonts w:ascii="Arial" w:hAnsi="Arial" w:hint="default"/>
      </w:rPr>
    </w:lvl>
    <w:lvl w:ilvl="3" w:tplc="F0E2CAA2">
      <w:start w:val="1"/>
      <w:numFmt w:val="bullet"/>
      <w:lvlText w:val="–"/>
      <w:lvlJc w:val="left"/>
      <w:pPr>
        <w:tabs>
          <w:tab w:val="num" w:pos="2880"/>
        </w:tabs>
        <w:ind w:left="2880" w:hanging="360"/>
      </w:pPr>
      <w:rPr>
        <w:rFonts w:ascii="Arial" w:hAnsi="Arial" w:hint="default"/>
      </w:rPr>
    </w:lvl>
    <w:lvl w:ilvl="4" w:tplc="4D7E44AA" w:tentative="1">
      <w:start w:val="1"/>
      <w:numFmt w:val="bullet"/>
      <w:lvlText w:val="–"/>
      <w:lvlJc w:val="left"/>
      <w:pPr>
        <w:tabs>
          <w:tab w:val="num" w:pos="3600"/>
        </w:tabs>
        <w:ind w:left="3600" w:hanging="360"/>
      </w:pPr>
      <w:rPr>
        <w:rFonts w:ascii="Arial" w:hAnsi="Arial" w:hint="default"/>
      </w:rPr>
    </w:lvl>
    <w:lvl w:ilvl="5" w:tplc="9120EFAA" w:tentative="1">
      <w:start w:val="1"/>
      <w:numFmt w:val="bullet"/>
      <w:lvlText w:val="–"/>
      <w:lvlJc w:val="left"/>
      <w:pPr>
        <w:tabs>
          <w:tab w:val="num" w:pos="4320"/>
        </w:tabs>
        <w:ind w:left="4320" w:hanging="360"/>
      </w:pPr>
      <w:rPr>
        <w:rFonts w:ascii="Arial" w:hAnsi="Arial" w:hint="default"/>
      </w:rPr>
    </w:lvl>
    <w:lvl w:ilvl="6" w:tplc="07F8264C" w:tentative="1">
      <w:start w:val="1"/>
      <w:numFmt w:val="bullet"/>
      <w:lvlText w:val="–"/>
      <w:lvlJc w:val="left"/>
      <w:pPr>
        <w:tabs>
          <w:tab w:val="num" w:pos="5040"/>
        </w:tabs>
        <w:ind w:left="5040" w:hanging="360"/>
      </w:pPr>
      <w:rPr>
        <w:rFonts w:ascii="Arial" w:hAnsi="Arial" w:hint="default"/>
      </w:rPr>
    </w:lvl>
    <w:lvl w:ilvl="7" w:tplc="90045D0C" w:tentative="1">
      <w:start w:val="1"/>
      <w:numFmt w:val="bullet"/>
      <w:lvlText w:val="–"/>
      <w:lvlJc w:val="left"/>
      <w:pPr>
        <w:tabs>
          <w:tab w:val="num" w:pos="5760"/>
        </w:tabs>
        <w:ind w:left="5760" w:hanging="360"/>
      </w:pPr>
      <w:rPr>
        <w:rFonts w:ascii="Arial" w:hAnsi="Arial" w:hint="default"/>
      </w:rPr>
    </w:lvl>
    <w:lvl w:ilvl="8" w:tplc="00C2509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CF936B5"/>
    <w:multiLevelType w:val="hybridMultilevel"/>
    <w:tmpl w:val="F03CF856"/>
    <w:lvl w:ilvl="0" w:tplc="C89ECC5A">
      <w:start w:val="5"/>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F4C6F8B"/>
    <w:multiLevelType w:val="hybridMultilevel"/>
    <w:tmpl w:val="D4AC5558"/>
    <w:lvl w:ilvl="0" w:tplc="87C62D04">
      <w:start w:val="1"/>
      <w:numFmt w:val="bullet"/>
      <w:lvlText w:val="–"/>
      <w:lvlJc w:val="left"/>
      <w:pPr>
        <w:tabs>
          <w:tab w:val="num" w:pos="720"/>
        </w:tabs>
        <w:ind w:left="720" w:hanging="360"/>
      </w:pPr>
      <w:rPr>
        <w:rFonts w:ascii="Arial" w:hAnsi="Arial" w:hint="default"/>
      </w:rPr>
    </w:lvl>
    <w:lvl w:ilvl="1" w:tplc="7D58F98C" w:tentative="1">
      <w:start w:val="1"/>
      <w:numFmt w:val="bullet"/>
      <w:lvlText w:val="–"/>
      <w:lvlJc w:val="left"/>
      <w:pPr>
        <w:tabs>
          <w:tab w:val="num" w:pos="1440"/>
        </w:tabs>
        <w:ind w:left="1440" w:hanging="360"/>
      </w:pPr>
      <w:rPr>
        <w:rFonts w:ascii="Arial" w:hAnsi="Arial" w:hint="default"/>
      </w:rPr>
    </w:lvl>
    <w:lvl w:ilvl="2" w:tplc="3070A92E" w:tentative="1">
      <w:start w:val="1"/>
      <w:numFmt w:val="bullet"/>
      <w:lvlText w:val="–"/>
      <w:lvlJc w:val="left"/>
      <w:pPr>
        <w:tabs>
          <w:tab w:val="num" w:pos="2160"/>
        </w:tabs>
        <w:ind w:left="2160" w:hanging="360"/>
      </w:pPr>
      <w:rPr>
        <w:rFonts w:ascii="Arial" w:hAnsi="Arial" w:hint="default"/>
      </w:rPr>
    </w:lvl>
    <w:lvl w:ilvl="3" w:tplc="D8A26A00">
      <w:start w:val="1"/>
      <w:numFmt w:val="bullet"/>
      <w:lvlText w:val="–"/>
      <w:lvlJc w:val="left"/>
      <w:pPr>
        <w:tabs>
          <w:tab w:val="num" w:pos="2880"/>
        </w:tabs>
        <w:ind w:left="2880" w:hanging="360"/>
      </w:pPr>
      <w:rPr>
        <w:rFonts w:ascii="Arial" w:hAnsi="Arial" w:hint="default"/>
      </w:rPr>
    </w:lvl>
    <w:lvl w:ilvl="4" w:tplc="F2B6C0F4" w:tentative="1">
      <w:start w:val="1"/>
      <w:numFmt w:val="bullet"/>
      <w:lvlText w:val="–"/>
      <w:lvlJc w:val="left"/>
      <w:pPr>
        <w:tabs>
          <w:tab w:val="num" w:pos="3600"/>
        </w:tabs>
        <w:ind w:left="3600" w:hanging="360"/>
      </w:pPr>
      <w:rPr>
        <w:rFonts w:ascii="Arial" w:hAnsi="Arial" w:hint="default"/>
      </w:rPr>
    </w:lvl>
    <w:lvl w:ilvl="5" w:tplc="F2820332" w:tentative="1">
      <w:start w:val="1"/>
      <w:numFmt w:val="bullet"/>
      <w:lvlText w:val="–"/>
      <w:lvlJc w:val="left"/>
      <w:pPr>
        <w:tabs>
          <w:tab w:val="num" w:pos="4320"/>
        </w:tabs>
        <w:ind w:left="4320" w:hanging="360"/>
      </w:pPr>
      <w:rPr>
        <w:rFonts w:ascii="Arial" w:hAnsi="Arial" w:hint="default"/>
      </w:rPr>
    </w:lvl>
    <w:lvl w:ilvl="6" w:tplc="1012E55A" w:tentative="1">
      <w:start w:val="1"/>
      <w:numFmt w:val="bullet"/>
      <w:lvlText w:val="–"/>
      <w:lvlJc w:val="left"/>
      <w:pPr>
        <w:tabs>
          <w:tab w:val="num" w:pos="5040"/>
        </w:tabs>
        <w:ind w:left="5040" w:hanging="360"/>
      </w:pPr>
      <w:rPr>
        <w:rFonts w:ascii="Arial" w:hAnsi="Arial" w:hint="default"/>
      </w:rPr>
    </w:lvl>
    <w:lvl w:ilvl="7" w:tplc="44F01902" w:tentative="1">
      <w:start w:val="1"/>
      <w:numFmt w:val="bullet"/>
      <w:lvlText w:val="–"/>
      <w:lvlJc w:val="left"/>
      <w:pPr>
        <w:tabs>
          <w:tab w:val="num" w:pos="5760"/>
        </w:tabs>
        <w:ind w:left="5760" w:hanging="360"/>
      </w:pPr>
      <w:rPr>
        <w:rFonts w:ascii="Arial" w:hAnsi="Arial" w:hint="default"/>
      </w:rPr>
    </w:lvl>
    <w:lvl w:ilvl="8" w:tplc="DC9AAA6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58B43B9"/>
    <w:multiLevelType w:val="hybridMultilevel"/>
    <w:tmpl w:val="41886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6467A9"/>
    <w:multiLevelType w:val="hybridMultilevel"/>
    <w:tmpl w:val="56FA2BD4"/>
    <w:lvl w:ilvl="0" w:tplc="42D09B1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536FB7"/>
    <w:multiLevelType w:val="hybridMultilevel"/>
    <w:tmpl w:val="D164A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EE056A"/>
    <w:multiLevelType w:val="hybridMultilevel"/>
    <w:tmpl w:val="E51E3E12"/>
    <w:lvl w:ilvl="0" w:tplc="C89ECC5A">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5B4A49"/>
    <w:multiLevelType w:val="hybridMultilevel"/>
    <w:tmpl w:val="51FA4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4032055">
    <w:abstractNumId w:val="8"/>
  </w:num>
  <w:num w:numId="2" w16cid:durableId="308629874">
    <w:abstractNumId w:val="1"/>
  </w:num>
  <w:num w:numId="3" w16cid:durableId="1525825158">
    <w:abstractNumId w:val="11"/>
  </w:num>
  <w:num w:numId="4" w16cid:durableId="1345665739">
    <w:abstractNumId w:val="19"/>
  </w:num>
  <w:num w:numId="5" w16cid:durableId="40060694">
    <w:abstractNumId w:val="14"/>
  </w:num>
  <w:num w:numId="6" w16cid:durableId="142698207">
    <w:abstractNumId w:val="2"/>
  </w:num>
  <w:num w:numId="7" w16cid:durableId="2015524258">
    <w:abstractNumId w:val="5"/>
  </w:num>
  <w:num w:numId="8" w16cid:durableId="1583831611">
    <w:abstractNumId w:val="17"/>
  </w:num>
  <w:num w:numId="9" w16cid:durableId="1529219118">
    <w:abstractNumId w:val="15"/>
  </w:num>
  <w:num w:numId="10" w16cid:durableId="32660918">
    <w:abstractNumId w:val="18"/>
  </w:num>
  <w:num w:numId="11" w16cid:durableId="2103719048">
    <w:abstractNumId w:val="12"/>
  </w:num>
  <w:num w:numId="12" w16cid:durableId="672221906">
    <w:abstractNumId w:val="21"/>
  </w:num>
  <w:num w:numId="13" w16cid:durableId="323121970">
    <w:abstractNumId w:val="0"/>
  </w:num>
  <w:num w:numId="14" w16cid:durableId="400639401">
    <w:abstractNumId w:val="7"/>
  </w:num>
  <w:num w:numId="15" w16cid:durableId="1853253814">
    <w:abstractNumId w:val="6"/>
  </w:num>
  <w:num w:numId="16" w16cid:durableId="1089618539">
    <w:abstractNumId w:val="10"/>
  </w:num>
  <w:num w:numId="17" w16cid:durableId="523901955">
    <w:abstractNumId w:val="20"/>
  </w:num>
  <w:num w:numId="18" w16cid:durableId="586617971">
    <w:abstractNumId w:val="22"/>
  </w:num>
  <w:num w:numId="19" w16cid:durableId="539166559">
    <w:abstractNumId w:val="4"/>
  </w:num>
  <w:num w:numId="20" w16cid:durableId="1060443126">
    <w:abstractNumId w:val="13"/>
  </w:num>
  <w:num w:numId="21" w16cid:durableId="2083018290">
    <w:abstractNumId w:val="3"/>
  </w:num>
  <w:num w:numId="22" w16cid:durableId="86385282">
    <w:abstractNumId w:val="9"/>
  </w:num>
  <w:num w:numId="23" w16cid:durableId="3389661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AAA"/>
    <w:rsid w:val="00000FCA"/>
    <w:rsid w:val="000018B2"/>
    <w:rsid w:val="00001D3C"/>
    <w:rsid w:val="00003926"/>
    <w:rsid w:val="0000394B"/>
    <w:rsid w:val="00003B97"/>
    <w:rsid w:val="0000434B"/>
    <w:rsid w:val="000054E1"/>
    <w:rsid w:val="000056A8"/>
    <w:rsid w:val="00006E6A"/>
    <w:rsid w:val="00011786"/>
    <w:rsid w:val="00011DF3"/>
    <w:rsid w:val="00012786"/>
    <w:rsid w:val="00012F45"/>
    <w:rsid w:val="000138ED"/>
    <w:rsid w:val="00013A17"/>
    <w:rsid w:val="00014988"/>
    <w:rsid w:val="00015BAB"/>
    <w:rsid w:val="00015D8A"/>
    <w:rsid w:val="0001680F"/>
    <w:rsid w:val="00016FC8"/>
    <w:rsid w:val="00017037"/>
    <w:rsid w:val="00021390"/>
    <w:rsid w:val="00021563"/>
    <w:rsid w:val="000232CC"/>
    <w:rsid w:val="000238B2"/>
    <w:rsid w:val="000244FD"/>
    <w:rsid w:val="0002486F"/>
    <w:rsid w:val="00024C32"/>
    <w:rsid w:val="00025EE6"/>
    <w:rsid w:val="00026C38"/>
    <w:rsid w:val="00026EBA"/>
    <w:rsid w:val="000271E1"/>
    <w:rsid w:val="000304D3"/>
    <w:rsid w:val="000316AC"/>
    <w:rsid w:val="0003268C"/>
    <w:rsid w:val="00033E17"/>
    <w:rsid w:val="00033FB4"/>
    <w:rsid w:val="00033FF7"/>
    <w:rsid w:val="000362F0"/>
    <w:rsid w:val="0003633B"/>
    <w:rsid w:val="00040306"/>
    <w:rsid w:val="00040D92"/>
    <w:rsid w:val="0004184D"/>
    <w:rsid w:val="00041B60"/>
    <w:rsid w:val="0004250E"/>
    <w:rsid w:val="000431EA"/>
    <w:rsid w:val="00043BFF"/>
    <w:rsid w:val="00043F21"/>
    <w:rsid w:val="000455DB"/>
    <w:rsid w:val="00045DB8"/>
    <w:rsid w:val="00045F7A"/>
    <w:rsid w:val="00045F9E"/>
    <w:rsid w:val="00046016"/>
    <w:rsid w:val="00046AAA"/>
    <w:rsid w:val="000500D4"/>
    <w:rsid w:val="00050333"/>
    <w:rsid w:val="00050990"/>
    <w:rsid w:val="00050B7D"/>
    <w:rsid w:val="000515B0"/>
    <w:rsid w:val="00051B33"/>
    <w:rsid w:val="00051E48"/>
    <w:rsid w:val="00053CD7"/>
    <w:rsid w:val="00054AEF"/>
    <w:rsid w:val="0005524C"/>
    <w:rsid w:val="000552D9"/>
    <w:rsid w:val="0005547B"/>
    <w:rsid w:val="00055E6C"/>
    <w:rsid w:val="00056033"/>
    <w:rsid w:val="000561DE"/>
    <w:rsid w:val="000572D5"/>
    <w:rsid w:val="000578BD"/>
    <w:rsid w:val="00061C2B"/>
    <w:rsid w:val="00062D49"/>
    <w:rsid w:val="000633EF"/>
    <w:rsid w:val="000637A2"/>
    <w:rsid w:val="00063910"/>
    <w:rsid w:val="00064E0F"/>
    <w:rsid w:val="00066D20"/>
    <w:rsid w:val="00067DC5"/>
    <w:rsid w:val="0007052E"/>
    <w:rsid w:val="00070AA4"/>
    <w:rsid w:val="000716CF"/>
    <w:rsid w:val="0007184A"/>
    <w:rsid w:val="000718B1"/>
    <w:rsid w:val="0007251B"/>
    <w:rsid w:val="00072690"/>
    <w:rsid w:val="00072A38"/>
    <w:rsid w:val="0007438F"/>
    <w:rsid w:val="00074BE7"/>
    <w:rsid w:val="00075162"/>
    <w:rsid w:val="00075702"/>
    <w:rsid w:val="00075C96"/>
    <w:rsid w:val="0007645E"/>
    <w:rsid w:val="0007732B"/>
    <w:rsid w:val="000777F4"/>
    <w:rsid w:val="000778C1"/>
    <w:rsid w:val="0008149F"/>
    <w:rsid w:val="00084784"/>
    <w:rsid w:val="0008488D"/>
    <w:rsid w:val="00084AE1"/>
    <w:rsid w:val="000869E8"/>
    <w:rsid w:val="00086BDD"/>
    <w:rsid w:val="00086E5F"/>
    <w:rsid w:val="000901CD"/>
    <w:rsid w:val="00091D26"/>
    <w:rsid w:val="000923C8"/>
    <w:rsid w:val="000937CD"/>
    <w:rsid w:val="00096BAF"/>
    <w:rsid w:val="00096C94"/>
    <w:rsid w:val="00097824"/>
    <w:rsid w:val="000A0232"/>
    <w:rsid w:val="000A0616"/>
    <w:rsid w:val="000A074B"/>
    <w:rsid w:val="000A1104"/>
    <w:rsid w:val="000A2DB8"/>
    <w:rsid w:val="000A43E2"/>
    <w:rsid w:val="000A46CB"/>
    <w:rsid w:val="000A5C8A"/>
    <w:rsid w:val="000A5CAC"/>
    <w:rsid w:val="000A5FF2"/>
    <w:rsid w:val="000A6661"/>
    <w:rsid w:val="000A79F2"/>
    <w:rsid w:val="000A7A46"/>
    <w:rsid w:val="000A7CF0"/>
    <w:rsid w:val="000B09CB"/>
    <w:rsid w:val="000B0AC8"/>
    <w:rsid w:val="000B175C"/>
    <w:rsid w:val="000B1A7F"/>
    <w:rsid w:val="000B25DA"/>
    <w:rsid w:val="000B2B28"/>
    <w:rsid w:val="000B3861"/>
    <w:rsid w:val="000B5346"/>
    <w:rsid w:val="000B6CF4"/>
    <w:rsid w:val="000C0331"/>
    <w:rsid w:val="000C1B99"/>
    <w:rsid w:val="000C1DBF"/>
    <w:rsid w:val="000C2371"/>
    <w:rsid w:val="000C2821"/>
    <w:rsid w:val="000C2A8D"/>
    <w:rsid w:val="000C3AE2"/>
    <w:rsid w:val="000C43E6"/>
    <w:rsid w:val="000C4597"/>
    <w:rsid w:val="000C538E"/>
    <w:rsid w:val="000C566D"/>
    <w:rsid w:val="000C6049"/>
    <w:rsid w:val="000C66BB"/>
    <w:rsid w:val="000C6B5E"/>
    <w:rsid w:val="000C7146"/>
    <w:rsid w:val="000C7922"/>
    <w:rsid w:val="000C7D22"/>
    <w:rsid w:val="000C7F37"/>
    <w:rsid w:val="000D06DC"/>
    <w:rsid w:val="000D1964"/>
    <w:rsid w:val="000D1BBA"/>
    <w:rsid w:val="000D25CB"/>
    <w:rsid w:val="000D25D6"/>
    <w:rsid w:val="000D2DDF"/>
    <w:rsid w:val="000D2FFC"/>
    <w:rsid w:val="000D3CDB"/>
    <w:rsid w:val="000D46FE"/>
    <w:rsid w:val="000D5D30"/>
    <w:rsid w:val="000D6497"/>
    <w:rsid w:val="000D6779"/>
    <w:rsid w:val="000D7504"/>
    <w:rsid w:val="000D78B9"/>
    <w:rsid w:val="000D7E32"/>
    <w:rsid w:val="000E001B"/>
    <w:rsid w:val="000E067D"/>
    <w:rsid w:val="000E0698"/>
    <w:rsid w:val="000E15F7"/>
    <w:rsid w:val="000E1978"/>
    <w:rsid w:val="000E1C23"/>
    <w:rsid w:val="000E1E3D"/>
    <w:rsid w:val="000E2324"/>
    <w:rsid w:val="000E27F2"/>
    <w:rsid w:val="000E2CCE"/>
    <w:rsid w:val="000E3025"/>
    <w:rsid w:val="000E32FF"/>
    <w:rsid w:val="000E5511"/>
    <w:rsid w:val="000E5B72"/>
    <w:rsid w:val="000E7281"/>
    <w:rsid w:val="000E74B0"/>
    <w:rsid w:val="000F00B7"/>
    <w:rsid w:val="000F0475"/>
    <w:rsid w:val="000F0CA0"/>
    <w:rsid w:val="000F0DC2"/>
    <w:rsid w:val="000F159A"/>
    <w:rsid w:val="000F18E3"/>
    <w:rsid w:val="000F1925"/>
    <w:rsid w:val="000F1A8F"/>
    <w:rsid w:val="000F20AF"/>
    <w:rsid w:val="000F2C57"/>
    <w:rsid w:val="000F4710"/>
    <w:rsid w:val="000F477C"/>
    <w:rsid w:val="000F50EE"/>
    <w:rsid w:val="000F5808"/>
    <w:rsid w:val="000F6F78"/>
    <w:rsid w:val="000F7098"/>
    <w:rsid w:val="000F7BE0"/>
    <w:rsid w:val="001001F4"/>
    <w:rsid w:val="00100A45"/>
    <w:rsid w:val="00106D0A"/>
    <w:rsid w:val="001075F0"/>
    <w:rsid w:val="00107BCE"/>
    <w:rsid w:val="00110C16"/>
    <w:rsid w:val="00112601"/>
    <w:rsid w:val="00112F6E"/>
    <w:rsid w:val="001139C5"/>
    <w:rsid w:val="001148F7"/>
    <w:rsid w:val="001176D0"/>
    <w:rsid w:val="00117E21"/>
    <w:rsid w:val="00123868"/>
    <w:rsid w:val="001260CE"/>
    <w:rsid w:val="001272E6"/>
    <w:rsid w:val="00127E0D"/>
    <w:rsid w:val="00131ADA"/>
    <w:rsid w:val="00131CFD"/>
    <w:rsid w:val="00132322"/>
    <w:rsid w:val="00133519"/>
    <w:rsid w:val="00134363"/>
    <w:rsid w:val="00134A05"/>
    <w:rsid w:val="00135516"/>
    <w:rsid w:val="00135844"/>
    <w:rsid w:val="001369E3"/>
    <w:rsid w:val="00136F34"/>
    <w:rsid w:val="001371AF"/>
    <w:rsid w:val="001401EE"/>
    <w:rsid w:val="001416C7"/>
    <w:rsid w:val="00141A2D"/>
    <w:rsid w:val="00141AB2"/>
    <w:rsid w:val="00142152"/>
    <w:rsid w:val="00142DAE"/>
    <w:rsid w:val="00143B0B"/>
    <w:rsid w:val="00144914"/>
    <w:rsid w:val="001452F7"/>
    <w:rsid w:val="00145C89"/>
    <w:rsid w:val="00146E68"/>
    <w:rsid w:val="00150AC9"/>
    <w:rsid w:val="001525CE"/>
    <w:rsid w:val="00152BD2"/>
    <w:rsid w:val="001546BC"/>
    <w:rsid w:val="00155953"/>
    <w:rsid w:val="00155C01"/>
    <w:rsid w:val="00157B02"/>
    <w:rsid w:val="00157D8D"/>
    <w:rsid w:val="001603F9"/>
    <w:rsid w:val="00160C94"/>
    <w:rsid w:val="00160DBA"/>
    <w:rsid w:val="00160FE3"/>
    <w:rsid w:val="0016124A"/>
    <w:rsid w:val="00162209"/>
    <w:rsid w:val="00162488"/>
    <w:rsid w:val="00163B59"/>
    <w:rsid w:val="00163B5B"/>
    <w:rsid w:val="00164346"/>
    <w:rsid w:val="001675BF"/>
    <w:rsid w:val="00167798"/>
    <w:rsid w:val="00170088"/>
    <w:rsid w:val="001712A9"/>
    <w:rsid w:val="00171847"/>
    <w:rsid w:val="00172066"/>
    <w:rsid w:val="00173219"/>
    <w:rsid w:val="001734D4"/>
    <w:rsid w:val="001735A0"/>
    <w:rsid w:val="00173F2F"/>
    <w:rsid w:val="0017424F"/>
    <w:rsid w:val="0017444B"/>
    <w:rsid w:val="001745AD"/>
    <w:rsid w:val="00174C70"/>
    <w:rsid w:val="0017504A"/>
    <w:rsid w:val="00176411"/>
    <w:rsid w:val="001803FA"/>
    <w:rsid w:val="0018100F"/>
    <w:rsid w:val="00181D7D"/>
    <w:rsid w:val="00181DEB"/>
    <w:rsid w:val="00182ABA"/>
    <w:rsid w:val="00182F68"/>
    <w:rsid w:val="001834F0"/>
    <w:rsid w:val="00183838"/>
    <w:rsid w:val="00183E8F"/>
    <w:rsid w:val="00184043"/>
    <w:rsid w:val="00184393"/>
    <w:rsid w:val="001850D2"/>
    <w:rsid w:val="00185DF9"/>
    <w:rsid w:val="00186175"/>
    <w:rsid w:val="0018661A"/>
    <w:rsid w:val="00186A1E"/>
    <w:rsid w:val="00186B06"/>
    <w:rsid w:val="00186C79"/>
    <w:rsid w:val="00186E51"/>
    <w:rsid w:val="00187BE0"/>
    <w:rsid w:val="00190A0F"/>
    <w:rsid w:val="0019178A"/>
    <w:rsid w:val="00191917"/>
    <w:rsid w:val="001919FF"/>
    <w:rsid w:val="00193286"/>
    <w:rsid w:val="001935E8"/>
    <w:rsid w:val="001938BE"/>
    <w:rsid w:val="00194D51"/>
    <w:rsid w:val="00195FAF"/>
    <w:rsid w:val="00196C58"/>
    <w:rsid w:val="00196ED2"/>
    <w:rsid w:val="00197844"/>
    <w:rsid w:val="00197A83"/>
    <w:rsid w:val="00197C26"/>
    <w:rsid w:val="00197C2F"/>
    <w:rsid w:val="00197ED1"/>
    <w:rsid w:val="001A072C"/>
    <w:rsid w:val="001A46F7"/>
    <w:rsid w:val="001A55F3"/>
    <w:rsid w:val="001A5E6F"/>
    <w:rsid w:val="001A6143"/>
    <w:rsid w:val="001A6385"/>
    <w:rsid w:val="001A6958"/>
    <w:rsid w:val="001A6DD4"/>
    <w:rsid w:val="001A6ECB"/>
    <w:rsid w:val="001A78A4"/>
    <w:rsid w:val="001B01DD"/>
    <w:rsid w:val="001B055A"/>
    <w:rsid w:val="001B12AD"/>
    <w:rsid w:val="001B1EF3"/>
    <w:rsid w:val="001B2828"/>
    <w:rsid w:val="001B2B81"/>
    <w:rsid w:val="001B3495"/>
    <w:rsid w:val="001B37BD"/>
    <w:rsid w:val="001B586B"/>
    <w:rsid w:val="001B5B80"/>
    <w:rsid w:val="001B682A"/>
    <w:rsid w:val="001B6BAD"/>
    <w:rsid w:val="001B77B7"/>
    <w:rsid w:val="001C139A"/>
    <w:rsid w:val="001C147F"/>
    <w:rsid w:val="001C25DB"/>
    <w:rsid w:val="001C2940"/>
    <w:rsid w:val="001C318D"/>
    <w:rsid w:val="001C4497"/>
    <w:rsid w:val="001C495F"/>
    <w:rsid w:val="001C5532"/>
    <w:rsid w:val="001C55F7"/>
    <w:rsid w:val="001C581F"/>
    <w:rsid w:val="001C67C3"/>
    <w:rsid w:val="001C787B"/>
    <w:rsid w:val="001D033E"/>
    <w:rsid w:val="001D0580"/>
    <w:rsid w:val="001D1B02"/>
    <w:rsid w:val="001D3046"/>
    <w:rsid w:val="001D333F"/>
    <w:rsid w:val="001D44DC"/>
    <w:rsid w:val="001D48D8"/>
    <w:rsid w:val="001D4F6F"/>
    <w:rsid w:val="001D51E6"/>
    <w:rsid w:val="001D54C6"/>
    <w:rsid w:val="001D559D"/>
    <w:rsid w:val="001D5E9E"/>
    <w:rsid w:val="001D6D5D"/>
    <w:rsid w:val="001D75B3"/>
    <w:rsid w:val="001E0A1F"/>
    <w:rsid w:val="001E135C"/>
    <w:rsid w:val="001E2244"/>
    <w:rsid w:val="001E27D8"/>
    <w:rsid w:val="001E2B00"/>
    <w:rsid w:val="001E35C9"/>
    <w:rsid w:val="001E4639"/>
    <w:rsid w:val="001E4945"/>
    <w:rsid w:val="001E5542"/>
    <w:rsid w:val="001E5588"/>
    <w:rsid w:val="001F0BAD"/>
    <w:rsid w:val="001F0CCE"/>
    <w:rsid w:val="001F15A2"/>
    <w:rsid w:val="001F2920"/>
    <w:rsid w:val="001F29F9"/>
    <w:rsid w:val="001F2A9A"/>
    <w:rsid w:val="001F38C9"/>
    <w:rsid w:val="001F3DE9"/>
    <w:rsid w:val="001F41A6"/>
    <w:rsid w:val="001F49AC"/>
    <w:rsid w:val="001F6446"/>
    <w:rsid w:val="001F77BE"/>
    <w:rsid w:val="001F7CB7"/>
    <w:rsid w:val="001F7E4B"/>
    <w:rsid w:val="00203858"/>
    <w:rsid w:val="00203E67"/>
    <w:rsid w:val="00204202"/>
    <w:rsid w:val="0020528F"/>
    <w:rsid w:val="00205F2B"/>
    <w:rsid w:val="00207AD1"/>
    <w:rsid w:val="00207C69"/>
    <w:rsid w:val="00210835"/>
    <w:rsid w:val="00212924"/>
    <w:rsid w:val="00212E55"/>
    <w:rsid w:val="0021477A"/>
    <w:rsid w:val="00214A1E"/>
    <w:rsid w:val="00216B39"/>
    <w:rsid w:val="0021743C"/>
    <w:rsid w:val="0022035D"/>
    <w:rsid w:val="00220769"/>
    <w:rsid w:val="002208C9"/>
    <w:rsid w:val="002209CD"/>
    <w:rsid w:val="002217B5"/>
    <w:rsid w:val="00223254"/>
    <w:rsid w:val="0022371A"/>
    <w:rsid w:val="002238F1"/>
    <w:rsid w:val="00223A08"/>
    <w:rsid w:val="00223AFD"/>
    <w:rsid w:val="00223B0C"/>
    <w:rsid w:val="0022424B"/>
    <w:rsid w:val="002242DA"/>
    <w:rsid w:val="00224366"/>
    <w:rsid w:val="00224B07"/>
    <w:rsid w:val="00224B97"/>
    <w:rsid w:val="002262AE"/>
    <w:rsid w:val="00226304"/>
    <w:rsid w:val="0022699B"/>
    <w:rsid w:val="002273EE"/>
    <w:rsid w:val="00230010"/>
    <w:rsid w:val="002304E8"/>
    <w:rsid w:val="00230620"/>
    <w:rsid w:val="002323F3"/>
    <w:rsid w:val="00233FAD"/>
    <w:rsid w:val="002342F4"/>
    <w:rsid w:val="00234386"/>
    <w:rsid w:val="002366DA"/>
    <w:rsid w:val="002368A0"/>
    <w:rsid w:val="00237839"/>
    <w:rsid w:val="002401AE"/>
    <w:rsid w:val="002401D9"/>
    <w:rsid w:val="002405F7"/>
    <w:rsid w:val="00240CC1"/>
    <w:rsid w:val="00241450"/>
    <w:rsid w:val="00242847"/>
    <w:rsid w:val="00242E6F"/>
    <w:rsid w:val="00243B73"/>
    <w:rsid w:val="00245CA4"/>
    <w:rsid w:val="002461B9"/>
    <w:rsid w:val="002478B0"/>
    <w:rsid w:val="002478CF"/>
    <w:rsid w:val="00247AC9"/>
    <w:rsid w:val="00250054"/>
    <w:rsid w:val="002501E0"/>
    <w:rsid w:val="002505E9"/>
    <w:rsid w:val="002505F3"/>
    <w:rsid w:val="002507B8"/>
    <w:rsid w:val="002508B8"/>
    <w:rsid w:val="00250C5B"/>
    <w:rsid w:val="00251D8E"/>
    <w:rsid w:val="00251F3A"/>
    <w:rsid w:val="00252838"/>
    <w:rsid w:val="00252F42"/>
    <w:rsid w:val="00254A68"/>
    <w:rsid w:val="002575E9"/>
    <w:rsid w:val="00257775"/>
    <w:rsid w:val="0025795E"/>
    <w:rsid w:val="00257CAF"/>
    <w:rsid w:val="00261423"/>
    <w:rsid w:val="002623A1"/>
    <w:rsid w:val="00262621"/>
    <w:rsid w:val="002626D3"/>
    <w:rsid w:val="00263583"/>
    <w:rsid w:val="00263A77"/>
    <w:rsid w:val="00263B8F"/>
    <w:rsid w:val="00264D56"/>
    <w:rsid w:val="00264DF7"/>
    <w:rsid w:val="0026629A"/>
    <w:rsid w:val="00266582"/>
    <w:rsid w:val="00266F11"/>
    <w:rsid w:val="0026785D"/>
    <w:rsid w:val="00275109"/>
    <w:rsid w:val="002752DF"/>
    <w:rsid w:val="00277495"/>
    <w:rsid w:val="002777EF"/>
    <w:rsid w:val="00280CB8"/>
    <w:rsid w:val="002813BC"/>
    <w:rsid w:val="00281899"/>
    <w:rsid w:val="00281C84"/>
    <w:rsid w:val="00281F7C"/>
    <w:rsid w:val="002823FA"/>
    <w:rsid w:val="00282581"/>
    <w:rsid w:val="00282598"/>
    <w:rsid w:val="00283EC4"/>
    <w:rsid w:val="00284397"/>
    <w:rsid w:val="002845BC"/>
    <w:rsid w:val="00284ED3"/>
    <w:rsid w:val="0028552E"/>
    <w:rsid w:val="00285C48"/>
    <w:rsid w:val="00285E03"/>
    <w:rsid w:val="00286988"/>
    <w:rsid w:val="002876D0"/>
    <w:rsid w:val="002878E9"/>
    <w:rsid w:val="002879B4"/>
    <w:rsid w:val="002902DA"/>
    <w:rsid w:val="00290732"/>
    <w:rsid w:val="002907CD"/>
    <w:rsid w:val="00290FD8"/>
    <w:rsid w:val="002910E4"/>
    <w:rsid w:val="002936FA"/>
    <w:rsid w:val="00294CCA"/>
    <w:rsid w:val="002A327A"/>
    <w:rsid w:val="002A443E"/>
    <w:rsid w:val="002A4744"/>
    <w:rsid w:val="002A5CE9"/>
    <w:rsid w:val="002A74BF"/>
    <w:rsid w:val="002A7C6F"/>
    <w:rsid w:val="002A7CC5"/>
    <w:rsid w:val="002B0521"/>
    <w:rsid w:val="002B05D5"/>
    <w:rsid w:val="002B173D"/>
    <w:rsid w:val="002B3551"/>
    <w:rsid w:val="002B3F3E"/>
    <w:rsid w:val="002B5BDE"/>
    <w:rsid w:val="002B6625"/>
    <w:rsid w:val="002B68BD"/>
    <w:rsid w:val="002B6DC9"/>
    <w:rsid w:val="002B6F54"/>
    <w:rsid w:val="002B7DEA"/>
    <w:rsid w:val="002C2D21"/>
    <w:rsid w:val="002C427B"/>
    <w:rsid w:val="002C49C4"/>
    <w:rsid w:val="002C58B9"/>
    <w:rsid w:val="002C76E5"/>
    <w:rsid w:val="002D0CC1"/>
    <w:rsid w:val="002D0CEE"/>
    <w:rsid w:val="002D1261"/>
    <w:rsid w:val="002D147F"/>
    <w:rsid w:val="002D223B"/>
    <w:rsid w:val="002D30F6"/>
    <w:rsid w:val="002D404A"/>
    <w:rsid w:val="002D51D5"/>
    <w:rsid w:val="002D5635"/>
    <w:rsid w:val="002D7AB1"/>
    <w:rsid w:val="002D7F54"/>
    <w:rsid w:val="002E0560"/>
    <w:rsid w:val="002E08C6"/>
    <w:rsid w:val="002E1D3B"/>
    <w:rsid w:val="002E209C"/>
    <w:rsid w:val="002E2D6D"/>
    <w:rsid w:val="002E2EC6"/>
    <w:rsid w:val="002E33AF"/>
    <w:rsid w:val="002E3F4E"/>
    <w:rsid w:val="002E43CA"/>
    <w:rsid w:val="002E4CBD"/>
    <w:rsid w:val="002E57A4"/>
    <w:rsid w:val="002E5B97"/>
    <w:rsid w:val="002E5D46"/>
    <w:rsid w:val="002E78D8"/>
    <w:rsid w:val="002F03CE"/>
    <w:rsid w:val="002F064A"/>
    <w:rsid w:val="002F448E"/>
    <w:rsid w:val="002F4E87"/>
    <w:rsid w:val="002F7238"/>
    <w:rsid w:val="002F76B4"/>
    <w:rsid w:val="00300DAE"/>
    <w:rsid w:val="00302155"/>
    <w:rsid w:val="003022D2"/>
    <w:rsid w:val="0030270A"/>
    <w:rsid w:val="00302EB8"/>
    <w:rsid w:val="00304A68"/>
    <w:rsid w:val="00304BE3"/>
    <w:rsid w:val="0030551E"/>
    <w:rsid w:val="003058B9"/>
    <w:rsid w:val="00305D24"/>
    <w:rsid w:val="003071A8"/>
    <w:rsid w:val="00307438"/>
    <w:rsid w:val="00311012"/>
    <w:rsid w:val="00311EF1"/>
    <w:rsid w:val="003122D8"/>
    <w:rsid w:val="00313C89"/>
    <w:rsid w:val="00313FAC"/>
    <w:rsid w:val="00314E4C"/>
    <w:rsid w:val="00316DF0"/>
    <w:rsid w:val="003170B3"/>
    <w:rsid w:val="003177BB"/>
    <w:rsid w:val="00317994"/>
    <w:rsid w:val="00320962"/>
    <w:rsid w:val="00320C3E"/>
    <w:rsid w:val="00320F6F"/>
    <w:rsid w:val="00321940"/>
    <w:rsid w:val="0032222D"/>
    <w:rsid w:val="003227D3"/>
    <w:rsid w:val="00322CCF"/>
    <w:rsid w:val="003235B1"/>
    <w:rsid w:val="00323B5A"/>
    <w:rsid w:val="00323BCC"/>
    <w:rsid w:val="00323D08"/>
    <w:rsid w:val="00325B75"/>
    <w:rsid w:val="00326072"/>
    <w:rsid w:val="00326AD9"/>
    <w:rsid w:val="00327536"/>
    <w:rsid w:val="003278E3"/>
    <w:rsid w:val="00332A3C"/>
    <w:rsid w:val="0033316A"/>
    <w:rsid w:val="0033334E"/>
    <w:rsid w:val="0033351F"/>
    <w:rsid w:val="003338AD"/>
    <w:rsid w:val="00333A1C"/>
    <w:rsid w:val="00335CE4"/>
    <w:rsid w:val="00336599"/>
    <w:rsid w:val="0033691F"/>
    <w:rsid w:val="0033772E"/>
    <w:rsid w:val="00337CC2"/>
    <w:rsid w:val="00340483"/>
    <w:rsid w:val="00340DDB"/>
    <w:rsid w:val="00342741"/>
    <w:rsid w:val="00343145"/>
    <w:rsid w:val="00343E0B"/>
    <w:rsid w:val="00344BED"/>
    <w:rsid w:val="00344C49"/>
    <w:rsid w:val="0034510F"/>
    <w:rsid w:val="00345921"/>
    <w:rsid w:val="00350032"/>
    <w:rsid w:val="00350A5D"/>
    <w:rsid w:val="00351535"/>
    <w:rsid w:val="00351CDD"/>
    <w:rsid w:val="0035266D"/>
    <w:rsid w:val="00352BDA"/>
    <w:rsid w:val="00353076"/>
    <w:rsid w:val="00353D93"/>
    <w:rsid w:val="00353DD8"/>
    <w:rsid w:val="003564E6"/>
    <w:rsid w:val="003572BF"/>
    <w:rsid w:val="00357EBE"/>
    <w:rsid w:val="003610E2"/>
    <w:rsid w:val="00361946"/>
    <w:rsid w:val="00362384"/>
    <w:rsid w:val="00364305"/>
    <w:rsid w:val="003644F9"/>
    <w:rsid w:val="00365A21"/>
    <w:rsid w:val="00365D64"/>
    <w:rsid w:val="00366A1F"/>
    <w:rsid w:val="00366EBB"/>
    <w:rsid w:val="00366ED9"/>
    <w:rsid w:val="00367A88"/>
    <w:rsid w:val="00367C0E"/>
    <w:rsid w:val="0037120B"/>
    <w:rsid w:val="003712B5"/>
    <w:rsid w:val="003736B5"/>
    <w:rsid w:val="00373CA8"/>
    <w:rsid w:val="00374A2B"/>
    <w:rsid w:val="003751E6"/>
    <w:rsid w:val="00375CD4"/>
    <w:rsid w:val="00375DCE"/>
    <w:rsid w:val="00376FB9"/>
    <w:rsid w:val="00381620"/>
    <w:rsid w:val="0038192E"/>
    <w:rsid w:val="0038375A"/>
    <w:rsid w:val="003838EC"/>
    <w:rsid w:val="003839DD"/>
    <w:rsid w:val="00384173"/>
    <w:rsid w:val="003842EA"/>
    <w:rsid w:val="00384683"/>
    <w:rsid w:val="0038538B"/>
    <w:rsid w:val="00385926"/>
    <w:rsid w:val="00385957"/>
    <w:rsid w:val="00385EA6"/>
    <w:rsid w:val="00385EFE"/>
    <w:rsid w:val="003860DE"/>
    <w:rsid w:val="003863DA"/>
    <w:rsid w:val="00386616"/>
    <w:rsid w:val="00387365"/>
    <w:rsid w:val="003876B7"/>
    <w:rsid w:val="003879E3"/>
    <w:rsid w:val="003904B7"/>
    <w:rsid w:val="00390EF8"/>
    <w:rsid w:val="00391BCB"/>
    <w:rsid w:val="00394295"/>
    <w:rsid w:val="00394962"/>
    <w:rsid w:val="00394FE1"/>
    <w:rsid w:val="0039592E"/>
    <w:rsid w:val="00397D9B"/>
    <w:rsid w:val="003A0164"/>
    <w:rsid w:val="003A0685"/>
    <w:rsid w:val="003A1986"/>
    <w:rsid w:val="003A1AEF"/>
    <w:rsid w:val="003A2AC0"/>
    <w:rsid w:val="003A3710"/>
    <w:rsid w:val="003A3829"/>
    <w:rsid w:val="003A4F10"/>
    <w:rsid w:val="003A5595"/>
    <w:rsid w:val="003A5E50"/>
    <w:rsid w:val="003A6A12"/>
    <w:rsid w:val="003A6BB2"/>
    <w:rsid w:val="003A7EE7"/>
    <w:rsid w:val="003B03DA"/>
    <w:rsid w:val="003B0C8D"/>
    <w:rsid w:val="003B157D"/>
    <w:rsid w:val="003B3A6B"/>
    <w:rsid w:val="003B3D59"/>
    <w:rsid w:val="003B4712"/>
    <w:rsid w:val="003B4828"/>
    <w:rsid w:val="003B57F9"/>
    <w:rsid w:val="003B6002"/>
    <w:rsid w:val="003B6A5B"/>
    <w:rsid w:val="003B6FC7"/>
    <w:rsid w:val="003B71D0"/>
    <w:rsid w:val="003C0FB5"/>
    <w:rsid w:val="003C179E"/>
    <w:rsid w:val="003C2475"/>
    <w:rsid w:val="003C2594"/>
    <w:rsid w:val="003C4F46"/>
    <w:rsid w:val="003C5436"/>
    <w:rsid w:val="003C59AC"/>
    <w:rsid w:val="003C7CF5"/>
    <w:rsid w:val="003C7E63"/>
    <w:rsid w:val="003D1577"/>
    <w:rsid w:val="003D20C8"/>
    <w:rsid w:val="003D3012"/>
    <w:rsid w:val="003D6334"/>
    <w:rsid w:val="003D727F"/>
    <w:rsid w:val="003E04DF"/>
    <w:rsid w:val="003E1710"/>
    <w:rsid w:val="003E1D3D"/>
    <w:rsid w:val="003E30E7"/>
    <w:rsid w:val="003E473E"/>
    <w:rsid w:val="003E54EA"/>
    <w:rsid w:val="003E58ED"/>
    <w:rsid w:val="003E5DB8"/>
    <w:rsid w:val="003E7393"/>
    <w:rsid w:val="003E74BD"/>
    <w:rsid w:val="003F061D"/>
    <w:rsid w:val="003F1C5A"/>
    <w:rsid w:val="003F2C0F"/>
    <w:rsid w:val="003F2CA1"/>
    <w:rsid w:val="003F2D11"/>
    <w:rsid w:val="003F327C"/>
    <w:rsid w:val="003F33D9"/>
    <w:rsid w:val="003F3A94"/>
    <w:rsid w:val="003F452C"/>
    <w:rsid w:val="003F4D5B"/>
    <w:rsid w:val="003F5BE9"/>
    <w:rsid w:val="003F62F6"/>
    <w:rsid w:val="003F6492"/>
    <w:rsid w:val="003F66C4"/>
    <w:rsid w:val="003F6A22"/>
    <w:rsid w:val="003F718E"/>
    <w:rsid w:val="003F7D76"/>
    <w:rsid w:val="00401F49"/>
    <w:rsid w:val="00403514"/>
    <w:rsid w:val="0040386A"/>
    <w:rsid w:val="00404257"/>
    <w:rsid w:val="00404679"/>
    <w:rsid w:val="0040555D"/>
    <w:rsid w:val="00405E00"/>
    <w:rsid w:val="00405F75"/>
    <w:rsid w:val="004066E1"/>
    <w:rsid w:val="00406B0D"/>
    <w:rsid w:val="00406C91"/>
    <w:rsid w:val="00406D24"/>
    <w:rsid w:val="004072C1"/>
    <w:rsid w:val="00407805"/>
    <w:rsid w:val="004103B8"/>
    <w:rsid w:val="004104D3"/>
    <w:rsid w:val="00410DC8"/>
    <w:rsid w:val="0041105C"/>
    <w:rsid w:val="0041496C"/>
    <w:rsid w:val="00415BF0"/>
    <w:rsid w:val="004161DF"/>
    <w:rsid w:val="00416762"/>
    <w:rsid w:val="004171D0"/>
    <w:rsid w:val="004202EF"/>
    <w:rsid w:val="00420D87"/>
    <w:rsid w:val="00420FCD"/>
    <w:rsid w:val="0042133C"/>
    <w:rsid w:val="004213C0"/>
    <w:rsid w:val="00421A66"/>
    <w:rsid w:val="00421D1C"/>
    <w:rsid w:val="00422C8E"/>
    <w:rsid w:val="00423D59"/>
    <w:rsid w:val="00424172"/>
    <w:rsid w:val="00424CFD"/>
    <w:rsid w:val="00425A73"/>
    <w:rsid w:val="00430174"/>
    <w:rsid w:val="004306C1"/>
    <w:rsid w:val="004309A8"/>
    <w:rsid w:val="0043109A"/>
    <w:rsid w:val="004323B3"/>
    <w:rsid w:val="004324B0"/>
    <w:rsid w:val="00432D21"/>
    <w:rsid w:val="0043328A"/>
    <w:rsid w:val="00433385"/>
    <w:rsid w:val="00433BB9"/>
    <w:rsid w:val="00433D04"/>
    <w:rsid w:val="004342A7"/>
    <w:rsid w:val="004345AD"/>
    <w:rsid w:val="004345E6"/>
    <w:rsid w:val="00434927"/>
    <w:rsid w:val="00435AC2"/>
    <w:rsid w:val="0043600B"/>
    <w:rsid w:val="00436477"/>
    <w:rsid w:val="0043678B"/>
    <w:rsid w:val="00436ED4"/>
    <w:rsid w:val="0044167E"/>
    <w:rsid w:val="00442198"/>
    <w:rsid w:val="0044225E"/>
    <w:rsid w:val="00442350"/>
    <w:rsid w:val="00442CED"/>
    <w:rsid w:val="00443397"/>
    <w:rsid w:val="004437FC"/>
    <w:rsid w:val="00445150"/>
    <w:rsid w:val="00445BEB"/>
    <w:rsid w:val="00446F53"/>
    <w:rsid w:val="00450737"/>
    <w:rsid w:val="00451355"/>
    <w:rsid w:val="004516E6"/>
    <w:rsid w:val="00451FF5"/>
    <w:rsid w:val="00453CC8"/>
    <w:rsid w:val="004540DF"/>
    <w:rsid w:val="00454264"/>
    <w:rsid w:val="004551A2"/>
    <w:rsid w:val="004554CC"/>
    <w:rsid w:val="00457AD6"/>
    <w:rsid w:val="004600C1"/>
    <w:rsid w:val="00460866"/>
    <w:rsid w:val="004609C0"/>
    <w:rsid w:val="00460D2A"/>
    <w:rsid w:val="00463038"/>
    <w:rsid w:val="004631B7"/>
    <w:rsid w:val="00463717"/>
    <w:rsid w:val="00463E22"/>
    <w:rsid w:val="00464DD7"/>
    <w:rsid w:val="00465A95"/>
    <w:rsid w:val="0047008E"/>
    <w:rsid w:val="00470F6C"/>
    <w:rsid w:val="00471A5F"/>
    <w:rsid w:val="004727B1"/>
    <w:rsid w:val="004733C2"/>
    <w:rsid w:val="00473574"/>
    <w:rsid w:val="00474A5B"/>
    <w:rsid w:val="00475B90"/>
    <w:rsid w:val="00475E1F"/>
    <w:rsid w:val="004761BF"/>
    <w:rsid w:val="00482AA9"/>
    <w:rsid w:val="00483E06"/>
    <w:rsid w:val="00483F49"/>
    <w:rsid w:val="00485202"/>
    <w:rsid w:val="00485BCD"/>
    <w:rsid w:val="004868B1"/>
    <w:rsid w:val="00486993"/>
    <w:rsid w:val="004870F4"/>
    <w:rsid w:val="004879BB"/>
    <w:rsid w:val="0049083F"/>
    <w:rsid w:val="004910D0"/>
    <w:rsid w:val="00492E19"/>
    <w:rsid w:val="00493D96"/>
    <w:rsid w:val="00493E15"/>
    <w:rsid w:val="00495550"/>
    <w:rsid w:val="004958DE"/>
    <w:rsid w:val="00495BDA"/>
    <w:rsid w:val="00496821"/>
    <w:rsid w:val="00496A3B"/>
    <w:rsid w:val="00496E78"/>
    <w:rsid w:val="00497375"/>
    <w:rsid w:val="004A0E03"/>
    <w:rsid w:val="004A1676"/>
    <w:rsid w:val="004A1892"/>
    <w:rsid w:val="004A32D6"/>
    <w:rsid w:val="004A33DE"/>
    <w:rsid w:val="004A3EE4"/>
    <w:rsid w:val="004A400D"/>
    <w:rsid w:val="004A4B88"/>
    <w:rsid w:val="004A4EA4"/>
    <w:rsid w:val="004A5AA5"/>
    <w:rsid w:val="004A6A46"/>
    <w:rsid w:val="004A6E09"/>
    <w:rsid w:val="004A71BD"/>
    <w:rsid w:val="004A74DC"/>
    <w:rsid w:val="004A772D"/>
    <w:rsid w:val="004A7C29"/>
    <w:rsid w:val="004A7FA0"/>
    <w:rsid w:val="004B081C"/>
    <w:rsid w:val="004B137B"/>
    <w:rsid w:val="004B2820"/>
    <w:rsid w:val="004B4896"/>
    <w:rsid w:val="004B5E92"/>
    <w:rsid w:val="004B6308"/>
    <w:rsid w:val="004B6BA4"/>
    <w:rsid w:val="004B7223"/>
    <w:rsid w:val="004C1D92"/>
    <w:rsid w:val="004C2698"/>
    <w:rsid w:val="004C3079"/>
    <w:rsid w:val="004C3BBF"/>
    <w:rsid w:val="004C6C25"/>
    <w:rsid w:val="004C7594"/>
    <w:rsid w:val="004D11B5"/>
    <w:rsid w:val="004D1A33"/>
    <w:rsid w:val="004D1AF4"/>
    <w:rsid w:val="004D2297"/>
    <w:rsid w:val="004D2DB5"/>
    <w:rsid w:val="004D3DC9"/>
    <w:rsid w:val="004D3E57"/>
    <w:rsid w:val="004D42C2"/>
    <w:rsid w:val="004D52CE"/>
    <w:rsid w:val="004D55AD"/>
    <w:rsid w:val="004D5DF1"/>
    <w:rsid w:val="004D641E"/>
    <w:rsid w:val="004D64C9"/>
    <w:rsid w:val="004D6949"/>
    <w:rsid w:val="004D6E6B"/>
    <w:rsid w:val="004D792A"/>
    <w:rsid w:val="004E0243"/>
    <w:rsid w:val="004E0EF9"/>
    <w:rsid w:val="004E1018"/>
    <w:rsid w:val="004E1659"/>
    <w:rsid w:val="004E213C"/>
    <w:rsid w:val="004E2D93"/>
    <w:rsid w:val="004E37E5"/>
    <w:rsid w:val="004E6A15"/>
    <w:rsid w:val="004E6A4F"/>
    <w:rsid w:val="004E6F9F"/>
    <w:rsid w:val="004E7002"/>
    <w:rsid w:val="004F0000"/>
    <w:rsid w:val="004F00C4"/>
    <w:rsid w:val="004F0D92"/>
    <w:rsid w:val="004F0DAE"/>
    <w:rsid w:val="004F0E61"/>
    <w:rsid w:val="004F2EE1"/>
    <w:rsid w:val="0050066D"/>
    <w:rsid w:val="00500BDA"/>
    <w:rsid w:val="00501F57"/>
    <w:rsid w:val="00502B3F"/>
    <w:rsid w:val="005034CB"/>
    <w:rsid w:val="00504DB4"/>
    <w:rsid w:val="0050567E"/>
    <w:rsid w:val="00506D10"/>
    <w:rsid w:val="00507F8A"/>
    <w:rsid w:val="005102E9"/>
    <w:rsid w:val="00512829"/>
    <w:rsid w:val="00514992"/>
    <w:rsid w:val="00517745"/>
    <w:rsid w:val="00520FCC"/>
    <w:rsid w:val="005210F1"/>
    <w:rsid w:val="00521584"/>
    <w:rsid w:val="0052166A"/>
    <w:rsid w:val="0052211F"/>
    <w:rsid w:val="0052235C"/>
    <w:rsid w:val="00522D51"/>
    <w:rsid w:val="00523539"/>
    <w:rsid w:val="00523D4C"/>
    <w:rsid w:val="005243FF"/>
    <w:rsid w:val="0052454C"/>
    <w:rsid w:val="00525A9A"/>
    <w:rsid w:val="00526A80"/>
    <w:rsid w:val="00526C05"/>
    <w:rsid w:val="005273EA"/>
    <w:rsid w:val="00530371"/>
    <w:rsid w:val="00531684"/>
    <w:rsid w:val="00531F08"/>
    <w:rsid w:val="00532759"/>
    <w:rsid w:val="0053378B"/>
    <w:rsid w:val="00533BEF"/>
    <w:rsid w:val="00534652"/>
    <w:rsid w:val="00534709"/>
    <w:rsid w:val="00534C87"/>
    <w:rsid w:val="00535507"/>
    <w:rsid w:val="005361A0"/>
    <w:rsid w:val="005372AF"/>
    <w:rsid w:val="005378B4"/>
    <w:rsid w:val="005405B3"/>
    <w:rsid w:val="00540927"/>
    <w:rsid w:val="00540D58"/>
    <w:rsid w:val="00542D05"/>
    <w:rsid w:val="005430AC"/>
    <w:rsid w:val="00545118"/>
    <w:rsid w:val="0054597A"/>
    <w:rsid w:val="00545AB0"/>
    <w:rsid w:val="00546FAC"/>
    <w:rsid w:val="00547537"/>
    <w:rsid w:val="0055021D"/>
    <w:rsid w:val="00551796"/>
    <w:rsid w:val="005518C0"/>
    <w:rsid w:val="00552439"/>
    <w:rsid w:val="005529F6"/>
    <w:rsid w:val="005554E8"/>
    <w:rsid w:val="00556A4A"/>
    <w:rsid w:val="00556C63"/>
    <w:rsid w:val="00556F20"/>
    <w:rsid w:val="00557274"/>
    <w:rsid w:val="00560176"/>
    <w:rsid w:val="00561DC2"/>
    <w:rsid w:val="005625BD"/>
    <w:rsid w:val="00565B27"/>
    <w:rsid w:val="00565CD0"/>
    <w:rsid w:val="00565D43"/>
    <w:rsid w:val="005679EE"/>
    <w:rsid w:val="0057113B"/>
    <w:rsid w:val="00571656"/>
    <w:rsid w:val="00571DCF"/>
    <w:rsid w:val="00572439"/>
    <w:rsid w:val="005730F9"/>
    <w:rsid w:val="0057527D"/>
    <w:rsid w:val="00576057"/>
    <w:rsid w:val="00577650"/>
    <w:rsid w:val="005856FC"/>
    <w:rsid w:val="00585922"/>
    <w:rsid w:val="00586461"/>
    <w:rsid w:val="00586A19"/>
    <w:rsid w:val="00587805"/>
    <w:rsid w:val="005908E3"/>
    <w:rsid w:val="00590C51"/>
    <w:rsid w:val="0059137A"/>
    <w:rsid w:val="005913DE"/>
    <w:rsid w:val="00591E90"/>
    <w:rsid w:val="00593556"/>
    <w:rsid w:val="00593D13"/>
    <w:rsid w:val="00594E6E"/>
    <w:rsid w:val="005970C0"/>
    <w:rsid w:val="005A1AE2"/>
    <w:rsid w:val="005A24E0"/>
    <w:rsid w:val="005A4A51"/>
    <w:rsid w:val="005A4F40"/>
    <w:rsid w:val="005A733A"/>
    <w:rsid w:val="005A74CD"/>
    <w:rsid w:val="005A7A47"/>
    <w:rsid w:val="005B0210"/>
    <w:rsid w:val="005B0260"/>
    <w:rsid w:val="005B4174"/>
    <w:rsid w:val="005B4CB5"/>
    <w:rsid w:val="005B5A62"/>
    <w:rsid w:val="005B5A81"/>
    <w:rsid w:val="005B68BF"/>
    <w:rsid w:val="005B6943"/>
    <w:rsid w:val="005B7FDB"/>
    <w:rsid w:val="005C0BFE"/>
    <w:rsid w:val="005C254C"/>
    <w:rsid w:val="005C4768"/>
    <w:rsid w:val="005C5D5F"/>
    <w:rsid w:val="005C624A"/>
    <w:rsid w:val="005C6EBC"/>
    <w:rsid w:val="005C7406"/>
    <w:rsid w:val="005C7990"/>
    <w:rsid w:val="005C7D8F"/>
    <w:rsid w:val="005D031C"/>
    <w:rsid w:val="005D0EDB"/>
    <w:rsid w:val="005D19ED"/>
    <w:rsid w:val="005D1B95"/>
    <w:rsid w:val="005D3028"/>
    <w:rsid w:val="005D5F44"/>
    <w:rsid w:val="005D6B88"/>
    <w:rsid w:val="005E0731"/>
    <w:rsid w:val="005E124C"/>
    <w:rsid w:val="005E1783"/>
    <w:rsid w:val="005E21CF"/>
    <w:rsid w:val="005E2321"/>
    <w:rsid w:val="005E2AAA"/>
    <w:rsid w:val="005E3CEB"/>
    <w:rsid w:val="005E3D66"/>
    <w:rsid w:val="005E42A5"/>
    <w:rsid w:val="005E52F0"/>
    <w:rsid w:val="005F0FED"/>
    <w:rsid w:val="005F1040"/>
    <w:rsid w:val="005F13C1"/>
    <w:rsid w:val="005F2109"/>
    <w:rsid w:val="005F3EFD"/>
    <w:rsid w:val="005F4996"/>
    <w:rsid w:val="005F4DB9"/>
    <w:rsid w:val="005F598F"/>
    <w:rsid w:val="005F5DC6"/>
    <w:rsid w:val="005F5DF8"/>
    <w:rsid w:val="005F6BBF"/>
    <w:rsid w:val="005F6CB6"/>
    <w:rsid w:val="005F73D3"/>
    <w:rsid w:val="005F7DF1"/>
    <w:rsid w:val="006021B8"/>
    <w:rsid w:val="006022C5"/>
    <w:rsid w:val="00602AA5"/>
    <w:rsid w:val="006033C3"/>
    <w:rsid w:val="00603D85"/>
    <w:rsid w:val="00606520"/>
    <w:rsid w:val="00607A31"/>
    <w:rsid w:val="00607ABE"/>
    <w:rsid w:val="00610894"/>
    <w:rsid w:val="00611EE5"/>
    <w:rsid w:val="00614256"/>
    <w:rsid w:val="00614263"/>
    <w:rsid w:val="00614828"/>
    <w:rsid w:val="00615035"/>
    <w:rsid w:val="00615AFF"/>
    <w:rsid w:val="00616827"/>
    <w:rsid w:val="00616E73"/>
    <w:rsid w:val="00620294"/>
    <w:rsid w:val="006207A7"/>
    <w:rsid w:val="006224C9"/>
    <w:rsid w:val="00622F18"/>
    <w:rsid w:val="006251A1"/>
    <w:rsid w:val="00625ECB"/>
    <w:rsid w:val="0062724E"/>
    <w:rsid w:val="0062729A"/>
    <w:rsid w:val="006278B0"/>
    <w:rsid w:val="00630109"/>
    <w:rsid w:val="0063106E"/>
    <w:rsid w:val="00631F1B"/>
    <w:rsid w:val="00632018"/>
    <w:rsid w:val="0063234F"/>
    <w:rsid w:val="00632616"/>
    <w:rsid w:val="00632735"/>
    <w:rsid w:val="0063298F"/>
    <w:rsid w:val="006342B1"/>
    <w:rsid w:val="0063454B"/>
    <w:rsid w:val="0063553B"/>
    <w:rsid w:val="006360CD"/>
    <w:rsid w:val="00636392"/>
    <w:rsid w:val="00636602"/>
    <w:rsid w:val="00637257"/>
    <w:rsid w:val="00637D69"/>
    <w:rsid w:val="00640B39"/>
    <w:rsid w:val="006429D1"/>
    <w:rsid w:val="00642F64"/>
    <w:rsid w:val="006431F6"/>
    <w:rsid w:val="00643501"/>
    <w:rsid w:val="00643E29"/>
    <w:rsid w:val="00644F68"/>
    <w:rsid w:val="00647317"/>
    <w:rsid w:val="00647FBA"/>
    <w:rsid w:val="006505EF"/>
    <w:rsid w:val="006519BB"/>
    <w:rsid w:val="00651EC0"/>
    <w:rsid w:val="00652326"/>
    <w:rsid w:val="0065242C"/>
    <w:rsid w:val="00654E84"/>
    <w:rsid w:val="006554EE"/>
    <w:rsid w:val="00655C74"/>
    <w:rsid w:val="00655E22"/>
    <w:rsid w:val="00655FE7"/>
    <w:rsid w:val="0065696A"/>
    <w:rsid w:val="006575CF"/>
    <w:rsid w:val="0065779B"/>
    <w:rsid w:val="006605A1"/>
    <w:rsid w:val="00660776"/>
    <w:rsid w:val="00661456"/>
    <w:rsid w:val="00661C6D"/>
    <w:rsid w:val="00661FC8"/>
    <w:rsid w:val="00662FCC"/>
    <w:rsid w:val="00663211"/>
    <w:rsid w:val="00663554"/>
    <w:rsid w:val="006639C4"/>
    <w:rsid w:val="0066419E"/>
    <w:rsid w:val="00665AA2"/>
    <w:rsid w:val="00665FB1"/>
    <w:rsid w:val="00666013"/>
    <w:rsid w:val="00666D18"/>
    <w:rsid w:val="00666DC2"/>
    <w:rsid w:val="00667A57"/>
    <w:rsid w:val="00670668"/>
    <w:rsid w:val="00670CF5"/>
    <w:rsid w:val="00670F75"/>
    <w:rsid w:val="00673CDE"/>
    <w:rsid w:val="006742B1"/>
    <w:rsid w:val="00674629"/>
    <w:rsid w:val="00675941"/>
    <w:rsid w:val="00675EF6"/>
    <w:rsid w:val="00675F8B"/>
    <w:rsid w:val="006763FD"/>
    <w:rsid w:val="006767A7"/>
    <w:rsid w:val="00680709"/>
    <w:rsid w:val="00681F22"/>
    <w:rsid w:val="00683416"/>
    <w:rsid w:val="00683A7F"/>
    <w:rsid w:val="0068404F"/>
    <w:rsid w:val="006845B9"/>
    <w:rsid w:val="00685BAE"/>
    <w:rsid w:val="00687582"/>
    <w:rsid w:val="006920A6"/>
    <w:rsid w:val="00692767"/>
    <w:rsid w:val="00692E60"/>
    <w:rsid w:val="00693CE2"/>
    <w:rsid w:val="00694129"/>
    <w:rsid w:val="00694213"/>
    <w:rsid w:val="006957F2"/>
    <w:rsid w:val="00695A71"/>
    <w:rsid w:val="00695E76"/>
    <w:rsid w:val="00696115"/>
    <w:rsid w:val="006966CE"/>
    <w:rsid w:val="006A00A5"/>
    <w:rsid w:val="006A0372"/>
    <w:rsid w:val="006A072E"/>
    <w:rsid w:val="006A3B54"/>
    <w:rsid w:val="006A3E32"/>
    <w:rsid w:val="006A3EF8"/>
    <w:rsid w:val="006A5040"/>
    <w:rsid w:val="006A5190"/>
    <w:rsid w:val="006A5249"/>
    <w:rsid w:val="006A53DD"/>
    <w:rsid w:val="006A5FB8"/>
    <w:rsid w:val="006A69D4"/>
    <w:rsid w:val="006A7F53"/>
    <w:rsid w:val="006B083E"/>
    <w:rsid w:val="006B0B77"/>
    <w:rsid w:val="006B1CC6"/>
    <w:rsid w:val="006B2108"/>
    <w:rsid w:val="006B247C"/>
    <w:rsid w:val="006B3F26"/>
    <w:rsid w:val="006B4171"/>
    <w:rsid w:val="006B4CAA"/>
    <w:rsid w:val="006B763F"/>
    <w:rsid w:val="006C2124"/>
    <w:rsid w:val="006C2282"/>
    <w:rsid w:val="006C28AF"/>
    <w:rsid w:val="006C28F6"/>
    <w:rsid w:val="006C2DAD"/>
    <w:rsid w:val="006C3C4C"/>
    <w:rsid w:val="006C45DE"/>
    <w:rsid w:val="006C6927"/>
    <w:rsid w:val="006C6993"/>
    <w:rsid w:val="006C6C1B"/>
    <w:rsid w:val="006C71C9"/>
    <w:rsid w:val="006C7882"/>
    <w:rsid w:val="006D0D54"/>
    <w:rsid w:val="006D0DE1"/>
    <w:rsid w:val="006D103D"/>
    <w:rsid w:val="006D165B"/>
    <w:rsid w:val="006D2679"/>
    <w:rsid w:val="006D2903"/>
    <w:rsid w:val="006D306D"/>
    <w:rsid w:val="006D50F7"/>
    <w:rsid w:val="006E052E"/>
    <w:rsid w:val="006E15DB"/>
    <w:rsid w:val="006E337E"/>
    <w:rsid w:val="006E35A1"/>
    <w:rsid w:val="006E3789"/>
    <w:rsid w:val="006E44C8"/>
    <w:rsid w:val="006E4A7E"/>
    <w:rsid w:val="006E54CD"/>
    <w:rsid w:val="006E7C9D"/>
    <w:rsid w:val="006F0817"/>
    <w:rsid w:val="006F08F6"/>
    <w:rsid w:val="006F145D"/>
    <w:rsid w:val="006F1E91"/>
    <w:rsid w:val="006F1EDB"/>
    <w:rsid w:val="006F25FF"/>
    <w:rsid w:val="006F28BA"/>
    <w:rsid w:val="006F3211"/>
    <w:rsid w:val="006F3A03"/>
    <w:rsid w:val="006F5938"/>
    <w:rsid w:val="006F64E1"/>
    <w:rsid w:val="006F6F5C"/>
    <w:rsid w:val="006F76AE"/>
    <w:rsid w:val="00700039"/>
    <w:rsid w:val="00700DD7"/>
    <w:rsid w:val="00702070"/>
    <w:rsid w:val="00703072"/>
    <w:rsid w:val="00703349"/>
    <w:rsid w:val="00705180"/>
    <w:rsid w:val="007059F8"/>
    <w:rsid w:val="00705D77"/>
    <w:rsid w:val="0070604B"/>
    <w:rsid w:val="00706057"/>
    <w:rsid w:val="007062AA"/>
    <w:rsid w:val="007077D8"/>
    <w:rsid w:val="007078E2"/>
    <w:rsid w:val="0071082C"/>
    <w:rsid w:val="00710C86"/>
    <w:rsid w:val="00710F78"/>
    <w:rsid w:val="00712483"/>
    <w:rsid w:val="007127E5"/>
    <w:rsid w:val="0071354D"/>
    <w:rsid w:val="00713A5E"/>
    <w:rsid w:val="00714219"/>
    <w:rsid w:val="007143E2"/>
    <w:rsid w:val="00714E88"/>
    <w:rsid w:val="00715233"/>
    <w:rsid w:val="007157A0"/>
    <w:rsid w:val="00715A48"/>
    <w:rsid w:val="00715EB5"/>
    <w:rsid w:val="007161C2"/>
    <w:rsid w:val="00716CBA"/>
    <w:rsid w:val="00717929"/>
    <w:rsid w:val="00722194"/>
    <w:rsid w:val="0072386F"/>
    <w:rsid w:val="00724991"/>
    <w:rsid w:val="007249A2"/>
    <w:rsid w:val="00724A84"/>
    <w:rsid w:val="00725F37"/>
    <w:rsid w:val="007267D6"/>
    <w:rsid w:val="00727275"/>
    <w:rsid w:val="00731EC1"/>
    <w:rsid w:val="00734122"/>
    <w:rsid w:val="007342C6"/>
    <w:rsid w:val="00734730"/>
    <w:rsid w:val="00735544"/>
    <w:rsid w:val="00737A2B"/>
    <w:rsid w:val="00740E03"/>
    <w:rsid w:val="00741467"/>
    <w:rsid w:val="00741502"/>
    <w:rsid w:val="0074269D"/>
    <w:rsid w:val="00742967"/>
    <w:rsid w:val="00742B80"/>
    <w:rsid w:val="00743858"/>
    <w:rsid w:val="00743AF2"/>
    <w:rsid w:val="00744AFC"/>
    <w:rsid w:val="00747511"/>
    <w:rsid w:val="0074793D"/>
    <w:rsid w:val="00747B3E"/>
    <w:rsid w:val="00750BE8"/>
    <w:rsid w:val="007510A2"/>
    <w:rsid w:val="00751968"/>
    <w:rsid w:val="0075196B"/>
    <w:rsid w:val="00752112"/>
    <w:rsid w:val="007532D8"/>
    <w:rsid w:val="00753B74"/>
    <w:rsid w:val="00755685"/>
    <w:rsid w:val="00761843"/>
    <w:rsid w:val="00761AFB"/>
    <w:rsid w:val="00761E0D"/>
    <w:rsid w:val="00762368"/>
    <w:rsid w:val="007623DD"/>
    <w:rsid w:val="00764F1D"/>
    <w:rsid w:val="0076508C"/>
    <w:rsid w:val="00765484"/>
    <w:rsid w:val="0076631A"/>
    <w:rsid w:val="00766AF6"/>
    <w:rsid w:val="007702E3"/>
    <w:rsid w:val="00770609"/>
    <w:rsid w:val="007706A8"/>
    <w:rsid w:val="00771194"/>
    <w:rsid w:val="007714CE"/>
    <w:rsid w:val="00771877"/>
    <w:rsid w:val="00771AE1"/>
    <w:rsid w:val="00771D2A"/>
    <w:rsid w:val="0077277D"/>
    <w:rsid w:val="0077311C"/>
    <w:rsid w:val="0077514A"/>
    <w:rsid w:val="00776F7A"/>
    <w:rsid w:val="0078042B"/>
    <w:rsid w:val="00782C69"/>
    <w:rsid w:val="00783D0E"/>
    <w:rsid w:val="00783F10"/>
    <w:rsid w:val="00784170"/>
    <w:rsid w:val="00784218"/>
    <w:rsid w:val="0078452E"/>
    <w:rsid w:val="00784BBB"/>
    <w:rsid w:val="007935F2"/>
    <w:rsid w:val="00793928"/>
    <w:rsid w:val="00794A7A"/>
    <w:rsid w:val="007A0362"/>
    <w:rsid w:val="007A06A2"/>
    <w:rsid w:val="007A17EC"/>
    <w:rsid w:val="007A3A34"/>
    <w:rsid w:val="007A5849"/>
    <w:rsid w:val="007A626C"/>
    <w:rsid w:val="007A6C74"/>
    <w:rsid w:val="007A6D10"/>
    <w:rsid w:val="007B1A59"/>
    <w:rsid w:val="007B22E2"/>
    <w:rsid w:val="007B2349"/>
    <w:rsid w:val="007B2FB9"/>
    <w:rsid w:val="007B40DB"/>
    <w:rsid w:val="007B4E33"/>
    <w:rsid w:val="007B5F97"/>
    <w:rsid w:val="007B6555"/>
    <w:rsid w:val="007B69A5"/>
    <w:rsid w:val="007B72D8"/>
    <w:rsid w:val="007B75D8"/>
    <w:rsid w:val="007B798F"/>
    <w:rsid w:val="007C0C05"/>
    <w:rsid w:val="007C1E65"/>
    <w:rsid w:val="007C37C6"/>
    <w:rsid w:val="007C4A80"/>
    <w:rsid w:val="007C4BE9"/>
    <w:rsid w:val="007C4FD5"/>
    <w:rsid w:val="007C51CC"/>
    <w:rsid w:val="007D0B3E"/>
    <w:rsid w:val="007D0B6F"/>
    <w:rsid w:val="007D422A"/>
    <w:rsid w:val="007D4495"/>
    <w:rsid w:val="007D53FF"/>
    <w:rsid w:val="007D6F39"/>
    <w:rsid w:val="007D73A9"/>
    <w:rsid w:val="007E003A"/>
    <w:rsid w:val="007E16BC"/>
    <w:rsid w:val="007E196B"/>
    <w:rsid w:val="007E2A9C"/>
    <w:rsid w:val="007E6808"/>
    <w:rsid w:val="007F047D"/>
    <w:rsid w:val="007F0EE6"/>
    <w:rsid w:val="007F13BE"/>
    <w:rsid w:val="007F226D"/>
    <w:rsid w:val="007F3129"/>
    <w:rsid w:val="007F42BF"/>
    <w:rsid w:val="007F47C1"/>
    <w:rsid w:val="007F530A"/>
    <w:rsid w:val="007F57D7"/>
    <w:rsid w:val="007F7251"/>
    <w:rsid w:val="007F7B96"/>
    <w:rsid w:val="008001BF"/>
    <w:rsid w:val="0080072B"/>
    <w:rsid w:val="0080098B"/>
    <w:rsid w:val="0080138E"/>
    <w:rsid w:val="00802662"/>
    <w:rsid w:val="0080291A"/>
    <w:rsid w:val="00802B48"/>
    <w:rsid w:val="00802FAB"/>
    <w:rsid w:val="00803D74"/>
    <w:rsid w:val="00803EA9"/>
    <w:rsid w:val="008049B6"/>
    <w:rsid w:val="00805070"/>
    <w:rsid w:val="008070FD"/>
    <w:rsid w:val="00807C3D"/>
    <w:rsid w:val="00810C43"/>
    <w:rsid w:val="008112F2"/>
    <w:rsid w:val="00811518"/>
    <w:rsid w:val="00811A7C"/>
    <w:rsid w:val="00812314"/>
    <w:rsid w:val="008128F5"/>
    <w:rsid w:val="00814D78"/>
    <w:rsid w:val="00815756"/>
    <w:rsid w:val="00816B2B"/>
    <w:rsid w:val="00816D43"/>
    <w:rsid w:val="00817EFE"/>
    <w:rsid w:val="0082075C"/>
    <w:rsid w:val="00820827"/>
    <w:rsid w:val="00822A00"/>
    <w:rsid w:val="008240B9"/>
    <w:rsid w:val="008252E2"/>
    <w:rsid w:val="00825B1C"/>
    <w:rsid w:val="00825E26"/>
    <w:rsid w:val="0082623E"/>
    <w:rsid w:val="0082676B"/>
    <w:rsid w:val="00827FBE"/>
    <w:rsid w:val="00830FC3"/>
    <w:rsid w:val="0083146A"/>
    <w:rsid w:val="0083163E"/>
    <w:rsid w:val="00832085"/>
    <w:rsid w:val="00832600"/>
    <w:rsid w:val="00833046"/>
    <w:rsid w:val="008334C3"/>
    <w:rsid w:val="00833BE3"/>
    <w:rsid w:val="0083473C"/>
    <w:rsid w:val="00834D72"/>
    <w:rsid w:val="00835131"/>
    <w:rsid w:val="00835A35"/>
    <w:rsid w:val="008364A5"/>
    <w:rsid w:val="008364D3"/>
    <w:rsid w:val="00836777"/>
    <w:rsid w:val="00836BF0"/>
    <w:rsid w:val="00837A8E"/>
    <w:rsid w:val="0084026B"/>
    <w:rsid w:val="0084051E"/>
    <w:rsid w:val="00840741"/>
    <w:rsid w:val="00840BFB"/>
    <w:rsid w:val="008427F4"/>
    <w:rsid w:val="008436D3"/>
    <w:rsid w:val="008442F1"/>
    <w:rsid w:val="00844FAD"/>
    <w:rsid w:val="00845A73"/>
    <w:rsid w:val="00845F5B"/>
    <w:rsid w:val="00846451"/>
    <w:rsid w:val="00847E70"/>
    <w:rsid w:val="008504E0"/>
    <w:rsid w:val="0085116C"/>
    <w:rsid w:val="00851285"/>
    <w:rsid w:val="00851393"/>
    <w:rsid w:val="0085186F"/>
    <w:rsid w:val="008526E6"/>
    <w:rsid w:val="008534D7"/>
    <w:rsid w:val="00853D0B"/>
    <w:rsid w:val="00855848"/>
    <w:rsid w:val="00855DC2"/>
    <w:rsid w:val="00856699"/>
    <w:rsid w:val="00857556"/>
    <w:rsid w:val="008605B6"/>
    <w:rsid w:val="008616A7"/>
    <w:rsid w:val="00861F38"/>
    <w:rsid w:val="008627E7"/>
    <w:rsid w:val="008634EF"/>
    <w:rsid w:val="0086365B"/>
    <w:rsid w:val="008651AB"/>
    <w:rsid w:val="00867092"/>
    <w:rsid w:val="008679F7"/>
    <w:rsid w:val="00867B1D"/>
    <w:rsid w:val="0087097A"/>
    <w:rsid w:val="00870C68"/>
    <w:rsid w:val="008719EC"/>
    <w:rsid w:val="00874082"/>
    <w:rsid w:val="00874086"/>
    <w:rsid w:val="00874810"/>
    <w:rsid w:val="008751EA"/>
    <w:rsid w:val="00877635"/>
    <w:rsid w:val="0088045B"/>
    <w:rsid w:val="0088130D"/>
    <w:rsid w:val="008815E2"/>
    <w:rsid w:val="0088163A"/>
    <w:rsid w:val="00881951"/>
    <w:rsid w:val="008837F7"/>
    <w:rsid w:val="0088529E"/>
    <w:rsid w:val="008852EB"/>
    <w:rsid w:val="008859E7"/>
    <w:rsid w:val="00885FA5"/>
    <w:rsid w:val="0088735D"/>
    <w:rsid w:val="008874AE"/>
    <w:rsid w:val="00890FBD"/>
    <w:rsid w:val="008918F8"/>
    <w:rsid w:val="008923A1"/>
    <w:rsid w:val="008927BA"/>
    <w:rsid w:val="008936C6"/>
    <w:rsid w:val="00893D28"/>
    <w:rsid w:val="00894C5F"/>
    <w:rsid w:val="00895234"/>
    <w:rsid w:val="00897B27"/>
    <w:rsid w:val="008A1AB9"/>
    <w:rsid w:val="008A1CE8"/>
    <w:rsid w:val="008A1E14"/>
    <w:rsid w:val="008A2820"/>
    <w:rsid w:val="008A5EF6"/>
    <w:rsid w:val="008B337C"/>
    <w:rsid w:val="008B4CE1"/>
    <w:rsid w:val="008B5152"/>
    <w:rsid w:val="008B5E13"/>
    <w:rsid w:val="008B7466"/>
    <w:rsid w:val="008B75D2"/>
    <w:rsid w:val="008C0A9E"/>
    <w:rsid w:val="008C2146"/>
    <w:rsid w:val="008C353E"/>
    <w:rsid w:val="008C36F7"/>
    <w:rsid w:val="008C3A02"/>
    <w:rsid w:val="008C3C59"/>
    <w:rsid w:val="008C4BB5"/>
    <w:rsid w:val="008C4D85"/>
    <w:rsid w:val="008C6DB2"/>
    <w:rsid w:val="008C7A27"/>
    <w:rsid w:val="008C7E79"/>
    <w:rsid w:val="008D10AE"/>
    <w:rsid w:val="008D2612"/>
    <w:rsid w:val="008D30BB"/>
    <w:rsid w:val="008D421C"/>
    <w:rsid w:val="008D7252"/>
    <w:rsid w:val="008D73F2"/>
    <w:rsid w:val="008D7E50"/>
    <w:rsid w:val="008E0088"/>
    <w:rsid w:val="008E02CD"/>
    <w:rsid w:val="008E0A13"/>
    <w:rsid w:val="008E0E32"/>
    <w:rsid w:val="008E1365"/>
    <w:rsid w:val="008E1AB0"/>
    <w:rsid w:val="008E38D1"/>
    <w:rsid w:val="008E5522"/>
    <w:rsid w:val="008E67EA"/>
    <w:rsid w:val="008E710E"/>
    <w:rsid w:val="008F18D8"/>
    <w:rsid w:val="008F1FCE"/>
    <w:rsid w:val="008F21A1"/>
    <w:rsid w:val="008F282D"/>
    <w:rsid w:val="008F293C"/>
    <w:rsid w:val="008F3809"/>
    <w:rsid w:val="008F41E9"/>
    <w:rsid w:val="008F4ACB"/>
    <w:rsid w:val="008F5BE7"/>
    <w:rsid w:val="00901324"/>
    <w:rsid w:val="00901A3B"/>
    <w:rsid w:val="00901C9D"/>
    <w:rsid w:val="00902C67"/>
    <w:rsid w:val="00903645"/>
    <w:rsid w:val="009045F4"/>
    <w:rsid w:val="0090485A"/>
    <w:rsid w:val="0090544E"/>
    <w:rsid w:val="00905A1B"/>
    <w:rsid w:val="0090638E"/>
    <w:rsid w:val="00907861"/>
    <w:rsid w:val="009100B6"/>
    <w:rsid w:val="00910439"/>
    <w:rsid w:val="009107B8"/>
    <w:rsid w:val="0091231D"/>
    <w:rsid w:val="0091274A"/>
    <w:rsid w:val="0091500B"/>
    <w:rsid w:val="009155AC"/>
    <w:rsid w:val="00915C4B"/>
    <w:rsid w:val="00915D7C"/>
    <w:rsid w:val="00917B9F"/>
    <w:rsid w:val="00917F38"/>
    <w:rsid w:val="00920E40"/>
    <w:rsid w:val="0092189A"/>
    <w:rsid w:val="00922148"/>
    <w:rsid w:val="00922A82"/>
    <w:rsid w:val="009232C2"/>
    <w:rsid w:val="00925323"/>
    <w:rsid w:val="00925ECB"/>
    <w:rsid w:val="00926DAE"/>
    <w:rsid w:val="00927F15"/>
    <w:rsid w:val="00931801"/>
    <w:rsid w:val="00933EDA"/>
    <w:rsid w:val="0093401B"/>
    <w:rsid w:val="0093593C"/>
    <w:rsid w:val="009360AF"/>
    <w:rsid w:val="009365C2"/>
    <w:rsid w:val="00937499"/>
    <w:rsid w:val="009376FC"/>
    <w:rsid w:val="00940287"/>
    <w:rsid w:val="009409A9"/>
    <w:rsid w:val="00940F6F"/>
    <w:rsid w:val="009411BC"/>
    <w:rsid w:val="00944D45"/>
    <w:rsid w:val="009457C7"/>
    <w:rsid w:val="0094603E"/>
    <w:rsid w:val="00946A10"/>
    <w:rsid w:val="00947BA4"/>
    <w:rsid w:val="00951A07"/>
    <w:rsid w:val="00952DC9"/>
    <w:rsid w:val="00952EC7"/>
    <w:rsid w:val="00953178"/>
    <w:rsid w:val="0095323B"/>
    <w:rsid w:val="00954660"/>
    <w:rsid w:val="00954C77"/>
    <w:rsid w:val="009569B2"/>
    <w:rsid w:val="00956CF5"/>
    <w:rsid w:val="0095791E"/>
    <w:rsid w:val="009604F0"/>
    <w:rsid w:val="00961ADA"/>
    <w:rsid w:val="009621FE"/>
    <w:rsid w:val="0096265B"/>
    <w:rsid w:val="00962C86"/>
    <w:rsid w:val="00964A97"/>
    <w:rsid w:val="00964C50"/>
    <w:rsid w:val="00965D8E"/>
    <w:rsid w:val="00966DAD"/>
    <w:rsid w:val="0096740B"/>
    <w:rsid w:val="00967550"/>
    <w:rsid w:val="00973261"/>
    <w:rsid w:val="00973327"/>
    <w:rsid w:val="009738A5"/>
    <w:rsid w:val="00973F44"/>
    <w:rsid w:val="009741FA"/>
    <w:rsid w:val="009754DA"/>
    <w:rsid w:val="00976577"/>
    <w:rsid w:val="0097673A"/>
    <w:rsid w:val="00976DC2"/>
    <w:rsid w:val="00976E03"/>
    <w:rsid w:val="00976EDD"/>
    <w:rsid w:val="00977619"/>
    <w:rsid w:val="00980304"/>
    <w:rsid w:val="00980326"/>
    <w:rsid w:val="009823C0"/>
    <w:rsid w:val="00983B63"/>
    <w:rsid w:val="00983BAF"/>
    <w:rsid w:val="00984108"/>
    <w:rsid w:val="00984320"/>
    <w:rsid w:val="0098503A"/>
    <w:rsid w:val="00986131"/>
    <w:rsid w:val="00986E1F"/>
    <w:rsid w:val="009870B4"/>
    <w:rsid w:val="0098710D"/>
    <w:rsid w:val="0099045F"/>
    <w:rsid w:val="009909CB"/>
    <w:rsid w:val="009916E1"/>
    <w:rsid w:val="0099261A"/>
    <w:rsid w:val="009936E0"/>
    <w:rsid w:val="009937FA"/>
    <w:rsid w:val="00993F0E"/>
    <w:rsid w:val="009947BB"/>
    <w:rsid w:val="00994CA8"/>
    <w:rsid w:val="00994E98"/>
    <w:rsid w:val="009959A8"/>
    <w:rsid w:val="00997A69"/>
    <w:rsid w:val="00997D22"/>
    <w:rsid w:val="009A06B8"/>
    <w:rsid w:val="009A0D44"/>
    <w:rsid w:val="009A11D9"/>
    <w:rsid w:val="009A2681"/>
    <w:rsid w:val="009A3962"/>
    <w:rsid w:val="009A3B1B"/>
    <w:rsid w:val="009A536F"/>
    <w:rsid w:val="009A6285"/>
    <w:rsid w:val="009A63D1"/>
    <w:rsid w:val="009A7D36"/>
    <w:rsid w:val="009B060C"/>
    <w:rsid w:val="009B0BCB"/>
    <w:rsid w:val="009B0D01"/>
    <w:rsid w:val="009B1629"/>
    <w:rsid w:val="009B1648"/>
    <w:rsid w:val="009B1F2A"/>
    <w:rsid w:val="009B4DC4"/>
    <w:rsid w:val="009B6943"/>
    <w:rsid w:val="009B7418"/>
    <w:rsid w:val="009C250D"/>
    <w:rsid w:val="009C2CF4"/>
    <w:rsid w:val="009C3A6F"/>
    <w:rsid w:val="009C3E9D"/>
    <w:rsid w:val="009C48BB"/>
    <w:rsid w:val="009C49CE"/>
    <w:rsid w:val="009C5790"/>
    <w:rsid w:val="009C5E6B"/>
    <w:rsid w:val="009C668B"/>
    <w:rsid w:val="009D23BD"/>
    <w:rsid w:val="009D45D4"/>
    <w:rsid w:val="009D4F73"/>
    <w:rsid w:val="009D532C"/>
    <w:rsid w:val="009D5AA0"/>
    <w:rsid w:val="009D65A8"/>
    <w:rsid w:val="009D7DEF"/>
    <w:rsid w:val="009D7E30"/>
    <w:rsid w:val="009E04D0"/>
    <w:rsid w:val="009E06AC"/>
    <w:rsid w:val="009E0D23"/>
    <w:rsid w:val="009E19F8"/>
    <w:rsid w:val="009E3448"/>
    <w:rsid w:val="009E39C1"/>
    <w:rsid w:val="009E58C2"/>
    <w:rsid w:val="009E5ACB"/>
    <w:rsid w:val="009E5F46"/>
    <w:rsid w:val="009F00F1"/>
    <w:rsid w:val="009F0461"/>
    <w:rsid w:val="009F0744"/>
    <w:rsid w:val="009F2B6A"/>
    <w:rsid w:val="009F32A7"/>
    <w:rsid w:val="009F3860"/>
    <w:rsid w:val="009F49E9"/>
    <w:rsid w:val="009F49FD"/>
    <w:rsid w:val="009F5DA3"/>
    <w:rsid w:val="009F6070"/>
    <w:rsid w:val="009F6206"/>
    <w:rsid w:val="009F71B9"/>
    <w:rsid w:val="009F727D"/>
    <w:rsid w:val="00A00311"/>
    <w:rsid w:val="00A01B16"/>
    <w:rsid w:val="00A01F74"/>
    <w:rsid w:val="00A02109"/>
    <w:rsid w:val="00A02216"/>
    <w:rsid w:val="00A02B3B"/>
    <w:rsid w:val="00A02CEA"/>
    <w:rsid w:val="00A030F1"/>
    <w:rsid w:val="00A034DD"/>
    <w:rsid w:val="00A03BF3"/>
    <w:rsid w:val="00A03DDD"/>
    <w:rsid w:val="00A0472D"/>
    <w:rsid w:val="00A0503A"/>
    <w:rsid w:val="00A0616A"/>
    <w:rsid w:val="00A065E6"/>
    <w:rsid w:val="00A06B6F"/>
    <w:rsid w:val="00A06DA0"/>
    <w:rsid w:val="00A06E65"/>
    <w:rsid w:val="00A10584"/>
    <w:rsid w:val="00A11DB7"/>
    <w:rsid w:val="00A11EFA"/>
    <w:rsid w:val="00A11F1C"/>
    <w:rsid w:val="00A133DA"/>
    <w:rsid w:val="00A14F78"/>
    <w:rsid w:val="00A169F5"/>
    <w:rsid w:val="00A17846"/>
    <w:rsid w:val="00A20A85"/>
    <w:rsid w:val="00A21A4B"/>
    <w:rsid w:val="00A2216B"/>
    <w:rsid w:val="00A22216"/>
    <w:rsid w:val="00A226EB"/>
    <w:rsid w:val="00A23FD4"/>
    <w:rsid w:val="00A24960"/>
    <w:rsid w:val="00A26857"/>
    <w:rsid w:val="00A27B74"/>
    <w:rsid w:val="00A30D70"/>
    <w:rsid w:val="00A31F2A"/>
    <w:rsid w:val="00A32559"/>
    <w:rsid w:val="00A325FA"/>
    <w:rsid w:val="00A32817"/>
    <w:rsid w:val="00A32A98"/>
    <w:rsid w:val="00A3329D"/>
    <w:rsid w:val="00A339B3"/>
    <w:rsid w:val="00A33FAF"/>
    <w:rsid w:val="00A352B7"/>
    <w:rsid w:val="00A36295"/>
    <w:rsid w:val="00A362F7"/>
    <w:rsid w:val="00A369FC"/>
    <w:rsid w:val="00A37785"/>
    <w:rsid w:val="00A4067E"/>
    <w:rsid w:val="00A41CA6"/>
    <w:rsid w:val="00A420D9"/>
    <w:rsid w:val="00A44B5D"/>
    <w:rsid w:val="00A464B0"/>
    <w:rsid w:val="00A47ED4"/>
    <w:rsid w:val="00A50005"/>
    <w:rsid w:val="00A51076"/>
    <w:rsid w:val="00A51C0F"/>
    <w:rsid w:val="00A51D73"/>
    <w:rsid w:val="00A51E21"/>
    <w:rsid w:val="00A529A1"/>
    <w:rsid w:val="00A53473"/>
    <w:rsid w:val="00A53636"/>
    <w:rsid w:val="00A53954"/>
    <w:rsid w:val="00A53D5B"/>
    <w:rsid w:val="00A5405D"/>
    <w:rsid w:val="00A549EC"/>
    <w:rsid w:val="00A54CCC"/>
    <w:rsid w:val="00A5570A"/>
    <w:rsid w:val="00A56F03"/>
    <w:rsid w:val="00A573DF"/>
    <w:rsid w:val="00A578F0"/>
    <w:rsid w:val="00A614E8"/>
    <w:rsid w:val="00A61BAF"/>
    <w:rsid w:val="00A62561"/>
    <w:rsid w:val="00A62BE8"/>
    <w:rsid w:val="00A63E24"/>
    <w:rsid w:val="00A65293"/>
    <w:rsid w:val="00A65C65"/>
    <w:rsid w:val="00A66097"/>
    <w:rsid w:val="00A66A49"/>
    <w:rsid w:val="00A67578"/>
    <w:rsid w:val="00A67595"/>
    <w:rsid w:val="00A705E8"/>
    <w:rsid w:val="00A71766"/>
    <w:rsid w:val="00A71A05"/>
    <w:rsid w:val="00A71D02"/>
    <w:rsid w:val="00A72E31"/>
    <w:rsid w:val="00A742E5"/>
    <w:rsid w:val="00A74852"/>
    <w:rsid w:val="00A74AD8"/>
    <w:rsid w:val="00A74DE5"/>
    <w:rsid w:val="00A760FA"/>
    <w:rsid w:val="00A76868"/>
    <w:rsid w:val="00A771F2"/>
    <w:rsid w:val="00A80728"/>
    <w:rsid w:val="00A80BFC"/>
    <w:rsid w:val="00A8107F"/>
    <w:rsid w:val="00A817F0"/>
    <w:rsid w:val="00A82F93"/>
    <w:rsid w:val="00A8565F"/>
    <w:rsid w:val="00A86C3B"/>
    <w:rsid w:val="00A8763D"/>
    <w:rsid w:val="00A87D19"/>
    <w:rsid w:val="00A90B80"/>
    <w:rsid w:val="00A90FF1"/>
    <w:rsid w:val="00A93100"/>
    <w:rsid w:val="00A93ABC"/>
    <w:rsid w:val="00A93E85"/>
    <w:rsid w:val="00A95026"/>
    <w:rsid w:val="00AA059D"/>
    <w:rsid w:val="00AA12CA"/>
    <w:rsid w:val="00AA1698"/>
    <w:rsid w:val="00AA1B4C"/>
    <w:rsid w:val="00AA25A8"/>
    <w:rsid w:val="00AA4124"/>
    <w:rsid w:val="00AA4219"/>
    <w:rsid w:val="00AA4657"/>
    <w:rsid w:val="00AA4E9C"/>
    <w:rsid w:val="00AA4EDB"/>
    <w:rsid w:val="00AA5E62"/>
    <w:rsid w:val="00AA621F"/>
    <w:rsid w:val="00AA6534"/>
    <w:rsid w:val="00AA6539"/>
    <w:rsid w:val="00AA6B69"/>
    <w:rsid w:val="00AA6FC4"/>
    <w:rsid w:val="00AB0154"/>
    <w:rsid w:val="00AB0FB5"/>
    <w:rsid w:val="00AB18BC"/>
    <w:rsid w:val="00AB2945"/>
    <w:rsid w:val="00AB29FC"/>
    <w:rsid w:val="00AB322D"/>
    <w:rsid w:val="00AB352A"/>
    <w:rsid w:val="00AB5047"/>
    <w:rsid w:val="00AB762F"/>
    <w:rsid w:val="00AB7CB4"/>
    <w:rsid w:val="00AB7F1B"/>
    <w:rsid w:val="00AC0566"/>
    <w:rsid w:val="00AC2C89"/>
    <w:rsid w:val="00AC2E35"/>
    <w:rsid w:val="00AC2F5A"/>
    <w:rsid w:val="00AC39F4"/>
    <w:rsid w:val="00AC3C3C"/>
    <w:rsid w:val="00AC664C"/>
    <w:rsid w:val="00AC6E74"/>
    <w:rsid w:val="00AC74AD"/>
    <w:rsid w:val="00AD0030"/>
    <w:rsid w:val="00AD00DD"/>
    <w:rsid w:val="00AD02E9"/>
    <w:rsid w:val="00AD158F"/>
    <w:rsid w:val="00AD1B54"/>
    <w:rsid w:val="00AD2B83"/>
    <w:rsid w:val="00AD3DCA"/>
    <w:rsid w:val="00AD480C"/>
    <w:rsid w:val="00AD4FE7"/>
    <w:rsid w:val="00AD5405"/>
    <w:rsid w:val="00AD5DC2"/>
    <w:rsid w:val="00AD6CD0"/>
    <w:rsid w:val="00AD72CA"/>
    <w:rsid w:val="00AD7AA5"/>
    <w:rsid w:val="00AD7AAD"/>
    <w:rsid w:val="00AD7ADC"/>
    <w:rsid w:val="00AE0730"/>
    <w:rsid w:val="00AE1685"/>
    <w:rsid w:val="00AE355A"/>
    <w:rsid w:val="00AE37A2"/>
    <w:rsid w:val="00AE4AC8"/>
    <w:rsid w:val="00AE4B7A"/>
    <w:rsid w:val="00AE6124"/>
    <w:rsid w:val="00AE628C"/>
    <w:rsid w:val="00AE6BB5"/>
    <w:rsid w:val="00AE6E36"/>
    <w:rsid w:val="00AF15AE"/>
    <w:rsid w:val="00AF17CA"/>
    <w:rsid w:val="00AF3237"/>
    <w:rsid w:val="00AF32CC"/>
    <w:rsid w:val="00AF34CA"/>
    <w:rsid w:val="00AF353E"/>
    <w:rsid w:val="00AF35C5"/>
    <w:rsid w:val="00AF3BE8"/>
    <w:rsid w:val="00AF3C8E"/>
    <w:rsid w:val="00AF3F0A"/>
    <w:rsid w:val="00AF42A8"/>
    <w:rsid w:val="00AF4DD9"/>
    <w:rsid w:val="00AF5C0F"/>
    <w:rsid w:val="00AF5CFB"/>
    <w:rsid w:val="00AF6043"/>
    <w:rsid w:val="00AF71C0"/>
    <w:rsid w:val="00B00A00"/>
    <w:rsid w:val="00B00FBB"/>
    <w:rsid w:val="00B01FE4"/>
    <w:rsid w:val="00B02326"/>
    <w:rsid w:val="00B04259"/>
    <w:rsid w:val="00B05223"/>
    <w:rsid w:val="00B060FF"/>
    <w:rsid w:val="00B061C1"/>
    <w:rsid w:val="00B063BE"/>
    <w:rsid w:val="00B070ED"/>
    <w:rsid w:val="00B07E61"/>
    <w:rsid w:val="00B07F2A"/>
    <w:rsid w:val="00B101B7"/>
    <w:rsid w:val="00B103DB"/>
    <w:rsid w:val="00B10974"/>
    <w:rsid w:val="00B10A1F"/>
    <w:rsid w:val="00B114F8"/>
    <w:rsid w:val="00B12386"/>
    <w:rsid w:val="00B132FD"/>
    <w:rsid w:val="00B13E48"/>
    <w:rsid w:val="00B1433A"/>
    <w:rsid w:val="00B144D1"/>
    <w:rsid w:val="00B1535F"/>
    <w:rsid w:val="00B153E8"/>
    <w:rsid w:val="00B15DCA"/>
    <w:rsid w:val="00B2095E"/>
    <w:rsid w:val="00B21928"/>
    <w:rsid w:val="00B228E2"/>
    <w:rsid w:val="00B230BD"/>
    <w:rsid w:val="00B2340C"/>
    <w:rsid w:val="00B237FF"/>
    <w:rsid w:val="00B250DE"/>
    <w:rsid w:val="00B25C28"/>
    <w:rsid w:val="00B2685E"/>
    <w:rsid w:val="00B26D0B"/>
    <w:rsid w:val="00B27034"/>
    <w:rsid w:val="00B309D1"/>
    <w:rsid w:val="00B31D62"/>
    <w:rsid w:val="00B31F5F"/>
    <w:rsid w:val="00B325C4"/>
    <w:rsid w:val="00B327F4"/>
    <w:rsid w:val="00B32C54"/>
    <w:rsid w:val="00B32FF6"/>
    <w:rsid w:val="00B3335F"/>
    <w:rsid w:val="00B357F7"/>
    <w:rsid w:val="00B365A7"/>
    <w:rsid w:val="00B40297"/>
    <w:rsid w:val="00B424CF"/>
    <w:rsid w:val="00B425DE"/>
    <w:rsid w:val="00B42CAA"/>
    <w:rsid w:val="00B44590"/>
    <w:rsid w:val="00B44719"/>
    <w:rsid w:val="00B45461"/>
    <w:rsid w:val="00B458C9"/>
    <w:rsid w:val="00B45C27"/>
    <w:rsid w:val="00B47589"/>
    <w:rsid w:val="00B50A3D"/>
    <w:rsid w:val="00B51590"/>
    <w:rsid w:val="00B51FC6"/>
    <w:rsid w:val="00B53A0D"/>
    <w:rsid w:val="00B5401F"/>
    <w:rsid w:val="00B61F52"/>
    <w:rsid w:val="00B624D3"/>
    <w:rsid w:val="00B64426"/>
    <w:rsid w:val="00B670E9"/>
    <w:rsid w:val="00B700DB"/>
    <w:rsid w:val="00B718C4"/>
    <w:rsid w:val="00B739C5"/>
    <w:rsid w:val="00B73CC1"/>
    <w:rsid w:val="00B7559C"/>
    <w:rsid w:val="00B762F3"/>
    <w:rsid w:val="00B7641C"/>
    <w:rsid w:val="00B805E9"/>
    <w:rsid w:val="00B83083"/>
    <w:rsid w:val="00B833CE"/>
    <w:rsid w:val="00B83F27"/>
    <w:rsid w:val="00B843D8"/>
    <w:rsid w:val="00B84A78"/>
    <w:rsid w:val="00B862E3"/>
    <w:rsid w:val="00B86990"/>
    <w:rsid w:val="00B87FA6"/>
    <w:rsid w:val="00B90F5F"/>
    <w:rsid w:val="00B911B2"/>
    <w:rsid w:val="00B9149A"/>
    <w:rsid w:val="00B92BFC"/>
    <w:rsid w:val="00B943D0"/>
    <w:rsid w:val="00B9589B"/>
    <w:rsid w:val="00B9716D"/>
    <w:rsid w:val="00BA0C4B"/>
    <w:rsid w:val="00BA1140"/>
    <w:rsid w:val="00BA2057"/>
    <w:rsid w:val="00BA22BD"/>
    <w:rsid w:val="00BA2453"/>
    <w:rsid w:val="00BA3376"/>
    <w:rsid w:val="00BA4664"/>
    <w:rsid w:val="00BA5118"/>
    <w:rsid w:val="00BA63D0"/>
    <w:rsid w:val="00BA784D"/>
    <w:rsid w:val="00BB0607"/>
    <w:rsid w:val="00BB1DE4"/>
    <w:rsid w:val="00BB23F2"/>
    <w:rsid w:val="00BB34BC"/>
    <w:rsid w:val="00BB3D2E"/>
    <w:rsid w:val="00BB4919"/>
    <w:rsid w:val="00BB54CE"/>
    <w:rsid w:val="00BB5AD7"/>
    <w:rsid w:val="00BB5FB1"/>
    <w:rsid w:val="00BB6677"/>
    <w:rsid w:val="00BB71AD"/>
    <w:rsid w:val="00BB7BA1"/>
    <w:rsid w:val="00BB7CD0"/>
    <w:rsid w:val="00BC08A5"/>
    <w:rsid w:val="00BC09DE"/>
    <w:rsid w:val="00BC0BC1"/>
    <w:rsid w:val="00BC26B1"/>
    <w:rsid w:val="00BC3811"/>
    <w:rsid w:val="00BC4178"/>
    <w:rsid w:val="00BC4502"/>
    <w:rsid w:val="00BC5525"/>
    <w:rsid w:val="00BC5D7F"/>
    <w:rsid w:val="00BC5D85"/>
    <w:rsid w:val="00BC711C"/>
    <w:rsid w:val="00BC7573"/>
    <w:rsid w:val="00BC7581"/>
    <w:rsid w:val="00BC7EDF"/>
    <w:rsid w:val="00BD0752"/>
    <w:rsid w:val="00BD182B"/>
    <w:rsid w:val="00BD1918"/>
    <w:rsid w:val="00BD1E92"/>
    <w:rsid w:val="00BD2528"/>
    <w:rsid w:val="00BD2AF6"/>
    <w:rsid w:val="00BD6173"/>
    <w:rsid w:val="00BD656A"/>
    <w:rsid w:val="00BE05E5"/>
    <w:rsid w:val="00BE0C42"/>
    <w:rsid w:val="00BE0F63"/>
    <w:rsid w:val="00BE37F2"/>
    <w:rsid w:val="00BE3FFD"/>
    <w:rsid w:val="00BE40E8"/>
    <w:rsid w:val="00BE5535"/>
    <w:rsid w:val="00BE6A37"/>
    <w:rsid w:val="00BE720A"/>
    <w:rsid w:val="00BE765E"/>
    <w:rsid w:val="00BF01BE"/>
    <w:rsid w:val="00BF066D"/>
    <w:rsid w:val="00BF181F"/>
    <w:rsid w:val="00BF32CB"/>
    <w:rsid w:val="00BF4879"/>
    <w:rsid w:val="00BF49F7"/>
    <w:rsid w:val="00BF4C04"/>
    <w:rsid w:val="00BF4EBD"/>
    <w:rsid w:val="00BF53DE"/>
    <w:rsid w:val="00BF64C7"/>
    <w:rsid w:val="00BF73FA"/>
    <w:rsid w:val="00BF74E3"/>
    <w:rsid w:val="00BF797E"/>
    <w:rsid w:val="00C01584"/>
    <w:rsid w:val="00C02020"/>
    <w:rsid w:val="00C0216A"/>
    <w:rsid w:val="00C03105"/>
    <w:rsid w:val="00C04893"/>
    <w:rsid w:val="00C056E5"/>
    <w:rsid w:val="00C05B5F"/>
    <w:rsid w:val="00C05BA6"/>
    <w:rsid w:val="00C0611A"/>
    <w:rsid w:val="00C06307"/>
    <w:rsid w:val="00C065D0"/>
    <w:rsid w:val="00C06BC8"/>
    <w:rsid w:val="00C0742B"/>
    <w:rsid w:val="00C07D89"/>
    <w:rsid w:val="00C07E9E"/>
    <w:rsid w:val="00C07F50"/>
    <w:rsid w:val="00C10506"/>
    <w:rsid w:val="00C10CD0"/>
    <w:rsid w:val="00C11313"/>
    <w:rsid w:val="00C12821"/>
    <w:rsid w:val="00C12CC0"/>
    <w:rsid w:val="00C133D9"/>
    <w:rsid w:val="00C1370C"/>
    <w:rsid w:val="00C13764"/>
    <w:rsid w:val="00C13B57"/>
    <w:rsid w:val="00C1613E"/>
    <w:rsid w:val="00C16A03"/>
    <w:rsid w:val="00C17504"/>
    <w:rsid w:val="00C17C19"/>
    <w:rsid w:val="00C17DD0"/>
    <w:rsid w:val="00C20E54"/>
    <w:rsid w:val="00C21E6C"/>
    <w:rsid w:val="00C227A8"/>
    <w:rsid w:val="00C2291D"/>
    <w:rsid w:val="00C23790"/>
    <w:rsid w:val="00C24396"/>
    <w:rsid w:val="00C250A0"/>
    <w:rsid w:val="00C2580C"/>
    <w:rsid w:val="00C26A45"/>
    <w:rsid w:val="00C26E6A"/>
    <w:rsid w:val="00C30447"/>
    <w:rsid w:val="00C31CBD"/>
    <w:rsid w:val="00C3270D"/>
    <w:rsid w:val="00C32CC3"/>
    <w:rsid w:val="00C32DBE"/>
    <w:rsid w:val="00C33356"/>
    <w:rsid w:val="00C33963"/>
    <w:rsid w:val="00C33C66"/>
    <w:rsid w:val="00C33E0F"/>
    <w:rsid w:val="00C34021"/>
    <w:rsid w:val="00C34BA7"/>
    <w:rsid w:val="00C3500B"/>
    <w:rsid w:val="00C3532B"/>
    <w:rsid w:val="00C40398"/>
    <w:rsid w:val="00C419B9"/>
    <w:rsid w:val="00C4299C"/>
    <w:rsid w:val="00C429A0"/>
    <w:rsid w:val="00C43487"/>
    <w:rsid w:val="00C4473A"/>
    <w:rsid w:val="00C47010"/>
    <w:rsid w:val="00C500BE"/>
    <w:rsid w:val="00C50441"/>
    <w:rsid w:val="00C50750"/>
    <w:rsid w:val="00C509CA"/>
    <w:rsid w:val="00C50D81"/>
    <w:rsid w:val="00C53501"/>
    <w:rsid w:val="00C53C64"/>
    <w:rsid w:val="00C54D4A"/>
    <w:rsid w:val="00C55C2C"/>
    <w:rsid w:val="00C55D52"/>
    <w:rsid w:val="00C56909"/>
    <w:rsid w:val="00C575D2"/>
    <w:rsid w:val="00C60007"/>
    <w:rsid w:val="00C60288"/>
    <w:rsid w:val="00C604B6"/>
    <w:rsid w:val="00C60675"/>
    <w:rsid w:val="00C615C4"/>
    <w:rsid w:val="00C6326F"/>
    <w:rsid w:val="00C640C9"/>
    <w:rsid w:val="00C64223"/>
    <w:rsid w:val="00C64ED4"/>
    <w:rsid w:val="00C64F5F"/>
    <w:rsid w:val="00C65489"/>
    <w:rsid w:val="00C65968"/>
    <w:rsid w:val="00C65C88"/>
    <w:rsid w:val="00C67D95"/>
    <w:rsid w:val="00C725F1"/>
    <w:rsid w:val="00C740D3"/>
    <w:rsid w:val="00C74BC9"/>
    <w:rsid w:val="00C76531"/>
    <w:rsid w:val="00C77A89"/>
    <w:rsid w:val="00C77B78"/>
    <w:rsid w:val="00C77C1B"/>
    <w:rsid w:val="00C80471"/>
    <w:rsid w:val="00C810E5"/>
    <w:rsid w:val="00C82D63"/>
    <w:rsid w:val="00C82FA7"/>
    <w:rsid w:val="00C83D02"/>
    <w:rsid w:val="00C8409A"/>
    <w:rsid w:val="00C8414C"/>
    <w:rsid w:val="00C841EF"/>
    <w:rsid w:val="00C91DAF"/>
    <w:rsid w:val="00C91E4E"/>
    <w:rsid w:val="00C91F6E"/>
    <w:rsid w:val="00C92B36"/>
    <w:rsid w:val="00C95F25"/>
    <w:rsid w:val="00C97C06"/>
    <w:rsid w:val="00C97D09"/>
    <w:rsid w:val="00CA0D8B"/>
    <w:rsid w:val="00CA0E0B"/>
    <w:rsid w:val="00CA158D"/>
    <w:rsid w:val="00CA1BEB"/>
    <w:rsid w:val="00CA2C9E"/>
    <w:rsid w:val="00CA3EEC"/>
    <w:rsid w:val="00CA41B9"/>
    <w:rsid w:val="00CA4C7D"/>
    <w:rsid w:val="00CA50D7"/>
    <w:rsid w:val="00CA5416"/>
    <w:rsid w:val="00CA708A"/>
    <w:rsid w:val="00CA7115"/>
    <w:rsid w:val="00CA797E"/>
    <w:rsid w:val="00CA7C26"/>
    <w:rsid w:val="00CB0275"/>
    <w:rsid w:val="00CB050E"/>
    <w:rsid w:val="00CB0F10"/>
    <w:rsid w:val="00CB1182"/>
    <w:rsid w:val="00CB1361"/>
    <w:rsid w:val="00CB1A13"/>
    <w:rsid w:val="00CB3766"/>
    <w:rsid w:val="00CB397B"/>
    <w:rsid w:val="00CB3C28"/>
    <w:rsid w:val="00CB4FC9"/>
    <w:rsid w:val="00CB6CCF"/>
    <w:rsid w:val="00CC0729"/>
    <w:rsid w:val="00CC0A5C"/>
    <w:rsid w:val="00CC2CE7"/>
    <w:rsid w:val="00CC3B22"/>
    <w:rsid w:val="00CC3B78"/>
    <w:rsid w:val="00CD0BD9"/>
    <w:rsid w:val="00CD0D55"/>
    <w:rsid w:val="00CD1105"/>
    <w:rsid w:val="00CD1789"/>
    <w:rsid w:val="00CD18E1"/>
    <w:rsid w:val="00CD1C7C"/>
    <w:rsid w:val="00CD1F28"/>
    <w:rsid w:val="00CD32D5"/>
    <w:rsid w:val="00CD6862"/>
    <w:rsid w:val="00CD7AAB"/>
    <w:rsid w:val="00CD7B05"/>
    <w:rsid w:val="00CD7B5E"/>
    <w:rsid w:val="00CD7F76"/>
    <w:rsid w:val="00CE0EC8"/>
    <w:rsid w:val="00CE3C40"/>
    <w:rsid w:val="00CE3C54"/>
    <w:rsid w:val="00CE3DD6"/>
    <w:rsid w:val="00CE4630"/>
    <w:rsid w:val="00CE499C"/>
    <w:rsid w:val="00CE4B19"/>
    <w:rsid w:val="00CE65AB"/>
    <w:rsid w:val="00CE7BDF"/>
    <w:rsid w:val="00CF062E"/>
    <w:rsid w:val="00CF15A7"/>
    <w:rsid w:val="00CF236D"/>
    <w:rsid w:val="00CF3FD7"/>
    <w:rsid w:val="00CF4120"/>
    <w:rsid w:val="00CF4B5B"/>
    <w:rsid w:val="00CF4B65"/>
    <w:rsid w:val="00CF6F4B"/>
    <w:rsid w:val="00D0159B"/>
    <w:rsid w:val="00D01C78"/>
    <w:rsid w:val="00D02077"/>
    <w:rsid w:val="00D022C9"/>
    <w:rsid w:val="00D030C5"/>
    <w:rsid w:val="00D0351D"/>
    <w:rsid w:val="00D03869"/>
    <w:rsid w:val="00D04916"/>
    <w:rsid w:val="00D04D97"/>
    <w:rsid w:val="00D064B5"/>
    <w:rsid w:val="00D07D59"/>
    <w:rsid w:val="00D101E6"/>
    <w:rsid w:val="00D10438"/>
    <w:rsid w:val="00D117AB"/>
    <w:rsid w:val="00D1190A"/>
    <w:rsid w:val="00D11D46"/>
    <w:rsid w:val="00D12B80"/>
    <w:rsid w:val="00D13280"/>
    <w:rsid w:val="00D14A81"/>
    <w:rsid w:val="00D14EDB"/>
    <w:rsid w:val="00D15DEC"/>
    <w:rsid w:val="00D20DB8"/>
    <w:rsid w:val="00D23128"/>
    <w:rsid w:val="00D233D5"/>
    <w:rsid w:val="00D23DF9"/>
    <w:rsid w:val="00D24385"/>
    <w:rsid w:val="00D24DCF"/>
    <w:rsid w:val="00D25E5C"/>
    <w:rsid w:val="00D26EDD"/>
    <w:rsid w:val="00D27500"/>
    <w:rsid w:val="00D27F6F"/>
    <w:rsid w:val="00D30E58"/>
    <w:rsid w:val="00D31426"/>
    <w:rsid w:val="00D319DA"/>
    <w:rsid w:val="00D3371D"/>
    <w:rsid w:val="00D34350"/>
    <w:rsid w:val="00D3575B"/>
    <w:rsid w:val="00D378CA"/>
    <w:rsid w:val="00D41B8D"/>
    <w:rsid w:val="00D43F08"/>
    <w:rsid w:val="00D446C3"/>
    <w:rsid w:val="00D45710"/>
    <w:rsid w:val="00D463A9"/>
    <w:rsid w:val="00D46F41"/>
    <w:rsid w:val="00D50D6A"/>
    <w:rsid w:val="00D530C0"/>
    <w:rsid w:val="00D53114"/>
    <w:rsid w:val="00D5396E"/>
    <w:rsid w:val="00D54B88"/>
    <w:rsid w:val="00D55490"/>
    <w:rsid w:val="00D60727"/>
    <w:rsid w:val="00D60752"/>
    <w:rsid w:val="00D61B79"/>
    <w:rsid w:val="00D63901"/>
    <w:rsid w:val="00D63C56"/>
    <w:rsid w:val="00D64AEC"/>
    <w:rsid w:val="00D6721E"/>
    <w:rsid w:val="00D7162A"/>
    <w:rsid w:val="00D71A7C"/>
    <w:rsid w:val="00D72344"/>
    <w:rsid w:val="00D72FC3"/>
    <w:rsid w:val="00D73303"/>
    <w:rsid w:val="00D739CB"/>
    <w:rsid w:val="00D739CC"/>
    <w:rsid w:val="00D73C1A"/>
    <w:rsid w:val="00D7504D"/>
    <w:rsid w:val="00D758B8"/>
    <w:rsid w:val="00D76125"/>
    <w:rsid w:val="00D7651B"/>
    <w:rsid w:val="00D7760C"/>
    <w:rsid w:val="00D81DE9"/>
    <w:rsid w:val="00D82032"/>
    <w:rsid w:val="00D82664"/>
    <w:rsid w:val="00D83D4E"/>
    <w:rsid w:val="00D84354"/>
    <w:rsid w:val="00D84B19"/>
    <w:rsid w:val="00D85D9C"/>
    <w:rsid w:val="00D864C9"/>
    <w:rsid w:val="00D8712E"/>
    <w:rsid w:val="00D875AB"/>
    <w:rsid w:val="00D90102"/>
    <w:rsid w:val="00D91C1A"/>
    <w:rsid w:val="00D92CC1"/>
    <w:rsid w:val="00D92FE1"/>
    <w:rsid w:val="00D94424"/>
    <w:rsid w:val="00D94725"/>
    <w:rsid w:val="00D953AD"/>
    <w:rsid w:val="00D953EF"/>
    <w:rsid w:val="00D96D6D"/>
    <w:rsid w:val="00D9733F"/>
    <w:rsid w:val="00D9794D"/>
    <w:rsid w:val="00DA0438"/>
    <w:rsid w:val="00DA18AA"/>
    <w:rsid w:val="00DA2040"/>
    <w:rsid w:val="00DA31C8"/>
    <w:rsid w:val="00DA4F98"/>
    <w:rsid w:val="00DA52E9"/>
    <w:rsid w:val="00DA632A"/>
    <w:rsid w:val="00DA6A36"/>
    <w:rsid w:val="00DB05C7"/>
    <w:rsid w:val="00DB0620"/>
    <w:rsid w:val="00DB0EDB"/>
    <w:rsid w:val="00DB15B9"/>
    <w:rsid w:val="00DB18AB"/>
    <w:rsid w:val="00DB230B"/>
    <w:rsid w:val="00DB2AE1"/>
    <w:rsid w:val="00DB2C83"/>
    <w:rsid w:val="00DB36E0"/>
    <w:rsid w:val="00DB3E2B"/>
    <w:rsid w:val="00DB4967"/>
    <w:rsid w:val="00DB519D"/>
    <w:rsid w:val="00DB541D"/>
    <w:rsid w:val="00DB58D7"/>
    <w:rsid w:val="00DB5F7E"/>
    <w:rsid w:val="00DB5FFA"/>
    <w:rsid w:val="00DB6553"/>
    <w:rsid w:val="00DB6F0B"/>
    <w:rsid w:val="00DB780B"/>
    <w:rsid w:val="00DC135C"/>
    <w:rsid w:val="00DC2471"/>
    <w:rsid w:val="00DC279C"/>
    <w:rsid w:val="00DC3467"/>
    <w:rsid w:val="00DC38A1"/>
    <w:rsid w:val="00DC5624"/>
    <w:rsid w:val="00DC6AA9"/>
    <w:rsid w:val="00DC7071"/>
    <w:rsid w:val="00DD0256"/>
    <w:rsid w:val="00DD0CB2"/>
    <w:rsid w:val="00DD0D86"/>
    <w:rsid w:val="00DD197B"/>
    <w:rsid w:val="00DD27DE"/>
    <w:rsid w:val="00DD544C"/>
    <w:rsid w:val="00DD735B"/>
    <w:rsid w:val="00DD743E"/>
    <w:rsid w:val="00DE0121"/>
    <w:rsid w:val="00DE030D"/>
    <w:rsid w:val="00DE0D55"/>
    <w:rsid w:val="00DE17DF"/>
    <w:rsid w:val="00DE1819"/>
    <w:rsid w:val="00DE1846"/>
    <w:rsid w:val="00DE229F"/>
    <w:rsid w:val="00DE2631"/>
    <w:rsid w:val="00DE2ACD"/>
    <w:rsid w:val="00DE2EDA"/>
    <w:rsid w:val="00DE3272"/>
    <w:rsid w:val="00DE373A"/>
    <w:rsid w:val="00DE3B28"/>
    <w:rsid w:val="00DE3E37"/>
    <w:rsid w:val="00DE3F91"/>
    <w:rsid w:val="00DE468A"/>
    <w:rsid w:val="00DE510F"/>
    <w:rsid w:val="00DE6086"/>
    <w:rsid w:val="00DF02E1"/>
    <w:rsid w:val="00DF0DF2"/>
    <w:rsid w:val="00DF1465"/>
    <w:rsid w:val="00DF419C"/>
    <w:rsid w:val="00DF4494"/>
    <w:rsid w:val="00DF4920"/>
    <w:rsid w:val="00DF535A"/>
    <w:rsid w:val="00DF5639"/>
    <w:rsid w:val="00DF59EE"/>
    <w:rsid w:val="00DF635B"/>
    <w:rsid w:val="00DF63EC"/>
    <w:rsid w:val="00DF64FF"/>
    <w:rsid w:val="00DF7684"/>
    <w:rsid w:val="00E00108"/>
    <w:rsid w:val="00E01C78"/>
    <w:rsid w:val="00E02E94"/>
    <w:rsid w:val="00E04490"/>
    <w:rsid w:val="00E04EC3"/>
    <w:rsid w:val="00E059CA"/>
    <w:rsid w:val="00E06090"/>
    <w:rsid w:val="00E06F62"/>
    <w:rsid w:val="00E121C8"/>
    <w:rsid w:val="00E13481"/>
    <w:rsid w:val="00E13766"/>
    <w:rsid w:val="00E13C46"/>
    <w:rsid w:val="00E2131C"/>
    <w:rsid w:val="00E23CDE"/>
    <w:rsid w:val="00E2744D"/>
    <w:rsid w:val="00E2787B"/>
    <w:rsid w:val="00E27F0E"/>
    <w:rsid w:val="00E3021C"/>
    <w:rsid w:val="00E30F75"/>
    <w:rsid w:val="00E3265B"/>
    <w:rsid w:val="00E3286E"/>
    <w:rsid w:val="00E32A77"/>
    <w:rsid w:val="00E32BC8"/>
    <w:rsid w:val="00E33A4E"/>
    <w:rsid w:val="00E33A94"/>
    <w:rsid w:val="00E345C3"/>
    <w:rsid w:val="00E34824"/>
    <w:rsid w:val="00E36017"/>
    <w:rsid w:val="00E36418"/>
    <w:rsid w:val="00E3662F"/>
    <w:rsid w:val="00E41EF9"/>
    <w:rsid w:val="00E426A9"/>
    <w:rsid w:val="00E427AA"/>
    <w:rsid w:val="00E43520"/>
    <w:rsid w:val="00E4364C"/>
    <w:rsid w:val="00E4399D"/>
    <w:rsid w:val="00E43AB8"/>
    <w:rsid w:val="00E43EC8"/>
    <w:rsid w:val="00E451C5"/>
    <w:rsid w:val="00E47C46"/>
    <w:rsid w:val="00E5360B"/>
    <w:rsid w:val="00E536C0"/>
    <w:rsid w:val="00E54606"/>
    <w:rsid w:val="00E55EA8"/>
    <w:rsid w:val="00E5610E"/>
    <w:rsid w:val="00E56806"/>
    <w:rsid w:val="00E57983"/>
    <w:rsid w:val="00E608A7"/>
    <w:rsid w:val="00E60A44"/>
    <w:rsid w:val="00E60AA2"/>
    <w:rsid w:val="00E60E63"/>
    <w:rsid w:val="00E6181C"/>
    <w:rsid w:val="00E618CB"/>
    <w:rsid w:val="00E61D70"/>
    <w:rsid w:val="00E62539"/>
    <w:rsid w:val="00E63022"/>
    <w:rsid w:val="00E6347E"/>
    <w:rsid w:val="00E63A5A"/>
    <w:rsid w:val="00E64107"/>
    <w:rsid w:val="00E64506"/>
    <w:rsid w:val="00E645B3"/>
    <w:rsid w:val="00E66159"/>
    <w:rsid w:val="00E66339"/>
    <w:rsid w:val="00E70138"/>
    <w:rsid w:val="00E70422"/>
    <w:rsid w:val="00E70808"/>
    <w:rsid w:val="00E70965"/>
    <w:rsid w:val="00E70B2E"/>
    <w:rsid w:val="00E7103C"/>
    <w:rsid w:val="00E716F7"/>
    <w:rsid w:val="00E722A4"/>
    <w:rsid w:val="00E7274C"/>
    <w:rsid w:val="00E73516"/>
    <w:rsid w:val="00E7445E"/>
    <w:rsid w:val="00E74E63"/>
    <w:rsid w:val="00E7614D"/>
    <w:rsid w:val="00E7704E"/>
    <w:rsid w:val="00E77727"/>
    <w:rsid w:val="00E80D80"/>
    <w:rsid w:val="00E82621"/>
    <w:rsid w:val="00E82E43"/>
    <w:rsid w:val="00E83060"/>
    <w:rsid w:val="00E836F2"/>
    <w:rsid w:val="00E8435F"/>
    <w:rsid w:val="00E84889"/>
    <w:rsid w:val="00E85E0A"/>
    <w:rsid w:val="00E86889"/>
    <w:rsid w:val="00E869C2"/>
    <w:rsid w:val="00E8743C"/>
    <w:rsid w:val="00E87808"/>
    <w:rsid w:val="00E90271"/>
    <w:rsid w:val="00E903EB"/>
    <w:rsid w:val="00E9072B"/>
    <w:rsid w:val="00E90B0E"/>
    <w:rsid w:val="00E915CD"/>
    <w:rsid w:val="00E918C2"/>
    <w:rsid w:val="00E91FA2"/>
    <w:rsid w:val="00E926B4"/>
    <w:rsid w:val="00E93BC8"/>
    <w:rsid w:val="00E95CC1"/>
    <w:rsid w:val="00E962E7"/>
    <w:rsid w:val="00E97B3A"/>
    <w:rsid w:val="00EA055F"/>
    <w:rsid w:val="00EA0B1C"/>
    <w:rsid w:val="00EA2C46"/>
    <w:rsid w:val="00EA4EA8"/>
    <w:rsid w:val="00EA5B2A"/>
    <w:rsid w:val="00EA6375"/>
    <w:rsid w:val="00EA76F7"/>
    <w:rsid w:val="00EA7D3B"/>
    <w:rsid w:val="00EB16DA"/>
    <w:rsid w:val="00EB1F07"/>
    <w:rsid w:val="00EB331C"/>
    <w:rsid w:val="00EB3772"/>
    <w:rsid w:val="00EB5580"/>
    <w:rsid w:val="00EB55AA"/>
    <w:rsid w:val="00EB5E1B"/>
    <w:rsid w:val="00EB5EFB"/>
    <w:rsid w:val="00EB64A5"/>
    <w:rsid w:val="00EB6684"/>
    <w:rsid w:val="00EB70BD"/>
    <w:rsid w:val="00EB7C30"/>
    <w:rsid w:val="00EB7D16"/>
    <w:rsid w:val="00EC0F35"/>
    <w:rsid w:val="00EC17C1"/>
    <w:rsid w:val="00EC349D"/>
    <w:rsid w:val="00EC44FA"/>
    <w:rsid w:val="00EC4862"/>
    <w:rsid w:val="00EC4AAD"/>
    <w:rsid w:val="00EC4F53"/>
    <w:rsid w:val="00EC556D"/>
    <w:rsid w:val="00EC795D"/>
    <w:rsid w:val="00ED1808"/>
    <w:rsid w:val="00ED35E3"/>
    <w:rsid w:val="00ED3687"/>
    <w:rsid w:val="00ED4226"/>
    <w:rsid w:val="00ED4533"/>
    <w:rsid w:val="00ED4B83"/>
    <w:rsid w:val="00ED5AC0"/>
    <w:rsid w:val="00ED5C8A"/>
    <w:rsid w:val="00ED6DB1"/>
    <w:rsid w:val="00ED7800"/>
    <w:rsid w:val="00EE0F57"/>
    <w:rsid w:val="00EE2831"/>
    <w:rsid w:val="00EE347E"/>
    <w:rsid w:val="00EE350C"/>
    <w:rsid w:val="00EE373A"/>
    <w:rsid w:val="00EE5790"/>
    <w:rsid w:val="00EE5D77"/>
    <w:rsid w:val="00EF0254"/>
    <w:rsid w:val="00EF086B"/>
    <w:rsid w:val="00EF1B5E"/>
    <w:rsid w:val="00EF2513"/>
    <w:rsid w:val="00EF274E"/>
    <w:rsid w:val="00EF5961"/>
    <w:rsid w:val="00EF5B6A"/>
    <w:rsid w:val="00EF5FCF"/>
    <w:rsid w:val="00EF6372"/>
    <w:rsid w:val="00EF638E"/>
    <w:rsid w:val="00EF6937"/>
    <w:rsid w:val="00EF70C2"/>
    <w:rsid w:val="00F00BB6"/>
    <w:rsid w:val="00F0147D"/>
    <w:rsid w:val="00F01F36"/>
    <w:rsid w:val="00F032FD"/>
    <w:rsid w:val="00F0435C"/>
    <w:rsid w:val="00F04732"/>
    <w:rsid w:val="00F04D3D"/>
    <w:rsid w:val="00F04EB1"/>
    <w:rsid w:val="00F064F9"/>
    <w:rsid w:val="00F06C20"/>
    <w:rsid w:val="00F06EAA"/>
    <w:rsid w:val="00F07767"/>
    <w:rsid w:val="00F1053F"/>
    <w:rsid w:val="00F10AC9"/>
    <w:rsid w:val="00F12203"/>
    <w:rsid w:val="00F12E1D"/>
    <w:rsid w:val="00F15416"/>
    <w:rsid w:val="00F1589D"/>
    <w:rsid w:val="00F16FF0"/>
    <w:rsid w:val="00F2063F"/>
    <w:rsid w:val="00F2256A"/>
    <w:rsid w:val="00F23929"/>
    <w:rsid w:val="00F25464"/>
    <w:rsid w:val="00F25B33"/>
    <w:rsid w:val="00F26375"/>
    <w:rsid w:val="00F2745A"/>
    <w:rsid w:val="00F27A36"/>
    <w:rsid w:val="00F3028B"/>
    <w:rsid w:val="00F310DA"/>
    <w:rsid w:val="00F3275E"/>
    <w:rsid w:val="00F32BE3"/>
    <w:rsid w:val="00F3435F"/>
    <w:rsid w:val="00F34A04"/>
    <w:rsid w:val="00F35237"/>
    <w:rsid w:val="00F362E6"/>
    <w:rsid w:val="00F368F9"/>
    <w:rsid w:val="00F3720F"/>
    <w:rsid w:val="00F3788B"/>
    <w:rsid w:val="00F40D40"/>
    <w:rsid w:val="00F422B5"/>
    <w:rsid w:val="00F4270D"/>
    <w:rsid w:val="00F44B67"/>
    <w:rsid w:val="00F4579C"/>
    <w:rsid w:val="00F46B3D"/>
    <w:rsid w:val="00F46F62"/>
    <w:rsid w:val="00F4725A"/>
    <w:rsid w:val="00F47E07"/>
    <w:rsid w:val="00F507D3"/>
    <w:rsid w:val="00F521CB"/>
    <w:rsid w:val="00F52D62"/>
    <w:rsid w:val="00F5319A"/>
    <w:rsid w:val="00F54473"/>
    <w:rsid w:val="00F5464C"/>
    <w:rsid w:val="00F55271"/>
    <w:rsid w:val="00F55C77"/>
    <w:rsid w:val="00F56210"/>
    <w:rsid w:val="00F5628A"/>
    <w:rsid w:val="00F567D6"/>
    <w:rsid w:val="00F569F4"/>
    <w:rsid w:val="00F5788E"/>
    <w:rsid w:val="00F60EC7"/>
    <w:rsid w:val="00F61CDD"/>
    <w:rsid w:val="00F62D4C"/>
    <w:rsid w:val="00F6677E"/>
    <w:rsid w:val="00F66AE2"/>
    <w:rsid w:val="00F66C8B"/>
    <w:rsid w:val="00F66FC8"/>
    <w:rsid w:val="00F66FCB"/>
    <w:rsid w:val="00F671C0"/>
    <w:rsid w:val="00F7010F"/>
    <w:rsid w:val="00F70718"/>
    <w:rsid w:val="00F70905"/>
    <w:rsid w:val="00F70971"/>
    <w:rsid w:val="00F709DC"/>
    <w:rsid w:val="00F71288"/>
    <w:rsid w:val="00F71BE9"/>
    <w:rsid w:val="00F72261"/>
    <w:rsid w:val="00F72B0E"/>
    <w:rsid w:val="00F73663"/>
    <w:rsid w:val="00F741EF"/>
    <w:rsid w:val="00F74FE2"/>
    <w:rsid w:val="00F80510"/>
    <w:rsid w:val="00F83DD7"/>
    <w:rsid w:val="00F83E3A"/>
    <w:rsid w:val="00F84319"/>
    <w:rsid w:val="00F8489D"/>
    <w:rsid w:val="00F860AA"/>
    <w:rsid w:val="00F86A2F"/>
    <w:rsid w:val="00F86A60"/>
    <w:rsid w:val="00F86F2E"/>
    <w:rsid w:val="00F870A2"/>
    <w:rsid w:val="00F8755B"/>
    <w:rsid w:val="00F8791C"/>
    <w:rsid w:val="00F87B29"/>
    <w:rsid w:val="00F9182F"/>
    <w:rsid w:val="00F92CB9"/>
    <w:rsid w:val="00F92F34"/>
    <w:rsid w:val="00F9369E"/>
    <w:rsid w:val="00F944D2"/>
    <w:rsid w:val="00F95685"/>
    <w:rsid w:val="00F95942"/>
    <w:rsid w:val="00FA0631"/>
    <w:rsid w:val="00FA077A"/>
    <w:rsid w:val="00FA19A7"/>
    <w:rsid w:val="00FA20A4"/>
    <w:rsid w:val="00FA53FB"/>
    <w:rsid w:val="00FA58C9"/>
    <w:rsid w:val="00FB06EE"/>
    <w:rsid w:val="00FB109F"/>
    <w:rsid w:val="00FB112F"/>
    <w:rsid w:val="00FB137F"/>
    <w:rsid w:val="00FB208C"/>
    <w:rsid w:val="00FB2D3D"/>
    <w:rsid w:val="00FB3202"/>
    <w:rsid w:val="00FB457C"/>
    <w:rsid w:val="00FB4E78"/>
    <w:rsid w:val="00FB5C97"/>
    <w:rsid w:val="00FB6FD8"/>
    <w:rsid w:val="00FB7DE7"/>
    <w:rsid w:val="00FC1546"/>
    <w:rsid w:val="00FC1AD3"/>
    <w:rsid w:val="00FC29E0"/>
    <w:rsid w:val="00FC2E25"/>
    <w:rsid w:val="00FC352C"/>
    <w:rsid w:val="00FC3CD4"/>
    <w:rsid w:val="00FC4F84"/>
    <w:rsid w:val="00FC60E6"/>
    <w:rsid w:val="00FC6215"/>
    <w:rsid w:val="00FC66DD"/>
    <w:rsid w:val="00FC6AD5"/>
    <w:rsid w:val="00FC6B0A"/>
    <w:rsid w:val="00FD0AD8"/>
    <w:rsid w:val="00FD1799"/>
    <w:rsid w:val="00FD1B61"/>
    <w:rsid w:val="00FD2308"/>
    <w:rsid w:val="00FD3104"/>
    <w:rsid w:val="00FD3D8E"/>
    <w:rsid w:val="00FD52ED"/>
    <w:rsid w:val="00FD7345"/>
    <w:rsid w:val="00FE00F1"/>
    <w:rsid w:val="00FE0879"/>
    <w:rsid w:val="00FE17A9"/>
    <w:rsid w:val="00FE1D6C"/>
    <w:rsid w:val="00FE2E4C"/>
    <w:rsid w:val="00FE5D34"/>
    <w:rsid w:val="00FE6B17"/>
    <w:rsid w:val="00FF044F"/>
    <w:rsid w:val="00FF1128"/>
    <w:rsid w:val="00FF12AF"/>
    <w:rsid w:val="00FF16B2"/>
    <w:rsid w:val="00FF1A8E"/>
    <w:rsid w:val="00FF22F2"/>
    <w:rsid w:val="00FF4307"/>
    <w:rsid w:val="00FF48F9"/>
    <w:rsid w:val="00FF497E"/>
    <w:rsid w:val="00FF55C1"/>
    <w:rsid w:val="00FF5795"/>
    <w:rsid w:val="00FF66CF"/>
    <w:rsid w:val="00FF7486"/>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9A961"/>
  <w15:chartTrackingRefBased/>
  <w15:docId w15:val="{590EBC9B-ABE1-4224-811E-A275EF5A0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BD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AAA"/>
    <w:pPr>
      <w:ind w:left="720"/>
      <w:contextualSpacing/>
    </w:pPr>
  </w:style>
  <w:style w:type="character" w:styleId="Hyperlink">
    <w:name w:val="Hyperlink"/>
    <w:basedOn w:val="DefaultParagraphFont"/>
    <w:uiPriority w:val="99"/>
    <w:unhideWhenUsed/>
    <w:rsid w:val="00046AAA"/>
    <w:rPr>
      <w:color w:val="0563C1" w:themeColor="hyperlink"/>
      <w:u w:val="single"/>
    </w:rPr>
  </w:style>
  <w:style w:type="character" w:styleId="UnresolvedMention">
    <w:name w:val="Unresolved Mention"/>
    <w:basedOn w:val="DefaultParagraphFont"/>
    <w:uiPriority w:val="99"/>
    <w:semiHidden/>
    <w:unhideWhenUsed/>
    <w:rsid w:val="00F92F34"/>
    <w:rPr>
      <w:color w:val="605E5C"/>
      <w:shd w:val="clear" w:color="auto" w:fill="E1DFDD"/>
    </w:rPr>
  </w:style>
  <w:style w:type="character" w:styleId="CommentReference">
    <w:name w:val="annotation reference"/>
    <w:basedOn w:val="DefaultParagraphFont"/>
    <w:uiPriority w:val="99"/>
    <w:semiHidden/>
    <w:unhideWhenUsed/>
    <w:rsid w:val="00BB5AD7"/>
    <w:rPr>
      <w:sz w:val="16"/>
      <w:szCs w:val="16"/>
    </w:rPr>
  </w:style>
  <w:style w:type="paragraph" w:styleId="CommentText">
    <w:name w:val="annotation text"/>
    <w:basedOn w:val="Normal"/>
    <w:link w:val="CommentTextChar"/>
    <w:uiPriority w:val="99"/>
    <w:unhideWhenUsed/>
    <w:rsid w:val="00BB5AD7"/>
    <w:pPr>
      <w:spacing w:line="240" w:lineRule="auto"/>
    </w:pPr>
    <w:rPr>
      <w:sz w:val="20"/>
      <w:szCs w:val="20"/>
    </w:rPr>
  </w:style>
  <w:style w:type="character" w:customStyle="1" w:styleId="CommentTextChar">
    <w:name w:val="Comment Text Char"/>
    <w:basedOn w:val="DefaultParagraphFont"/>
    <w:link w:val="CommentText"/>
    <w:uiPriority w:val="99"/>
    <w:rsid w:val="00BB5AD7"/>
    <w:rPr>
      <w:sz w:val="20"/>
      <w:szCs w:val="20"/>
    </w:rPr>
  </w:style>
  <w:style w:type="paragraph" w:styleId="CommentSubject">
    <w:name w:val="annotation subject"/>
    <w:basedOn w:val="CommentText"/>
    <w:next w:val="CommentText"/>
    <w:link w:val="CommentSubjectChar"/>
    <w:uiPriority w:val="99"/>
    <w:semiHidden/>
    <w:unhideWhenUsed/>
    <w:rsid w:val="00BB5AD7"/>
    <w:rPr>
      <w:b/>
      <w:bCs/>
    </w:rPr>
  </w:style>
  <w:style w:type="character" w:customStyle="1" w:styleId="CommentSubjectChar">
    <w:name w:val="Comment Subject Char"/>
    <w:basedOn w:val="CommentTextChar"/>
    <w:link w:val="CommentSubject"/>
    <w:uiPriority w:val="99"/>
    <w:semiHidden/>
    <w:rsid w:val="00BB5AD7"/>
    <w:rPr>
      <w:b/>
      <w:bCs/>
      <w:sz w:val="20"/>
      <w:szCs w:val="20"/>
    </w:rPr>
  </w:style>
  <w:style w:type="paragraph" w:styleId="NoSpacing">
    <w:name w:val="No Spacing"/>
    <w:uiPriority w:val="1"/>
    <w:qFormat/>
    <w:rsid w:val="00C07F50"/>
    <w:pPr>
      <w:spacing w:after="0" w:line="240" w:lineRule="auto"/>
    </w:pPr>
  </w:style>
  <w:style w:type="paragraph" w:styleId="NormalWeb">
    <w:name w:val="Normal (Web)"/>
    <w:basedOn w:val="Normal"/>
    <w:uiPriority w:val="99"/>
    <w:semiHidden/>
    <w:unhideWhenUsed/>
    <w:rsid w:val="002E5B97"/>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6B1CC6"/>
  </w:style>
  <w:style w:type="paragraph" w:styleId="Header">
    <w:name w:val="header"/>
    <w:basedOn w:val="Normal"/>
    <w:link w:val="HeaderChar"/>
    <w:uiPriority w:val="99"/>
    <w:unhideWhenUsed/>
    <w:rsid w:val="006B1C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CC6"/>
  </w:style>
  <w:style w:type="paragraph" w:styleId="Footer">
    <w:name w:val="footer"/>
    <w:basedOn w:val="Normal"/>
    <w:link w:val="FooterChar"/>
    <w:uiPriority w:val="99"/>
    <w:unhideWhenUsed/>
    <w:rsid w:val="006B1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CC6"/>
  </w:style>
  <w:style w:type="character" w:styleId="Strong">
    <w:name w:val="Strong"/>
    <w:basedOn w:val="DefaultParagraphFont"/>
    <w:uiPriority w:val="22"/>
    <w:qFormat/>
    <w:rsid w:val="001D3046"/>
    <w:rPr>
      <w:b/>
      <w:bCs/>
    </w:rPr>
  </w:style>
  <w:style w:type="paragraph" w:styleId="Bibliography">
    <w:name w:val="Bibliography"/>
    <w:basedOn w:val="Normal"/>
    <w:next w:val="Normal"/>
    <w:uiPriority w:val="37"/>
    <w:unhideWhenUsed/>
    <w:rsid w:val="009604F0"/>
    <w:pPr>
      <w:spacing w:after="240" w:line="240" w:lineRule="auto"/>
      <w:ind w:left="720" w:hanging="720"/>
    </w:pPr>
  </w:style>
  <w:style w:type="paragraph" w:customStyle="1" w:styleId="Default">
    <w:name w:val="Default"/>
    <w:rsid w:val="00B5401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FF7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B32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76041">
      <w:bodyDiv w:val="1"/>
      <w:marLeft w:val="0"/>
      <w:marRight w:val="0"/>
      <w:marTop w:val="0"/>
      <w:marBottom w:val="0"/>
      <w:divBdr>
        <w:top w:val="none" w:sz="0" w:space="0" w:color="auto"/>
        <w:left w:val="none" w:sz="0" w:space="0" w:color="auto"/>
        <w:bottom w:val="none" w:sz="0" w:space="0" w:color="auto"/>
        <w:right w:val="none" w:sz="0" w:space="0" w:color="auto"/>
      </w:divBdr>
    </w:div>
    <w:div w:id="93786230">
      <w:bodyDiv w:val="1"/>
      <w:marLeft w:val="0"/>
      <w:marRight w:val="0"/>
      <w:marTop w:val="0"/>
      <w:marBottom w:val="0"/>
      <w:divBdr>
        <w:top w:val="none" w:sz="0" w:space="0" w:color="auto"/>
        <w:left w:val="none" w:sz="0" w:space="0" w:color="auto"/>
        <w:bottom w:val="none" w:sz="0" w:space="0" w:color="auto"/>
        <w:right w:val="none" w:sz="0" w:space="0" w:color="auto"/>
      </w:divBdr>
    </w:div>
    <w:div w:id="133331545">
      <w:bodyDiv w:val="1"/>
      <w:marLeft w:val="0"/>
      <w:marRight w:val="0"/>
      <w:marTop w:val="0"/>
      <w:marBottom w:val="0"/>
      <w:divBdr>
        <w:top w:val="none" w:sz="0" w:space="0" w:color="auto"/>
        <w:left w:val="none" w:sz="0" w:space="0" w:color="auto"/>
        <w:bottom w:val="none" w:sz="0" w:space="0" w:color="auto"/>
        <w:right w:val="none" w:sz="0" w:space="0" w:color="auto"/>
      </w:divBdr>
    </w:div>
    <w:div w:id="150485886">
      <w:bodyDiv w:val="1"/>
      <w:marLeft w:val="0"/>
      <w:marRight w:val="0"/>
      <w:marTop w:val="0"/>
      <w:marBottom w:val="0"/>
      <w:divBdr>
        <w:top w:val="none" w:sz="0" w:space="0" w:color="auto"/>
        <w:left w:val="none" w:sz="0" w:space="0" w:color="auto"/>
        <w:bottom w:val="none" w:sz="0" w:space="0" w:color="auto"/>
        <w:right w:val="none" w:sz="0" w:space="0" w:color="auto"/>
      </w:divBdr>
    </w:div>
    <w:div w:id="202911663">
      <w:bodyDiv w:val="1"/>
      <w:marLeft w:val="0"/>
      <w:marRight w:val="0"/>
      <w:marTop w:val="0"/>
      <w:marBottom w:val="0"/>
      <w:divBdr>
        <w:top w:val="none" w:sz="0" w:space="0" w:color="auto"/>
        <w:left w:val="none" w:sz="0" w:space="0" w:color="auto"/>
        <w:bottom w:val="none" w:sz="0" w:space="0" w:color="auto"/>
        <w:right w:val="none" w:sz="0" w:space="0" w:color="auto"/>
      </w:divBdr>
    </w:div>
    <w:div w:id="227620777">
      <w:bodyDiv w:val="1"/>
      <w:marLeft w:val="0"/>
      <w:marRight w:val="0"/>
      <w:marTop w:val="0"/>
      <w:marBottom w:val="0"/>
      <w:divBdr>
        <w:top w:val="none" w:sz="0" w:space="0" w:color="auto"/>
        <w:left w:val="none" w:sz="0" w:space="0" w:color="auto"/>
        <w:bottom w:val="none" w:sz="0" w:space="0" w:color="auto"/>
        <w:right w:val="none" w:sz="0" w:space="0" w:color="auto"/>
      </w:divBdr>
    </w:div>
    <w:div w:id="237522055">
      <w:bodyDiv w:val="1"/>
      <w:marLeft w:val="0"/>
      <w:marRight w:val="0"/>
      <w:marTop w:val="0"/>
      <w:marBottom w:val="0"/>
      <w:divBdr>
        <w:top w:val="none" w:sz="0" w:space="0" w:color="auto"/>
        <w:left w:val="none" w:sz="0" w:space="0" w:color="auto"/>
        <w:bottom w:val="none" w:sz="0" w:space="0" w:color="auto"/>
        <w:right w:val="none" w:sz="0" w:space="0" w:color="auto"/>
      </w:divBdr>
    </w:div>
    <w:div w:id="251088285">
      <w:bodyDiv w:val="1"/>
      <w:marLeft w:val="0"/>
      <w:marRight w:val="0"/>
      <w:marTop w:val="0"/>
      <w:marBottom w:val="0"/>
      <w:divBdr>
        <w:top w:val="none" w:sz="0" w:space="0" w:color="auto"/>
        <w:left w:val="none" w:sz="0" w:space="0" w:color="auto"/>
        <w:bottom w:val="none" w:sz="0" w:space="0" w:color="auto"/>
        <w:right w:val="none" w:sz="0" w:space="0" w:color="auto"/>
      </w:divBdr>
    </w:div>
    <w:div w:id="316619222">
      <w:bodyDiv w:val="1"/>
      <w:marLeft w:val="0"/>
      <w:marRight w:val="0"/>
      <w:marTop w:val="0"/>
      <w:marBottom w:val="0"/>
      <w:divBdr>
        <w:top w:val="none" w:sz="0" w:space="0" w:color="auto"/>
        <w:left w:val="none" w:sz="0" w:space="0" w:color="auto"/>
        <w:bottom w:val="none" w:sz="0" w:space="0" w:color="auto"/>
        <w:right w:val="none" w:sz="0" w:space="0" w:color="auto"/>
      </w:divBdr>
      <w:divsChild>
        <w:div w:id="74085743">
          <w:marLeft w:val="907"/>
          <w:marRight w:val="0"/>
          <w:marTop w:val="0"/>
          <w:marBottom w:val="0"/>
          <w:divBdr>
            <w:top w:val="none" w:sz="0" w:space="0" w:color="auto"/>
            <w:left w:val="none" w:sz="0" w:space="0" w:color="auto"/>
            <w:bottom w:val="none" w:sz="0" w:space="0" w:color="auto"/>
            <w:right w:val="none" w:sz="0" w:space="0" w:color="auto"/>
          </w:divBdr>
        </w:div>
        <w:div w:id="70322421">
          <w:marLeft w:val="907"/>
          <w:marRight w:val="0"/>
          <w:marTop w:val="0"/>
          <w:marBottom w:val="0"/>
          <w:divBdr>
            <w:top w:val="none" w:sz="0" w:space="0" w:color="auto"/>
            <w:left w:val="none" w:sz="0" w:space="0" w:color="auto"/>
            <w:bottom w:val="none" w:sz="0" w:space="0" w:color="auto"/>
            <w:right w:val="none" w:sz="0" w:space="0" w:color="auto"/>
          </w:divBdr>
        </w:div>
        <w:div w:id="1143960266">
          <w:marLeft w:val="907"/>
          <w:marRight w:val="0"/>
          <w:marTop w:val="0"/>
          <w:marBottom w:val="0"/>
          <w:divBdr>
            <w:top w:val="none" w:sz="0" w:space="0" w:color="auto"/>
            <w:left w:val="none" w:sz="0" w:space="0" w:color="auto"/>
            <w:bottom w:val="none" w:sz="0" w:space="0" w:color="auto"/>
            <w:right w:val="none" w:sz="0" w:space="0" w:color="auto"/>
          </w:divBdr>
        </w:div>
        <w:div w:id="1612009671">
          <w:marLeft w:val="907"/>
          <w:marRight w:val="0"/>
          <w:marTop w:val="0"/>
          <w:marBottom w:val="0"/>
          <w:divBdr>
            <w:top w:val="none" w:sz="0" w:space="0" w:color="auto"/>
            <w:left w:val="none" w:sz="0" w:space="0" w:color="auto"/>
            <w:bottom w:val="none" w:sz="0" w:space="0" w:color="auto"/>
            <w:right w:val="none" w:sz="0" w:space="0" w:color="auto"/>
          </w:divBdr>
        </w:div>
      </w:divsChild>
    </w:div>
    <w:div w:id="320424458">
      <w:bodyDiv w:val="1"/>
      <w:marLeft w:val="0"/>
      <w:marRight w:val="0"/>
      <w:marTop w:val="0"/>
      <w:marBottom w:val="0"/>
      <w:divBdr>
        <w:top w:val="none" w:sz="0" w:space="0" w:color="auto"/>
        <w:left w:val="none" w:sz="0" w:space="0" w:color="auto"/>
        <w:bottom w:val="none" w:sz="0" w:space="0" w:color="auto"/>
        <w:right w:val="none" w:sz="0" w:space="0" w:color="auto"/>
      </w:divBdr>
    </w:div>
    <w:div w:id="332492296">
      <w:bodyDiv w:val="1"/>
      <w:marLeft w:val="0"/>
      <w:marRight w:val="0"/>
      <w:marTop w:val="0"/>
      <w:marBottom w:val="0"/>
      <w:divBdr>
        <w:top w:val="none" w:sz="0" w:space="0" w:color="auto"/>
        <w:left w:val="none" w:sz="0" w:space="0" w:color="auto"/>
        <w:bottom w:val="none" w:sz="0" w:space="0" w:color="auto"/>
        <w:right w:val="none" w:sz="0" w:space="0" w:color="auto"/>
      </w:divBdr>
    </w:div>
    <w:div w:id="345835831">
      <w:bodyDiv w:val="1"/>
      <w:marLeft w:val="0"/>
      <w:marRight w:val="0"/>
      <w:marTop w:val="0"/>
      <w:marBottom w:val="0"/>
      <w:divBdr>
        <w:top w:val="none" w:sz="0" w:space="0" w:color="auto"/>
        <w:left w:val="none" w:sz="0" w:space="0" w:color="auto"/>
        <w:bottom w:val="none" w:sz="0" w:space="0" w:color="auto"/>
        <w:right w:val="none" w:sz="0" w:space="0" w:color="auto"/>
      </w:divBdr>
    </w:div>
    <w:div w:id="351031429">
      <w:bodyDiv w:val="1"/>
      <w:marLeft w:val="0"/>
      <w:marRight w:val="0"/>
      <w:marTop w:val="0"/>
      <w:marBottom w:val="0"/>
      <w:divBdr>
        <w:top w:val="none" w:sz="0" w:space="0" w:color="auto"/>
        <w:left w:val="none" w:sz="0" w:space="0" w:color="auto"/>
        <w:bottom w:val="none" w:sz="0" w:space="0" w:color="auto"/>
        <w:right w:val="none" w:sz="0" w:space="0" w:color="auto"/>
      </w:divBdr>
      <w:divsChild>
        <w:div w:id="2013216678">
          <w:marLeft w:val="1800"/>
          <w:marRight w:val="0"/>
          <w:marTop w:val="29"/>
          <w:marBottom w:val="0"/>
          <w:divBdr>
            <w:top w:val="none" w:sz="0" w:space="0" w:color="auto"/>
            <w:left w:val="none" w:sz="0" w:space="0" w:color="auto"/>
            <w:bottom w:val="none" w:sz="0" w:space="0" w:color="auto"/>
            <w:right w:val="none" w:sz="0" w:space="0" w:color="auto"/>
          </w:divBdr>
        </w:div>
        <w:div w:id="1936088125">
          <w:marLeft w:val="2520"/>
          <w:marRight w:val="0"/>
          <w:marTop w:val="29"/>
          <w:marBottom w:val="0"/>
          <w:divBdr>
            <w:top w:val="none" w:sz="0" w:space="0" w:color="auto"/>
            <w:left w:val="none" w:sz="0" w:space="0" w:color="auto"/>
            <w:bottom w:val="none" w:sz="0" w:space="0" w:color="auto"/>
            <w:right w:val="none" w:sz="0" w:space="0" w:color="auto"/>
          </w:divBdr>
        </w:div>
        <w:div w:id="1570114314">
          <w:marLeft w:val="2520"/>
          <w:marRight w:val="0"/>
          <w:marTop w:val="29"/>
          <w:marBottom w:val="0"/>
          <w:divBdr>
            <w:top w:val="none" w:sz="0" w:space="0" w:color="auto"/>
            <w:left w:val="none" w:sz="0" w:space="0" w:color="auto"/>
            <w:bottom w:val="none" w:sz="0" w:space="0" w:color="auto"/>
            <w:right w:val="none" w:sz="0" w:space="0" w:color="auto"/>
          </w:divBdr>
        </w:div>
      </w:divsChild>
    </w:div>
    <w:div w:id="365179562">
      <w:bodyDiv w:val="1"/>
      <w:marLeft w:val="0"/>
      <w:marRight w:val="0"/>
      <w:marTop w:val="0"/>
      <w:marBottom w:val="0"/>
      <w:divBdr>
        <w:top w:val="none" w:sz="0" w:space="0" w:color="auto"/>
        <w:left w:val="none" w:sz="0" w:space="0" w:color="auto"/>
        <w:bottom w:val="none" w:sz="0" w:space="0" w:color="auto"/>
        <w:right w:val="none" w:sz="0" w:space="0" w:color="auto"/>
      </w:divBdr>
      <w:divsChild>
        <w:div w:id="274604894">
          <w:marLeft w:val="1800"/>
          <w:marRight w:val="0"/>
          <w:marTop w:val="29"/>
          <w:marBottom w:val="0"/>
          <w:divBdr>
            <w:top w:val="none" w:sz="0" w:space="0" w:color="auto"/>
            <w:left w:val="none" w:sz="0" w:space="0" w:color="auto"/>
            <w:bottom w:val="none" w:sz="0" w:space="0" w:color="auto"/>
            <w:right w:val="none" w:sz="0" w:space="0" w:color="auto"/>
          </w:divBdr>
        </w:div>
        <w:div w:id="321593186">
          <w:marLeft w:val="2520"/>
          <w:marRight w:val="0"/>
          <w:marTop w:val="29"/>
          <w:marBottom w:val="0"/>
          <w:divBdr>
            <w:top w:val="none" w:sz="0" w:space="0" w:color="auto"/>
            <w:left w:val="none" w:sz="0" w:space="0" w:color="auto"/>
            <w:bottom w:val="none" w:sz="0" w:space="0" w:color="auto"/>
            <w:right w:val="none" w:sz="0" w:space="0" w:color="auto"/>
          </w:divBdr>
        </w:div>
      </w:divsChild>
    </w:div>
    <w:div w:id="370888977">
      <w:bodyDiv w:val="1"/>
      <w:marLeft w:val="0"/>
      <w:marRight w:val="0"/>
      <w:marTop w:val="0"/>
      <w:marBottom w:val="0"/>
      <w:divBdr>
        <w:top w:val="none" w:sz="0" w:space="0" w:color="auto"/>
        <w:left w:val="none" w:sz="0" w:space="0" w:color="auto"/>
        <w:bottom w:val="none" w:sz="0" w:space="0" w:color="auto"/>
        <w:right w:val="none" w:sz="0" w:space="0" w:color="auto"/>
      </w:divBdr>
    </w:div>
    <w:div w:id="492067882">
      <w:bodyDiv w:val="1"/>
      <w:marLeft w:val="0"/>
      <w:marRight w:val="0"/>
      <w:marTop w:val="0"/>
      <w:marBottom w:val="0"/>
      <w:divBdr>
        <w:top w:val="none" w:sz="0" w:space="0" w:color="auto"/>
        <w:left w:val="none" w:sz="0" w:space="0" w:color="auto"/>
        <w:bottom w:val="none" w:sz="0" w:space="0" w:color="auto"/>
        <w:right w:val="none" w:sz="0" w:space="0" w:color="auto"/>
      </w:divBdr>
    </w:div>
    <w:div w:id="558829566">
      <w:bodyDiv w:val="1"/>
      <w:marLeft w:val="0"/>
      <w:marRight w:val="0"/>
      <w:marTop w:val="0"/>
      <w:marBottom w:val="0"/>
      <w:divBdr>
        <w:top w:val="none" w:sz="0" w:space="0" w:color="auto"/>
        <w:left w:val="none" w:sz="0" w:space="0" w:color="auto"/>
        <w:bottom w:val="none" w:sz="0" w:space="0" w:color="auto"/>
        <w:right w:val="none" w:sz="0" w:space="0" w:color="auto"/>
      </w:divBdr>
      <w:divsChild>
        <w:div w:id="1504081804">
          <w:marLeft w:val="1800"/>
          <w:marRight w:val="0"/>
          <w:marTop w:val="29"/>
          <w:marBottom w:val="0"/>
          <w:divBdr>
            <w:top w:val="none" w:sz="0" w:space="0" w:color="auto"/>
            <w:left w:val="none" w:sz="0" w:space="0" w:color="auto"/>
            <w:bottom w:val="none" w:sz="0" w:space="0" w:color="auto"/>
            <w:right w:val="none" w:sz="0" w:space="0" w:color="auto"/>
          </w:divBdr>
        </w:div>
        <w:div w:id="222372360">
          <w:marLeft w:val="2520"/>
          <w:marRight w:val="0"/>
          <w:marTop w:val="29"/>
          <w:marBottom w:val="0"/>
          <w:divBdr>
            <w:top w:val="none" w:sz="0" w:space="0" w:color="auto"/>
            <w:left w:val="none" w:sz="0" w:space="0" w:color="auto"/>
            <w:bottom w:val="none" w:sz="0" w:space="0" w:color="auto"/>
            <w:right w:val="none" w:sz="0" w:space="0" w:color="auto"/>
          </w:divBdr>
        </w:div>
      </w:divsChild>
    </w:div>
    <w:div w:id="561644382">
      <w:bodyDiv w:val="1"/>
      <w:marLeft w:val="0"/>
      <w:marRight w:val="0"/>
      <w:marTop w:val="0"/>
      <w:marBottom w:val="0"/>
      <w:divBdr>
        <w:top w:val="none" w:sz="0" w:space="0" w:color="auto"/>
        <w:left w:val="none" w:sz="0" w:space="0" w:color="auto"/>
        <w:bottom w:val="none" w:sz="0" w:space="0" w:color="auto"/>
        <w:right w:val="none" w:sz="0" w:space="0" w:color="auto"/>
      </w:divBdr>
    </w:div>
    <w:div w:id="623387103">
      <w:bodyDiv w:val="1"/>
      <w:marLeft w:val="0"/>
      <w:marRight w:val="0"/>
      <w:marTop w:val="0"/>
      <w:marBottom w:val="0"/>
      <w:divBdr>
        <w:top w:val="none" w:sz="0" w:space="0" w:color="auto"/>
        <w:left w:val="none" w:sz="0" w:space="0" w:color="auto"/>
        <w:bottom w:val="none" w:sz="0" w:space="0" w:color="auto"/>
        <w:right w:val="none" w:sz="0" w:space="0" w:color="auto"/>
      </w:divBdr>
    </w:div>
    <w:div w:id="669916061">
      <w:bodyDiv w:val="1"/>
      <w:marLeft w:val="0"/>
      <w:marRight w:val="0"/>
      <w:marTop w:val="0"/>
      <w:marBottom w:val="0"/>
      <w:divBdr>
        <w:top w:val="none" w:sz="0" w:space="0" w:color="auto"/>
        <w:left w:val="none" w:sz="0" w:space="0" w:color="auto"/>
        <w:bottom w:val="none" w:sz="0" w:space="0" w:color="auto"/>
        <w:right w:val="none" w:sz="0" w:space="0" w:color="auto"/>
      </w:divBdr>
    </w:div>
    <w:div w:id="741173995">
      <w:bodyDiv w:val="1"/>
      <w:marLeft w:val="0"/>
      <w:marRight w:val="0"/>
      <w:marTop w:val="0"/>
      <w:marBottom w:val="0"/>
      <w:divBdr>
        <w:top w:val="none" w:sz="0" w:space="0" w:color="auto"/>
        <w:left w:val="none" w:sz="0" w:space="0" w:color="auto"/>
        <w:bottom w:val="none" w:sz="0" w:space="0" w:color="auto"/>
        <w:right w:val="none" w:sz="0" w:space="0" w:color="auto"/>
      </w:divBdr>
    </w:div>
    <w:div w:id="773210551">
      <w:bodyDiv w:val="1"/>
      <w:marLeft w:val="0"/>
      <w:marRight w:val="0"/>
      <w:marTop w:val="0"/>
      <w:marBottom w:val="0"/>
      <w:divBdr>
        <w:top w:val="none" w:sz="0" w:space="0" w:color="auto"/>
        <w:left w:val="none" w:sz="0" w:space="0" w:color="auto"/>
        <w:bottom w:val="none" w:sz="0" w:space="0" w:color="auto"/>
        <w:right w:val="none" w:sz="0" w:space="0" w:color="auto"/>
      </w:divBdr>
    </w:div>
    <w:div w:id="830676533">
      <w:bodyDiv w:val="1"/>
      <w:marLeft w:val="0"/>
      <w:marRight w:val="0"/>
      <w:marTop w:val="0"/>
      <w:marBottom w:val="0"/>
      <w:divBdr>
        <w:top w:val="none" w:sz="0" w:space="0" w:color="auto"/>
        <w:left w:val="none" w:sz="0" w:space="0" w:color="auto"/>
        <w:bottom w:val="none" w:sz="0" w:space="0" w:color="auto"/>
        <w:right w:val="none" w:sz="0" w:space="0" w:color="auto"/>
      </w:divBdr>
      <w:divsChild>
        <w:div w:id="1080953640">
          <w:marLeft w:val="1800"/>
          <w:marRight w:val="0"/>
          <w:marTop w:val="29"/>
          <w:marBottom w:val="0"/>
          <w:divBdr>
            <w:top w:val="none" w:sz="0" w:space="0" w:color="auto"/>
            <w:left w:val="none" w:sz="0" w:space="0" w:color="auto"/>
            <w:bottom w:val="none" w:sz="0" w:space="0" w:color="auto"/>
            <w:right w:val="none" w:sz="0" w:space="0" w:color="auto"/>
          </w:divBdr>
        </w:div>
        <w:div w:id="2026517592">
          <w:marLeft w:val="2520"/>
          <w:marRight w:val="0"/>
          <w:marTop w:val="29"/>
          <w:marBottom w:val="0"/>
          <w:divBdr>
            <w:top w:val="none" w:sz="0" w:space="0" w:color="auto"/>
            <w:left w:val="none" w:sz="0" w:space="0" w:color="auto"/>
            <w:bottom w:val="none" w:sz="0" w:space="0" w:color="auto"/>
            <w:right w:val="none" w:sz="0" w:space="0" w:color="auto"/>
          </w:divBdr>
        </w:div>
      </w:divsChild>
    </w:div>
    <w:div w:id="858394384">
      <w:bodyDiv w:val="1"/>
      <w:marLeft w:val="0"/>
      <w:marRight w:val="0"/>
      <w:marTop w:val="0"/>
      <w:marBottom w:val="0"/>
      <w:divBdr>
        <w:top w:val="none" w:sz="0" w:space="0" w:color="auto"/>
        <w:left w:val="none" w:sz="0" w:space="0" w:color="auto"/>
        <w:bottom w:val="none" w:sz="0" w:space="0" w:color="auto"/>
        <w:right w:val="none" w:sz="0" w:space="0" w:color="auto"/>
      </w:divBdr>
      <w:divsChild>
        <w:div w:id="10379996">
          <w:marLeft w:val="480"/>
          <w:marRight w:val="0"/>
          <w:marTop w:val="0"/>
          <w:marBottom w:val="0"/>
          <w:divBdr>
            <w:top w:val="none" w:sz="0" w:space="0" w:color="auto"/>
            <w:left w:val="none" w:sz="0" w:space="0" w:color="auto"/>
            <w:bottom w:val="none" w:sz="0" w:space="0" w:color="auto"/>
            <w:right w:val="none" w:sz="0" w:space="0" w:color="auto"/>
          </w:divBdr>
          <w:divsChild>
            <w:div w:id="75250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07728">
      <w:bodyDiv w:val="1"/>
      <w:marLeft w:val="0"/>
      <w:marRight w:val="0"/>
      <w:marTop w:val="0"/>
      <w:marBottom w:val="0"/>
      <w:divBdr>
        <w:top w:val="none" w:sz="0" w:space="0" w:color="auto"/>
        <w:left w:val="none" w:sz="0" w:space="0" w:color="auto"/>
        <w:bottom w:val="none" w:sz="0" w:space="0" w:color="auto"/>
        <w:right w:val="none" w:sz="0" w:space="0" w:color="auto"/>
      </w:divBdr>
      <w:divsChild>
        <w:div w:id="1026708719">
          <w:marLeft w:val="1800"/>
          <w:marRight w:val="0"/>
          <w:marTop w:val="29"/>
          <w:marBottom w:val="0"/>
          <w:divBdr>
            <w:top w:val="none" w:sz="0" w:space="0" w:color="auto"/>
            <w:left w:val="none" w:sz="0" w:space="0" w:color="auto"/>
            <w:bottom w:val="none" w:sz="0" w:space="0" w:color="auto"/>
            <w:right w:val="none" w:sz="0" w:space="0" w:color="auto"/>
          </w:divBdr>
        </w:div>
        <w:div w:id="1998070174">
          <w:marLeft w:val="2520"/>
          <w:marRight w:val="0"/>
          <w:marTop w:val="29"/>
          <w:marBottom w:val="0"/>
          <w:divBdr>
            <w:top w:val="none" w:sz="0" w:space="0" w:color="auto"/>
            <w:left w:val="none" w:sz="0" w:space="0" w:color="auto"/>
            <w:bottom w:val="none" w:sz="0" w:space="0" w:color="auto"/>
            <w:right w:val="none" w:sz="0" w:space="0" w:color="auto"/>
          </w:divBdr>
        </w:div>
        <w:div w:id="1672903813">
          <w:marLeft w:val="2520"/>
          <w:marRight w:val="0"/>
          <w:marTop w:val="29"/>
          <w:marBottom w:val="0"/>
          <w:divBdr>
            <w:top w:val="none" w:sz="0" w:space="0" w:color="auto"/>
            <w:left w:val="none" w:sz="0" w:space="0" w:color="auto"/>
            <w:bottom w:val="none" w:sz="0" w:space="0" w:color="auto"/>
            <w:right w:val="none" w:sz="0" w:space="0" w:color="auto"/>
          </w:divBdr>
        </w:div>
      </w:divsChild>
    </w:div>
    <w:div w:id="882519181">
      <w:bodyDiv w:val="1"/>
      <w:marLeft w:val="0"/>
      <w:marRight w:val="0"/>
      <w:marTop w:val="0"/>
      <w:marBottom w:val="0"/>
      <w:divBdr>
        <w:top w:val="none" w:sz="0" w:space="0" w:color="auto"/>
        <w:left w:val="none" w:sz="0" w:space="0" w:color="auto"/>
        <w:bottom w:val="none" w:sz="0" w:space="0" w:color="auto"/>
        <w:right w:val="none" w:sz="0" w:space="0" w:color="auto"/>
      </w:divBdr>
      <w:divsChild>
        <w:div w:id="857230402">
          <w:marLeft w:val="1800"/>
          <w:marRight w:val="0"/>
          <w:marTop w:val="29"/>
          <w:marBottom w:val="0"/>
          <w:divBdr>
            <w:top w:val="none" w:sz="0" w:space="0" w:color="auto"/>
            <w:left w:val="none" w:sz="0" w:space="0" w:color="auto"/>
            <w:bottom w:val="none" w:sz="0" w:space="0" w:color="auto"/>
            <w:right w:val="none" w:sz="0" w:space="0" w:color="auto"/>
          </w:divBdr>
        </w:div>
        <w:div w:id="1562135395">
          <w:marLeft w:val="2520"/>
          <w:marRight w:val="0"/>
          <w:marTop w:val="29"/>
          <w:marBottom w:val="0"/>
          <w:divBdr>
            <w:top w:val="none" w:sz="0" w:space="0" w:color="auto"/>
            <w:left w:val="none" w:sz="0" w:space="0" w:color="auto"/>
            <w:bottom w:val="none" w:sz="0" w:space="0" w:color="auto"/>
            <w:right w:val="none" w:sz="0" w:space="0" w:color="auto"/>
          </w:divBdr>
        </w:div>
        <w:div w:id="1828209942">
          <w:marLeft w:val="2520"/>
          <w:marRight w:val="0"/>
          <w:marTop w:val="29"/>
          <w:marBottom w:val="0"/>
          <w:divBdr>
            <w:top w:val="none" w:sz="0" w:space="0" w:color="auto"/>
            <w:left w:val="none" w:sz="0" w:space="0" w:color="auto"/>
            <w:bottom w:val="none" w:sz="0" w:space="0" w:color="auto"/>
            <w:right w:val="none" w:sz="0" w:space="0" w:color="auto"/>
          </w:divBdr>
        </w:div>
        <w:div w:id="1300191436">
          <w:marLeft w:val="2520"/>
          <w:marRight w:val="0"/>
          <w:marTop w:val="29"/>
          <w:marBottom w:val="0"/>
          <w:divBdr>
            <w:top w:val="none" w:sz="0" w:space="0" w:color="auto"/>
            <w:left w:val="none" w:sz="0" w:space="0" w:color="auto"/>
            <w:bottom w:val="none" w:sz="0" w:space="0" w:color="auto"/>
            <w:right w:val="none" w:sz="0" w:space="0" w:color="auto"/>
          </w:divBdr>
        </w:div>
        <w:div w:id="1167667732">
          <w:marLeft w:val="2520"/>
          <w:marRight w:val="0"/>
          <w:marTop w:val="29"/>
          <w:marBottom w:val="0"/>
          <w:divBdr>
            <w:top w:val="none" w:sz="0" w:space="0" w:color="auto"/>
            <w:left w:val="none" w:sz="0" w:space="0" w:color="auto"/>
            <w:bottom w:val="none" w:sz="0" w:space="0" w:color="auto"/>
            <w:right w:val="none" w:sz="0" w:space="0" w:color="auto"/>
          </w:divBdr>
        </w:div>
      </w:divsChild>
    </w:div>
    <w:div w:id="887954835">
      <w:bodyDiv w:val="1"/>
      <w:marLeft w:val="0"/>
      <w:marRight w:val="0"/>
      <w:marTop w:val="0"/>
      <w:marBottom w:val="0"/>
      <w:divBdr>
        <w:top w:val="none" w:sz="0" w:space="0" w:color="auto"/>
        <w:left w:val="none" w:sz="0" w:space="0" w:color="auto"/>
        <w:bottom w:val="none" w:sz="0" w:space="0" w:color="auto"/>
        <w:right w:val="none" w:sz="0" w:space="0" w:color="auto"/>
      </w:divBdr>
      <w:divsChild>
        <w:div w:id="1950504469">
          <w:marLeft w:val="1800"/>
          <w:marRight w:val="0"/>
          <w:marTop w:val="29"/>
          <w:marBottom w:val="0"/>
          <w:divBdr>
            <w:top w:val="none" w:sz="0" w:space="0" w:color="auto"/>
            <w:left w:val="none" w:sz="0" w:space="0" w:color="auto"/>
            <w:bottom w:val="none" w:sz="0" w:space="0" w:color="auto"/>
            <w:right w:val="none" w:sz="0" w:space="0" w:color="auto"/>
          </w:divBdr>
        </w:div>
        <w:div w:id="546336186">
          <w:marLeft w:val="2520"/>
          <w:marRight w:val="0"/>
          <w:marTop w:val="29"/>
          <w:marBottom w:val="0"/>
          <w:divBdr>
            <w:top w:val="none" w:sz="0" w:space="0" w:color="auto"/>
            <w:left w:val="none" w:sz="0" w:space="0" w:color="auto"/>
            <w:bottom w:val="none" w:sz="0" w:space="0" w:color="auto"/>
            <w:right w:val="none" w:sz="0" w:space="0" w:color="auto"/>
          </w:divBdr>
        </w:div>
        <w:div w:id="247884565">
          <w:marLeft w:val="2520"/>
          <w:marRight w:val="0"/>
          <w:marTop w:val="29"/>
          <w:marBottom w:val="0"/>
          <w:divBdr>
            <w:top w:val="none" w:sz="0" w:space="0" w:color="auto"/>
            <w:left w:val="none" w:sz="0" w:space="0" w:color="auto"/>
            <w:bottom w:val="none" w:sz="0" w:space="0" w:color="auto"/>
            <w:right w:val="none" w:sz="0" w:space="0" w:color="auto"/>
          </w:divBdr>
        </w:div>
      </w:divsChild>
    </w:div>
    <w:div w:id="902981307">
      <w:bodyDiv w:val="1"/>
      <w:marLeft w:val="0"/>
      <w:marRight w:val="0"/>
      <w:marTop w:val="0"/>
      <w:marBottom w:val="0"/>
      <w:divBdr>
        <w:top w:val="none" w:sz="0" w:space="0" w:color="auto"/>
        <w:left w:val="none" w:sz="0" w:space="0" w:color="auto"/>
        <w:bottom w:val="none" w:sz="0" w:space="0" w:color="auto"/>
        <w:right w:val="none" w:sz="0" w:space="0" w:color="auto"/>
      </w:divBdr>
      <w:divsChild>
        <w:div w:id="543172589">
          <w:marLeft w:val="0"/>
          <w:marRight w:val="0"/>
          <w:marTop w:val="0"/>
          <w:marBottom w:val="360"/>
          <w:divBdr>
            <w:top w:val="none" w:sz="0" w:space="0" w:color="auto"/>
            <w:left w:val="none" w:sz="0" w:space="0" w:color="auto"/>
            <w:bottom w:val="none" w:sz="0" w:space="0" w:color="auto"/>
            <w:right w:val="none" w:sz="0" w:space="0" w:color="auto"/>
          </w:divBdr>
          <w:divsChild>
            <w:div w:id="2068868699">
              <w:marLeft w:val="0"/>
              <w:marRight w:val="0"/>
              <w:marTop w:val="0"/>
              <w:marBottom w:val="0"/>
              <w:divBdr>
                <w:top w:val="none" w:sz="0" w:space="0" w:color="auto"/>
                <w:left w:val="none" w:sz="0" w:space="0" w:color="auto"/>
                <w:bottom w:val="none" w:sz="0" w:space="0" w:color="auto"/>
                <w:right w:val="none" w:sz="0" w:space="0" w:color="auto"/>
              </w:divBdr>
              <w:divsChild>
                <w:div w:id="95059381">
                  <w:marLeft w:val="0"/>
                  <w:marRight w:val="0"/>
                  <w:marTop w:val="0"/>
                  <w:marBottom w:val="240"/>
                  <w:divBdr>
                    <w:top w:val="none" w:sz="0" w:space="0" w:color="auto"/>
                    <w:left w:val="none" w:sz="0" w:space="0" w:color="auto"/>
                    <w:bottom w:val="none" w:sz="0" w:space="0" w:color="auto"/>
                    <w:right w:val="none" w:sz="0" w:space="0" w:color="auto"/>
                  </w:divBdr>
                </w:div>
              </w:divsChild>
            </w:div>
            <w:div w:id="674265195">
              <w:marLeft w:val="0"/>
              <w:marRight w:val="0"/>
              <w:marTop w:val="0"/>
              <w:marBottom w:val="0"/>
              <w:divBdr>
                <w:top w:val="none" w:sz="0" w:space="0" w:color="auto"/>
                <w:left w:val="none" w:sz="0" w:space="0" w:color="auto"/>
                <w:bottom w:val="none" w:sz="0" w:space="0" w:color="auto"/>
                <w:right w:val="none" w:sz="0" w:space="0" w:color="auto"/>
              </w:divBdr>
              <w:divsChild>
                <w:div w:id="1253205204">
                  <w:marLeft w:val="0"/>
                  <w:marRight w:val="0"/>
                  <w:marTop w:val="0"/>
                  <w:marBottom w:val="240"/>
                  <w:divBdr>
                    <w:top w:val="none" w:sz="0" w:space="0" w:color="auto"/>
                    <w:left w:val="none" w:sz="0" w:space="0" w:color="auto"/>
                    <w:bottom w:val="none" w:sz="0" w:space="0" w:color="auto"/>
                    <w:right w:val="none" w:sz="0" w:space="0" w:color="auto"/>
                  </w:divBdr>
                </w:div>
              </w:divsChild>
            </w:div>
            <w:div w:id="1190878390">
              <w:marLeft w:val="0"/>
              <w:marRight w:val="0"/>
              <w:marTop w:val="0"/>
              <w:marBottom w:val="0"/>
              <w:divBdr>
                <w:top w:val="none" w:sz="0" w:space="0" w:color="auto"/>
                <w:left w:val="none" w:sz="0" w:space="0" w:color="auto"/>
                <w:bottom w:val="none" w:sz="0" w:space="0" w:color="auto"/>
                <w:right w:val="none" w:sz="0" w:space="0" w:color="auto"/>
              </w:divBdr>
              <w:divsChild>
                <w:div w:id="1152529523">
                  <w:marLeft w:val="0"/>
                  <w:marRight w:val="0"/>
                  <w:marTop w:val="0"/>
                  <w:marBottom w:val="240"/>
                  <w:divBdr>
                    <w:top w:val="none" w:sz="0" w:space="0" w:color="auto"/>
                    <w:left w:val="none" w:sz="0" w:space="0" w:color="auto"/>
                    <w:bottom w:val="none" w:sz="0" w:space="0" w:color="auto"/>
                    <w:right w:val="none" w:sz="0" w:space="0" w:color="auto"/>
                  </w:divBdr>
                </w:div>
              </w:divsChild>
            </w:div>
            <w:div w:id="256211834">
              <w:marLeft w:val="0"/>
              <w:marRight w:val="0"/>
              <w:marTop w:val="0"/>
              <w:marBottom w:val="0"/>
              <w:divBdr>
                <w:top w:val="none" w:sz="0" w:space="0" w:color="auto"/>
                <w:left w:val="none" w:sz="0" w:space="0" w:color="auto"/>
                <w:bottom w:val="none" w:sz="0" w:space="0" w:color="auto"/>
                <w:right w:val="none" w:sz="0" w:space="0" w:color="auto"/>
              </w:divBdr>
              <w:divsChild>
                <w:div w:id="14211773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09000450">
      <w:bodyDiv w:val="1"/>
      <w:marLeft w:val="0"/>
      <w:marRight w:val="0"/>
      <w:marTop w:val="0"/>
      <w:marBottom w:val="0"/>
      <w:divBdr>
        <w:top w:val="none" w:sz="0" w:space="0" w:color="auto"/>
        <w:left w:val="none" w:sz="0" w:space="0" w:color="auto"/>
        <w:bottom w:val="none" w:sz="0" w:space="0" w:color="auto"/>
        <w:right w:val="none" w:sz="0" w:space="0" w:color="auto"/>
      </w:divBdr>
    </w:div>
    <w:div w:id="914436527">
      <w:bodyDiv w:val="1"/>
      <w:marLeft w:val="0"/>
      <w:marRight w:val="0"/>
      <w:marTop w:val="0"/>
      <w:marBottom w:val="0"/>
      <w:divBdr>
        <w:top w:val="none" w:sz="0" w:space="0" w:color="auto"/>
        <w:left w:val="none" w:sz="0" w:space="0" w:color="auto"/>
        <w:bottom w:val="none" w:sz="0" w:space="0" w:color="auto"/>
        <w:right w:val="none" w:sz="0" w:space="0" w:color="auto"/>
      </w:divBdr>
    </w:div>
    <w:div w:id="948507281">
      <w:bodyDiv w:val="1"/>
      <w:marLeft w:val="0"/>
      <w:marRight w:val="0"/>
      <w:marTop w:val="0"/>
      <w:marBottom w:val="0"/>
      <w:divBdr>
        <w:top w:val="none" w:sz="0" w:space="0" w:color="auto"/>
        <w:left w:val="none" w:sz="0" w:space="0" w:color="auto"/>
        <w:bottom w:val="none" w:sz="0" w:space="0" w:color="auto"/>
        <w:right w:val="none" w:sz="0" w:space="0" w:color="auto"/>
      </w:divBdr>
    </w:div>
    <w:div w:id="1031877792">
      <w:bodyDiv w:val="1"/>
      <w:marLeft w:val="0"/>
      <w:marRight w:val="0"/>
      <w:marTop w:val="0"/>
      <w:marBottom w:val="0"/>
      <w:divBdr>
        <w:top w:val="none" w:sz="0" w:space="0" w:color="auto"/>
        <w:left w:val="none" w:sz="0" w:space="0" w:color="auto"/>
        <w:bottom w:val="none" w:sz="0" w:space="0" w:color="auto"/>
        <w:right w:val="none" w:sz="0" w:space="0" w:color="auto"/>
      </w:divBdr>
    </w:div>
    <w:div w:id="1056469224">
      <w:bodyDiv w:val="1"/>
      <w:marLeft w:val="0"/>
      <w:marRight w:val="0"/>
      <w:marTop w:val="0"/>
      <w:marBottom w:val="0"/>
      <w:divBdr>
        <w:top w:val="none" w:sz="0" w:space="0" w:color="auto"/>
        <w:left w:val="none" w:sz="0" w:space="0" w:color="auto"/>
        <w:bottom w:val="none" w:sz="0" w:space="0" w:color="auto"/>
        <w:right w:val="none" w:sz="0" w:space="0" w:color="auto"/>
      </w:divBdr>
    </w:div>
    <w:div w:id="1156798471">
      <w:bodyDiv w:val="1"/>
      <w:marLeft w:val="0"/>
      <w:marRight w:val="0"/>
      <w:marTop w:val="0"/>
      <w:marBottom w:val="0"/>
      <w:divBdr>
        <w:top w:val="none" w:sz="0" w:space="0" w:color="auto"/>
        <w:left w:val="none" w:sz="0" w:space="0" w:color="auto"/>
        <w:bottom w:val="none" w:sz="0" w:space="0" w:color="auto"/>
        <w:right w:val="none" w:sz="0" w:space="0" w:color="auto"/>
      </w:divBdr>
      <w:divsChild>
        <w:div w:id="1832715313">
          <w:marLeft w:val="2520"/>
          <w:marRight w:val="0"/>
          <w:marTop w:val="29"/>
          <w:marBottom w:val="0"/>
          <w:divBdr>
            <w:top w:val="none" w:sz="0" w:space="0" w:color="auto"/>
            <w:left w:val="none" w:sz="0" w:space="0" w:color="auto"/>
            <w:bottom w:val="none" w:sz="0" w:space="0" w:color="auto"/>
            <w:right w:val="none" w:sz="0" w:space="0" w:color="auto"/>
          </w:divBdr>
        </w:div>
        <w:div w:id="165639164">
          <w:marLeft w:val="2520"/>
          <w:marRight w:val="0"/>
          <w:marTop w:val="29"/>
          <w:marBottom w:val="0"/>
          <w:divBdr>
            <w:top w:val="none" w:sz="0" w:space="0" w:color="auto"/>
            <w:left w:val="none" w:sz="0" w:space="0" w:color="auto"/>
            <w:bottom w:val="none" w:sz="0" w:space="0" w:color="auto"/>
            <w:right w:val="none" w:sz="0" w:space="0" w:color="auto"/>
          </w:divBdr>
        </w:div>
      </w:divsChild>
    </w:div>
    <w:div w:id="1157918947">
      <w:bodyDiv w:val="1"/>
      <w:marLeft w:val="0"/>
      <w:marRight w:val="0"/>
      <w:marTop w:val="0"/>
      <w:marBottom w:val="0"/>
      <w:divBdr>
        <w:top w:val="none" w:sz="0" w:space="0" w:color="auto"/>
        <w:left w:val="none" w:sz="0" w:space="0" w:color="auto"/>
        <w:bottom w:val="none" w:sz="0" w:space="0" w:color="auto"/>
        <w:right w:val="none" w:sz="0" w:space="0" w:color="auto"/>
      </w:divBdr>
    </w:div>
    <w:div w:id="1247959013">
      <w:bodyDiv w:val="1"/>
      <w:marLeft w:val="0"/>
      <w:marRight w:val="0"/>
      <w:marTop w:val="0"/>
      <w:marBottom w:val="0"/>
      <w:divBdr>
        <w:top w:val="none" w:sz="0" w:space="0" w:color="auto"/>
        <w:left w:val="none" w:sz="0" w:space="0" w:color="auto"/>
        <w:bottom w:val="none" w:sz="0" w:space="0" w:color="auto"/>
        <w:right w:val="none" w:sz="0" w:space="0" w:color="auto"/>
      </w:divBdr>
      <w:divsChild>
        <w:div w:id="1193105096">
          <w:marLeft w:val="1800"/>
          <w:marRight w:val="0"/>
          <w:marTop w:val="29"/>
          <w:marBottom w:val="0"/>
          <w:divBdr>
            <w:top w:val="none" w:sz="0" w:space="0" w:color="auto"/>
            <w:left w:val="none" w:sz="0" w:space="0" w:color="auto"/>
            <w:bottom w:val="none" w:sz="0" w:space="0" w:color="auto"/>
            <w:right w:val="none" w:sz="0" w:space="0" w:color="auto"/>
          </w:divBdr>
        </w:div>
      </w:divsChild>
    </w:div>
    <w:div w:id="1324744709">
      <w:bodyDiv w:val="1"/>
      <w:marLeft w:val="0"/>
      <w:marRight w:val="0"/>
      <w:marTop w:val="0"/>
      <w:marBottom w:val="0"/>
      <w:divBdr>
        <w:top w:val="none" w:sz="0" w:space="0" w:color="auto"/>
        <w:left w:val="none" w:sz="0" w:space="0" w:color="auto"/>
        <w:bottom w:val="none" w:sz="0" w:space="0" w:color="auto"/>
        <w:right w:val="none" w:sz="0" w:space="0" w:color="auto"/>
      </w:divBdr>
      <w:divsChild>
        <w:div w:id="615135971">
          <w:marLeft w:val="1800"/>
          <w:marRight w:val="0"/>
          <w:marTop w:val="29"/>
          <w:marBottom w:val="0"/>
          <w:divBdr>
            <w:top w:val="none" w:sz="0" w:space="0" w:color="auto"/>
            <w:left w:val="none" w:sz="0" w:space="0" w:color="auto"/>
            <w:bottom w:val="none" w:sz="0" w:space="0" w:color="auto"/>
            <w:right w:val="none" w:sz="0" w:space="0" w:color="auto"/>
          </w:divBdr>
        </w:div>
        <w:div w:id="71859374">
          <w:marLeft w:val="2520"/>
          <w:marRight w:val="0"/>
          <w:marTop w:val="29"/>
          <w:marBottom w:val="0"/>
          <w:divBdr>
            <w:top w:val="none" w:sz="0" w:space="0" w:color="auto"/>
            <w:left w:val="none" w:sz="0" w:space="0" w:color="auto"/>
            <w:bottom w:val="none" w:sz="0" w:space="0" w:color="auto"/>
            <w:right w:val="none" w:sz="0" w:space="0" w:color="auto"/>
          </w:divBdr>
        </w:div>
      </w:divsChild>
    </w:div>
    <w:div w:id="1332954200">
      <w:bodyDiv w:val="1"/>
      <w:marLeft w:val="0"/>
      <w:marRight w:val="0"/>
      <w:marTop w:val="0"/>
      <w:marBottom w:val="0"/>
      <w:divBdr>
        <w:top w:val="none" w:sz="0" w:space="0" w:color="auto"/>
        <w:left w:val="none" w:sz="0" w:space="0" w:color="auto"/>
        <w:bottom w:val="none" w:sz="0" w:space="0" w:color="auto"/>
        <w:right w:val="none" w:sz="0" w:space="0" w:color="auto"/>
      </w:divBdr>
    </w:div>
    <w:div w:id="1353678156">
      <w:bodyDiv w:val="1"/>
      <w:marLeft w:val="0"/>
      <w:marRight w:val="0"/>
      <w:marTop w:val="0"/>
      <w:marBottom w:val="0"/>
      <w:divBdr>
        <w:top w:val="none" w:sz="0" w:space="0" w:color="auto"/>
        <w:left w:val="none" w:sz="0" w:space="0" w:color="auto"/>
        <w:bottom w:val="none" w:sz="0" w:space="0" w:color="auto"/>
        <w:right w:val="none" w:sz="0" w:space="0" w:color="auto"/>
      </w:divBdr>
    </w:div>
    <w:div w:id="1355376053">
      <w:bodyDiv w:val="1"/>
      <w:marLeft w:val="0"/>
      <w:marRight w:val="0"/>
      <w:marTop w:val="0"/>
      <w:marBottom w:val="0"/>
      <w:divBdr>
        <w:top w:val="none" w:sz="0" w:space="0" w:color="auto"/>
        <w:left w:val="none" w:sz="0" w:space="0" w:color="auto"/>
        <w:bottom w:val="none" w:sz="0" w:space="0" w:color="auto"/>
        <w:right w:val="none" w:sz="0" w:space="0" w:color="auto"/>
      </w:divBdr>
      <w:divsChild>
        <w:div w:id="306397319">
          <w:marLeft w:val="907"/>
          <w:marRight w:val="0"/>
          <w:marTop w:val="0"/>
          <w:marBottom w:val="0"/>
          <w:divBdr>
            <w:top w:val="none" w:sz="0" w:space="0" w:color="auto"/>
            <w:left w:val="none" w:sz="0" w:space="0" w:color="auto"/>
            <w:bottom w:val="none" w:sz="0" w:space="0" w:color="auto"/>
            <w:right w:val="none" w:sz="0" w:space="0" w:color="auto"/>
          </w:divBdr>
        </w:div>
        <w:div w:id="1205869709">
          <w:marLeft w:val="907"/>
          <w:marRight w:val="0"/>
          <w:marTop w:val="0"/>
          <w:marBottom w:val="0"/>
          <w:divBdr>
            <w:top w:val="none" w:sz="0" w:space="0" w:color="auto"/>
            <w:left w:val="none" w:sz="0" w:space="0" w:color="auto"/>
            <w:bottom w:val="none" w:sz="0" w:space="0" w:color="auto"/>
            <w:right w:val="none" w:sz="0" w:space="0" w:color="auto"/>
          </w:divBdr>
        </w:div>
        <w:div w:id="2045396819">
          <w:marLeft w:val="907"/>
          <w:marRight w:val="0"/>
          <w:marTop w:val="0"/>
          <w:marBottom w:val="0"/>
          <w:divBdr>
            <w:top w:val="none" w:sz="0" w:space="0" w:color="auto"/>
            <w:left w:val="none" w:sz="0" w:space="0" w:color="auto"/>
            <w:bottom w:val="none" w:sz="0" w:space="0" w:color="auto"/>
            <w:right w:val="none" w:sz="0" w:space="0" w:color="auto"/>
          </w:divBdr>
        </w:div>
        <w:div w:id="912548579">
          <w:marLeft w:val="907"/>
          <w:marRight w:val="0"/>
          <w:marTop w:val="0"/>
          <w:marBottom w:val="0"/>
          <w:divBdr>
            <w:top w:val="none" w:sz="0" w:space="0" w:color="auto"/>
            <w:left w:val="none" w:sz="0" w:space="0" w:color="auto"/>
            <w:bottom w:val="none" w:sz="0" w:space="0" w:color="auto"/>
            <w:right w:val="none" w:sz="0" w:space="0" w:color="auto"/>
          </w:divBdr>
        </w:div>
      </w:divsChild>
    </w:div>
    <w:div w:id="1460805947">
      <w:bodyDiv w:val="1"/>
      <w:marLeft w:val="0"/>
      <w:marRight w:val="0"/>
      <w:marTop w:val="0"/>
      <w:marBottom w:val="0"/>
      <w:divBdr>
        <w:top w:val="none" w:sz="0" w:space="0" w:color="auto"/>
        <w:left w:val="none" w:sz="0" w:space="0" w:color="auto"/>
        <w:bottom w:val="none" w:sz="0" w:space="0" w:color="auto"/>
        <w:right w:val="none" w:sz="0" w:space="0" w:color="auto"/>
      </w:divBdr>
    </w:div>
    <w:div w:id="1481539430">
      <w:bodyDiv w:val="1"/>
      <w:marLeft w:val="0"/>
      <w:marRight w:val="0"/>
      <w:marTop w:val="0"/>
      <w:marBottom w:val="0"/>
      <w:divBdr>
        <w:top w:val="none" w:sz="0" w:space="0" w:color="auto"/>
        <w:left w:val="none" w:sz="0" w:space="0" w:color="auto"/>
        <w:bottom w:val="none" w:sz="0" w:space="0" w:color="auto"/>
        <w:right w:val="none" w:sz="0" w:space="0" w:color="auto"/>
      </w:divBdr>
    </w:div>
    <w:div w:id="1533222050">
      <w:bodyDiv w:val="1"/>
      <w:marLeft w:val="0"/>
      <w:marRight w:val="0"/>
      <w:marTop w:val="0"/>
      <w:marBottom w:val="0"/>
      <w:divBdr>
        <w:top w:val="none" w:sz="0" w:space="0" w:color="auto"/>
        <w:left w:val="none" w:sz="0" w:space="0" w:color="auto"/>
        <w:bottom w:val="none" w:sz="0" w:space="0" w:color="auto"/>
        <w:right w:val="none" w:sz="0" w:space="0" w:color="auto"/>
      </w:divBdr>
      <w:divsChild>
        <w:div w:id="792408941">
          <w:marLeft w:val="1800"/>
          <w:marRight w:val="0"/>
          <w:marTop w:val="29"/>
          <w:marBottom w:val="0"/>
          <w:divBdr>
            <w:top w:val="none" w:sz="0" w:space="0" w:color="auto"/>
            <w:left w:val="none" w:sz="0" w:space="0" w:color="auto"/>
            <w:bottom w:val="none" w:sz="0" w:space="0" w:color="auto"/>
            <w:right w:val="none" w:sz="0" w:space="0" w:color="auto"/>
          </w:divBdr>
        </w:div>
        <w:div w:id="926772748">
          <w:marLeft w:val="2520"/>
          <w:marRight w:val="0"/>
          <w:marTop w:val="29"/>
          <w:marBottom w:val="0"/>
          <w:divBdr>
            <w:top w:val="none" w:sz="0" w:space="0" w:color="auto"/>
            <w:left w:val="none" w:sz="0" w:space="0" w:color="auto"/>
            <w:bottom w:val="none" w:sz="0" w:space="0" w:color="auto"/>
            <w:right w:val="none" w:sz="0" w:space="0" w:color="auto"/>
          </w:divBdr>
        </w:div>
      </w:divsChild>
    </w:div>
    <w:div w:id="1600140237">
      <w:bodyDiv w:val="1"/>
      <w:marLeft w:val="0"/>
      <w:marRight w:val="0"/>
      <w:marTop w:val="0"/>
      <w:marBottom w:val="0"/>
      <w:divBdr>
        <w:top w:val="none" w:sz="0" w:space="0" w:color="auto"/>
        <w:left w:val="none" w:sz="0" w:space="0" w:color="auto"/>
        <w:bottom w:val="none" w:sz="0" w:space="0" w:color="auto"/>
        <w:right w:val="none" w:sz="0" w:space="0" w:color="auto"/>
      </w:divBdr>
      <w:divsChild>
        <w:div w:id="456224348">
          <w:marLeft w:val="2520"/>
          <w:marRight w:val="0"/>
          <w:marTop w:val="29"/>
          <w:marBottom w:val="0"/>
          <w:divBdr>
            <w:top w:val="none" w:sz="0" w:space="0" w:color="auto"/>
            <w:left w:val="none" w:sz="0" w:space="0" w:color="auto"/>
            <w:bottom w:val="none" w:sz="0" w:space="0" w:color="auto"/>
            <w:right w:val="none" w:sz="0" w:space="0" w:color="auto"/>
          </w:divBdr>
        </w:div>
        <w:div w:id="1090542160">
          <w:marLeft w:val="2520"/>
          <w:marRight w:val="0"/>
          <w:marTop w:val="29"/>
          <w:marBottom w:val="0"/>
          <w:divBdr>
            <w:top w:val="none" w:sz="0" w:space="0" w:color="auto"/>
            <w:left w:val="none" w:sz="0" w:space="0" w:color="auto"/>
            <w:bottom w:val="none" w:sz="0" w:space="0" w:color="auto"/>
            <w:right w:val="none" w:sz="0" w:space="0" w:color="auto"/>
          </w:divBdr>
        </w:div>
      </w:divsChild>
    </w:div>
    <w:div w:id="1630282711">
      <w:bodyDiv w:val="1"/>
      <w:marLeft w:val="0"/>
      <w:marRight w:val="0"/>
      <w:marTop w:val="0"/>
      <w:marBottom w:val="0"/>
      <w:divBdr>
        <w:top w:val="none" w:sz="0" w:space="0" w:color="auto"/>
        <w:left w:val="none" w:sz="0" w:space="0" w:color="auto"/>
        <w:bottom w:val="none" w:sz="0" w:space="0" w:color="auto"/>
        <w:right w:val="none" w:sz="0" w:space="0" w:color="auto"/>
      </w:divBdr>
      <w:divsChild>
        <w:div w:id="335034161">
          <w:marLeft w:val="533"/>
          <w:marRight w:val="0"/>
          <w:marTop w:val="96"/>
          <w:marBottom w:val="0"/>
          <w:divBdr>
            <w:top w:val="none" w:sz="0" w:space="0" w:color="auto"/>
            <w:left w:val="none" w:sz="0" w:space="0" w:color="auto"/>
            <w:bottom w:val="none" w:sz="0" w:space="0" w:color="auto"/>
            <w:right w:val="none" w:sz="0" w:space="0" w:color="auto"/>
          </w:divBdr>
        </w:div>
        <w:div w:id="742025369">
          <w:marLeft w:val="1166"/>
          <w:marRight w:val="0"/>
          <w:marTop w:val="86"/>
          <w:marBottom w:val="0"/>
          <w:divBdr>
            <w:top w:val="none" w:sz="0" w:space="0" w:color="auto"/>
            <w:left w:val="none" w:sz="0" w:space="0" w:color="auto"/>
            <w:bottom w:val="none" w:sz="0" w:space="0" w:color="auto"/>
            <w:right w:val="none" w:sz="0" w:space="0" w:color="auto"/>
          </w:divBdr>
        </w:div>
        <w:div w:id="589774390">
          <w:marLeft w:val="533"/>
          <w:marRight w:val="0"/>
          <w:marTop w:val="96"/>
          <w:marBottom w:val="0"/>
          <w:divBdr>
            <w:top w:val="none" w:sz="0" w:space="0" w:color="auto"/>
            <w:left w:val="none" w:sz="0" w:space="0" w:color="auto"/>
            <w:bottom w:val="none" w:sz="0" w:space="0" w:color="auto"/>
            <w:right w:val="none" w:sz="0" w:space="0" w:color="auto"/>
          </w:divBdr>
        </w:div>
        <w:div w:id="631593808">
          <w:marLeft w:val="533"/>
          <w:marRight w:val="0"/>
          <w:marTop w:val="96"/>
          <w:marBottom w:val="0"/>
          <w:divBdr>
            <w:top w:val="none" w:sz="0" w:space="0" w:color="auto"/>
            <w:left w:val="none" w:sz="0" w:space="0" w:color="auto"/>
            <w:bottom w:val="none" w:sz="0" w:space="0" w:color="auto"/>
            <w:right w:val="none" w:sz="0" w:space="0" w:color="auto"/>
          </w:divBdr>
        </w:div>
        <w:div w:id="318845705">
          <w:marLeft w:val="533"/>
          <w:marRight w:val="0"/>
          <w:marTop w:val="96"/>
          <w:marBottom w:val="0"/>
          <w:divBdr>
            <w:top w:val="none" w:sz="0" w:space="0" w:color="auto"/>
            <w:left w:val="none" w:sz="0" w:space="0" w:color="auto"/>
            <w:bottom w:val="none" w:sz="0" w:space="0" w:color="auto"/>
            <w:right w:val="none" w:sz="0" w:space="0" w:color="auto"/>
          </w:divBdr>
        </w:div>
        <w:div w:id="1066611018">
          <w:marLeft w:val="1166"/>
          <w:marRight w:val="0"/>
          <w:marTop w:val="86"/>
          <w:marBottom w:val="0"/>
          <w:divBdr>
            <w:top w:val="none" w:sz="0" w:space="0" w:color="auto"/>
            <w:left w:val="none" w:sz="0" w:space="0" w:color="auto"/>
            <w:bottom w:val="none" w:sz="0" w:space="0" w:color="auto"/>
            <w:right w:val="none" w:sz="0" w:space="0" w:color="auto"/>
          </w:divBdr>
        </w:div>
        <w:div w:id="692727707">
          <w:marLeft w:val="533"/>
          <w:marRight w:val="0"/>
          <w:marTop w:val="96"/>
          <w:marBottom w:val="0"/>
          <w:divBdr>
            <w:top w:val="none" w:sz="0" w:space="0" w:color="auto"/>
            <w:left w:val="none" w:sz="0" w:space="0" w:color="auto"/>
            <w:bottom w:val="none" w:sz="0" w:space="0" w:color="auto"/>
            <w:right w:val="none" w:sz="0" w:space="0" w:color="auto"/>
          </w:divBdr>
        </w:div>
        <w:div w:id="711927523">
          <w:marLeft w:val="1166"/>
          <w:marRight w:val="0"/>
          <w:marTop w:val="86"/>
          <w:marBottom w:val="0"/>
          <w:divBdr>
            <w:top w:val="none" w:sz="0" w:space="0" w:color="auto"/>
            <w:left w:val="none" w:sz="0" w:space="0" w:color="auto"/>
            <w:bottom w:val="none" w:sz="0" w:space="0" w:color="auto"/>
            <w:right w:val="none" w:sz="0" w:space="0" w:color="auto"/>
          </w:divBdr>
        </w:div>
      </w:divsChild>
    </w:div>
    <w:div w:id="1652293903">
      <w:bodyDiv w:val="1"/>
      <w:marLeft w:val="0"/>
      <w:marRight w:val="0"/>
      <w:marTop w:val="0"/>
      <w:marBottom w:val="0"/>
      <w:divBdr>
        <w:top w:val="none" w:sz="0" w:space="0" w:color="auto"/>
        <w:left w:val="none" w:sz="0" w:space="0" w:color="auto"/>
        <w:bottom w:val="none" w:sz="0" w:space="0" w:color="auto"/>
        <w:right w:val="none" w:sz="0" w:space="0" w:color="auto"/>
      </w:divBdr>
    </w:div>
    <w:div w:id="1702318959">
      <w:bodyDiv w:val="1"/>
      <w:marLeft w:val="0"/>
      <w:marRight w:val="0"/>
      <w:marTop w:val="0"/>
      <w:marBottom w:val="0"/>
      <w:divBdr>
        <w:top w:val="none" w:sz="0" w:space="0" w:color="auto"/>
        <w:left w:val="none" w:sz="0" w:space="0" w:color="auto"/>
        <w:bottom w:val="none" w:sz="0" w:space="0" w:color="auto"/>
        <w:right w:val="none" w:sz="0" w:space="0" w:color="auto"/>
      </w:divBdr>
    </w:div>
    <w:div w:id="1721133101">
      <w:bodyDiv w:val="1"/>
      <w:marLeft w:val="0"/>
      <w:marRight w:val="0"/>
      <w:marTop w:val="0"/>
      <w:marBottom w:val="0"/>
      <w:divBdr>
        <w:top w:val="none" w:sz="0" w:space="0" w:color="auto"/>
        <w:left w:val="none" w:sz="0" w:space="0" w:color="auto"/>
        <w:bottom w:val="none" w:sz="0" w:space="0" w:color="auto"/>
        <w:right w:val="none" w:sz="0" w:space="0" w:color="auto"/>
      </w:divBdr>
      <w:divsChild>
        <w:div w:id="1665670309">
          <w:marLeft w:val="274"/>
          <w:marRight w:val="0"/>
          <w:marTop w:val="0"/>
          <w:marBottom w:val="0"/>
          <w:divBdr>
            <w:top w:val="none" w:sz="0" w:space="0" w:color="auto"/>
            <w:left w:val="none" w:sz="0" w:space="0" w:color="auto"/>
            <w:bottom w:val="none" w:sz="0" w:space="0" w:color="auto"/>
            <w:right w:val="none" w:sz="0" w:space="0" w:color="auto"/>
          </w:divBdr>
        </w:div>
        <w:div w:id="637957885">
          <w:marLeft w:val="274"/>
          <w:marRight w:val="0"/>
          <w:marTop w:val="0"/>
          <w:marBottom w:val="0"/>
          <w:divBdr>
            <w:top w:val="none" w:sz="0" w:space="0" w:color="auto"/>
            <w:left w:val="none" w:sz="0" w:space="0" w:color="auto"/>
            <w:bottom w:val="none" w:sz="0" w:space="0" w:color="auto"/>
            <w:right w:val="none" w:sz="0" w:space="0" w:color="auto"/>
          </w:divBdr>
        </w:div>
        <w:div w:id="899634687">
          <w:marLeft w:val="274"/>
          <w:marRight w:val="0"/>
          <w:marTop w:val="0"/>
          <w:marBottom w:val="0"/>
          <w:divBdr>
            <w:top w:val="none" w:sz="0" w:space="0" w:color="auto"/>
            <w:left w:val="none" w:sz="0" w:space="0" w:color="auto"/>
            <w:bottom w:val="none" w:sz="0" w:space="0" w:color="auto"/>
            <w:right w:val="none" w:sz="0" w:space="0" w:color="auto"/>
          </w:divBdr>
        </w:div>
        <w:div w:id="710152619">
          <w:marLeft w:val="274"/>
          <w:marRight w:val="0"/>
          <w:marTop w:val="0"/>
          <w:marBottom w:val="0"/>
          <w:divBdr>
            <w:top w:val="none" w:sz="0" w:space="0" w:color="auto"/>
            <w:left w:val="none" w:sz="0" w:space="0" w:color="auto"/>
            <w:bottom w:val="none" w:sz="0" w:space="0" w:color="auto"/>
            <w:right w:val="none" w:sz="0" w:space="0" w:color="auto"/>
          </w:divBdr>
        </w:div>
      </w:divsChild>
    </w:div>
    <w:div w:id="1723096459">
      <w:bodyDiv w:val="1"/>
      <w:marLeft w:val="0"/>
      <w:marRight w:val="0"/>
      <w:marTop w:val="0"/>
      <w:marBottom w:val="0"/>
      <w:divBdr>
        <w:top w:val="none" w:sz="0" w:space="0" w:color="auto"/>
        <w:left w:val="none" w:sz="0" w:space="0" w:color="auto"/>
        <w:bottom w:val="none" w:sz="0" w:space="0" w:color="auto"/>
        <w:right w:val="none" w:sz="0" w:space="0" w:color="auto"/>
      </w:divBdr>
    </w:div>
    <w:div w:id="1786270227">
      <w:bodyDiv w:val="1"/>
      <w:marLeft w:val="0"/>
      <w:marRight w:val="0"/>
      <w:marTop w:val="0"/>
      <w:marBottom w:val="0"/>
      <w:divBdr>
        <w:top w:val="none" w:sz="0" w:space="0" w:color="auto"/>
        <w:left w:val="none" w:sz="0" w:space="0" w:color="auto"/>
        <w:bottom w:val="none" w:sz="0" w:space="0" w:color="auto"/>
        <w:right w:val="none" w:sz="0" w:space="0" w:color="auto"/>
      </w:divBdr>
      <w:divsChild>
        <w:div w:id="734208262">
          <w:marLeft w:val="1800"/>
          <w:marRight w:val="0"/>
          <w:marTop w:val="29"/>
          <w:marBottom w:val="0"/>
          <w:divBdr>
            <w:top w:val="none" w:sz="0" w:space="0" w:color="auto"/>
            <w:left w:val="none" w:sz="0" w:space="0" w:color="auto"/>
            <w:bottom w:val="none" w:sz="0" w:space="0" w:color="auto"/>
            <w:right w:val="none" w:sz="0" w:space="0" w:color="auto"/>
          </w:divBdr>
        </w:div>
      </w:divsChild>
    </w:div>
    <w:div w:id="1834102431">
      <w:bodyDiv w:val="1"/>
      <w:marLeft w:val="0"/>
      <w:marRight w:val="0"/>
      <w:marTop w:val="0"/>
      <w:marBottom w:val="0"/>
      <w:divBdr>
        <w:top w:val="none" w:sz="0" w:space="0" w:color="auto"/>
        <w:left w:val="none" w:sz="0" w:space="0" w:color="auto"/>
        <w:bottom w:val="none" w:sz="0" w:space="0" w:color="auto"/>
        <w:right w:val="none" w:sz="0" w:space="0" w:color="auto"/>
      </w:divBdr>
    </w:div>
    <w:div w:id="1939678059">
      <w:bodyDiv w:val="1"/>
      <w:marLeft w:val="0"/>
      <w:marRight w:val="0"/>
      <w:marTop w:val="0"/>
      <w:marBottom w:val="0"/>
      <w:divBdr>
        <w:top w:val="none" w:sz="0" w:space="0" w:color="auto"/>
        <w:left w:val="none" w:sz="0" w:space="0" w:color="auto"/>
        <w:bottom w:val="none" w:sz="0" w:space="0" w:color="auto"/>
        <w:right w:val="none" w:sz="0" w:space="0" w:color="auto"/>
      </w:divBdr>
      <w:divsChild>
        <w:div w:id="540435360">
          <w:marLeft w:val="1800"/>
          <w:marRight w:val="0"/>
          <w:marTop w:val="29"/>
          <w:marBottom w:val="0"/>
          <w:divBdr>
            <w:top w:val="none" w:sz="0" w:space="0" w:color="auto"/>
            <w:left w:val="none" w:sz="0" w:space="0" w:color="auto"/>
            <w:bottom w:val="none" w:sz="0" w:space="0" w:color="auto"/>
            <w:right w:val="none" w:sz="0" w:space="0" w:color="auto"/>
          </w:divBdr>
        </w:div>
        <w:div w:id="2121412971">
          <w:marLeft w:val="2520"/>
          <w:marRight w:val="0"/>
          <w:marTop w:val="29"/>
          <w:marBottom w:val="0"/>
          <w:divBdr>
            <w:top w:val="none" w:sz="0" w:space="0" w:color="auto"/>
            <w:left w:val="none" w:sz="0" w:space="0" w:color="auto"/>
            <w:bottom w:val="none" w:sz="0" w:space="0" w:color="auto"/>
            <w:right w:val="none" w:sz="0" w:space="0" w:color="auto"/>
          </w:divBdr>
        </w:div>
      </w:divsChild>
    </w:div>
    <w:div w:id="2007902190">
      <w:bodyDiv w:val="1"/>
      <w:marLeft w:val="0"/>
      <w:marRight w:val="0"/>
      <w:marTop w:val="0"/>
      <w:marBottom w:val="0"/>
      <w:divBdr>
        <w:top w:val="none" w:sz="0" w:space="0" w:color="auto"/>
        <w:left w:val="none" w:sz="0" w:space="0" w:color="auto"/>
        <w:bottom w:val="none" w:sz="0" w:space="0" w:color="auto"/>
        <w:right w:val="none" w:sz="0" w:space="0" w:color="auto"/>
      </w:divBdr>
    </w:div>
    <w:div w:id="210514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4F29A-A9E5-45FB-8F0E-60F3AB465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19236</Words>
  <Characters>109649</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Beaudoin</dc:creator>
  <cp:keywords/>
  <dc:description/>
  <cp:lastModifiedBy>James Beaudoin</cp:lastModifiedBy>
  <cp:revision>2</cp:revision>
  <cp:lastPrinted>2022-10-31T14:34:00Z</cp:lastPrinted>
  <dcterms:created xsi:type="dcterms:W3CDTF">2023-01-10T15:37:00Z</dcterms:created>
  <dcterms:modified xsi:type="dcterms:W3CDTF">2023-01-10T15:37:00Z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zotero-version="6.0.15"&gt;&lt;session id="OGKVLSHF"/&gt;&lt;style id="http://www.zotero.org/styles/frontiers-in-pharmacology" hasBibliography="1" bibliographyStyleHasBeenSet="1"/&gt;&lt;prefs&gt;&lt;pref name="fieldType" value="Field"/&gt;&lt;/prefs&gt;&lt;/data&gt;</vt:lpwstr>
  </property>
  <property fmtid="{D5CDD505-2E9C-101B-9397-08002B2CF9AE}" pid="3" name="MSIP_Label_9e795725-52d2-44ec-87ed-8b3b9e2ed4e5_Enabled">
    <vt:lpwstr>true</vt:lpwstr>
  </property>
  <property fmtid="{D5CDD505-2E9C-101B-9397-08002B2CF9AE}" pid="4" name="MSIP_Label_9e795725-52d2-44ec-87ed-8b3b9e2ed4e5_SetDate">
    <vt:lpwstr>2022-10-21T17:34:04Z</vt:lpwstr>
  </property>
  <property fmtid="{D5CDD505-2E9C-101B-9397-08002B2CF9AE}" pid="5" name="MSIP_Label_9e795725-52d2-44ec-87ed-8b3b9e2ed4e5_Method">
    <vt:lpwstr>Standard</vt:lpwstr>
  </property>
  <property fmtid="{D5CDD505-2E9C-101B-9397-08002B2CF9AE}" pid="6" name="MSIP_Label_9e795725-52d2-44ec-87ed-8b3b9e2ed4e5_Name">
    <vt:lpwstr>Internal</vt:lpwstr>
  </property>
  <property fmtid="{D5CDD505-2E9C-101B-9397-08002B2CF9AE}" pid="7" name="MSIP_Label_9e795725-52d2-44ec-87ed-8b3b9e2ed4e5_SiteId">
    <vt:lpwstr>a10ba484-6331-40ee-b0ab-cb737ca60a80</vt:lpwstr>
  </property>
  <property fmtid="{D5CDD505-2E9C-101B-9397-08002B2CF9AE}" pid="8" name="MSIP_Label_9e795725-52d2-44ec-87ed-8b3b9e2ed4e5_ActionId">
    <vt:lpwstr>59fe542d-fa1a-4da2-906c-6d55fae72c45</vt:lpwstr>
  </property>
  <property fmtid="{D5CDD505-2E9C-101B-9397-08002B2CF9AE}" pid="9" name="MSIP_Label_9e795725-52d2-44ec-87ed-8b3b9e2ed4e5_ContentBits">
    <vt:lpwstr>0</vt:lpwstr>
  </property>
</Properties>
</file>