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0A1218" w14:textId="785A158B" w:rsidR="00771DC2" w:rsidRDefault="00771DC2" w:rsidP="00F862F5">
      <w:pPr>
        <w:spacing w:before="0" w:after="200"/>
        <w:rPr>
          <w:rFonts w:eastAsia="Cambria" w:cs="Times New Roman"/>
          <w:b/>
          <w:sz w:val="28"/>
          <w:szCs w:val="28"/>
        </w:rPr>
      </w:pPr>
      <w:r w:rsidRPr="006D2659">
        <w:rPr>
          <w:rFonts w:eastAsia="Cambria" w:cs="Times New Roman"/>
          <w:b/>
          <w:sz w:val="28"/>
          <w:szCs w:val="28"/>
        </w:rPr>
        <w:t>Supplementary Material</w:t>
      </w:r>
    </w:p>
    <w:p w14:paraId="32F965BD" w14:textId="591B7386" w:rsidR="006D2659" w:rsidRPr="006D2659" w:rsidRDefault="006D2659" w:rsidP="00F862F5">
      <w:pPr>
        <w:jc w:val="both"/>
        <w:rPr>
          <w:b/>
          <w:bCs/>
          <w:szCs w:val="24"/>
          <w:lang w:val="en-GB"/>
        </w:rPr>
      </w:pPr>
      <w:r w:rsidRPr="006D2659">
        <w:rPr>
          <w:b/>
          <w:bCs/>
          <w:szCs w:val="24"/>
          <w:lang w:val="en-GB"/>
        </w:rPr>
        <w:t xml:space="preserve">Species identification and cultivation </w:t>
      </w:r>
    </w:p>
    <w:p w14:paraId="1E47F338" w14:textId="31D96B5A" w:rsidR="006D2659" w:rsidRDefault="006D2659" w:rsidP="00F862F5">
      <w:pPr>
        <w:rPr>
          <w:szCs w:val="24"/>
        </w:rPr>
      </w:pPr>
      <w:r w:rsidRPr="006D2659">
        <w:rPr>
          <w:szCs w:val="24"/>
        </w:rPr>
        <w:t xml:space="preserve">To isolate bacterial colonies, 100 </w:t>
      </w:r>
      <w:r w:rsidRPr="006D2659">
        <w:rPr>
          <w:rFonts w:cstheme="minorHAnsi"/>
          <w:szCs w:val="24"/>
        </w:rPr>
        <w:t>µ</w:t>
      </w:r>
      <w:r w:rsidRPr="006D2659">
        <w:rPr>
          <w:szCs w:val="24"/>
        </w:rPr>
        <w:t xml:space="preserve">l thawed urine (diluted 1:2 in PBS) was streaked onto Brilliance™ UTI Clarity™ agar (chromogenic agar, CM1106 </w:t>
      </w:r>
      <w:proofErr w:type="spellStart"/>
      <w:r w:rsidRPr="006D2659">
        <w:rPr>
          <w:szCs w:val="24"/>
        </w:rPr>
        <w:t>Oxoid</w:t>
      </w:r>
      <w:proofErr w:type="spellEnd"/>
      <w:r w:rsidRPr="006D2659">
        <w:rPr>
          <w:szCs w:val="24"/>
        </w:rPr>
        <w:t>) plates, incubated at 37</w:t>
      </w:r>
      <w:r w:rsidRPr="006D2659">
        <w:rPr>
          <w:rFonts w:cstheme="minorHAnsi"/>
          <w:szCs w:val="24"/>
        </w:rPr>
        <w:t>°</w:t>
      </w:r>
      <w:r w:rsidRPr="006D2659">
        <w:rPr>
          <w:szCs w:val="24"/>
        </w:rPr>
        <w:t>C for 24h according to the manufacturer’s instructions. To avoid bottlenecking genotypes, ten colonies (if accessible) per indicated species were picked in the same loop and streaked onto new agar plates to purify cultures. The cutoff for significant growth was in this study considered &gt;10</w:t>
      </w:r>
      <w:r w:rsidRPr="006D2659">
        <w:rPr>
          <w:szCs w:val="24"/>
          <w:vertAlign w:val="superscript"/>
        </w:rPr>
        <w:t>3</w:t>
      </w:r>
      <w:r w:rsidRPr="006D2659">
        <w:rPr>
          <w:szCs w:val="24"/>
        </w:rPr>
        <w:t xml:space="preserve"> CFU/ml (&gt;10</w:t>
      </w:r>
      <w:r w:rsidRPr="006D2659">
        <w:rPr>
          <w:szCs w:val="24"/>
          <w:vertAlign w:val="superscript"/>
        </w:rPr>
        <w:t>5</w:t>
      </w:r>
      <w:r w:rsidRPr="006D2659">
        <w:rPr>
          <w:szCs w:val="24"/>
        </w:rPr>
        <w:t xml:space="preserve"> for </w:t>
      </w:r>
      <w:r w:rsidRPr="006D2659">
        <w:rPr>
          <w:i/>
          <w:iCs/>
          <w:szCs w:val="24"/>
        </w:rPr>
        <w:t>Staphylococcus epidermidis</w:t>
      </w:r>
      <w:r w:rsidRPr="006D2659">
        <w:rPr>
          <w:szCs w:val="24"/>
        </w:rPr>
        <w:t xml:space="preserve">) with &gt;50 countable colonies per 50 </w:t>
      </w:r>
      <w:r w:rsidRPr="006D2659">
        <w:rPr>
          <w:rFonts w:cstheme="minorHAnsi"/>
          <w:szCs w:val="24"/>
        </w:rPr>
        <w:t>µ</w:t>
      </w:r>
      <w:r w:rsidRPr="006D2659">
        <w:rPr>
          <w:szCs w:val="24"/>
        </w:rPr>
        <w:t>l urine</w:t>
      </w:r>
      <w:r w:rsidR="00EA649B">
        <w:rPr>
          <w:szCs w:val="24"/>
        </w:rPr>
        <w:t xml:space="preserve"> (see supplementary table </w:t>
      </w:r>
      <w:r w:rsidR="00881AFC">
        <w:rPr>
          <w:szCs w:val="24"/>
        </w:rPr>
        <w:t>1</w:t>
      </w:r>
      <w:r w:rsidR="00EA649B">
        <w:rPr>
          <w:szCs w:val="24"/>
        </w:rPr>
        <w:t xml:space="preserve"> for more information)</w:t>
      </w:r>
      <w:r w:rsidRPr="006D2659">
        <w:rPr>
          <w:szCs w:val="24"/>
        </w:rPr>
        <w:t xml:space="preserve">. Bacterial species were identified using matrix-assisted laser desorption/ionization time-of-flight mass spectrometry (MALDI-TOF, Bruker </w:t>
      </w:r>
      <w:proofErr w:type="spellStart"/>
      <w:r w:rsidRPr="006D2659">
        <w:rPr>
          <w:szCs w:val="24"/>
        </w:rPr>
        <w:t>Biotyper</w:t>
      </w:r>
      <w:proofErr w:type="spellEnd"/>
      <w:r w:rsidRPr="006D2659">
        <w:rPr>
          <w:szCs w:val="24"/>
          <w:vertAlign w:val="superscript"/>
        </w:rPr>
        <w:t>®</w:t>
      </w:r>
      <w:r w:rsidRPr="006D2659">
        <w:rPr>
          <w:szCs w:val="24"/>
        </w:rPr>
        <w:t>), and dissolved colonies were frozen in Brain Heart Infusion (BHI) broth with 10% DMSO. Species confirmation and clonality control was performed for a subset of strains with whole-genome sequencing analysis and included long-scaffold BLAST, 16S analysis (</w:t>
      </w:r>
      <w:proofErr w:type="spellStart"/>
      <w:r w:rsidRPr="006D2659">
        <w:rPr>
          <w:szCs w:val="24"/>
        </w:rPr>
        <w:t>SpeciesFinder</w:t>
      </w:r>
      <w:proofErr w:type="spellEnd"/>
      <w:r w:rsidRPr="006D2659">
        <w:rPr>
          <w:szCs w:val="24"/>
        </w:rPr>
        <w:t xml:space="preserve"> 2.0)</w:t>
      </w:r>
      <w:r w:rsidRPr="006D2659">
        <w:rPr>
          <w:szCs w:val="24"/>
        </w:rPr>
        <w:fldChar w:fldCharType="begin" w:fldLock="1"/>
      </w:r>
      <w:r w:rsidR="001740D7">
        <w:rPr>
          <w:szCs w:val="24"/>
        </w:rPr>
        <w:instrText>ADDIN CSL_CITATION {"citationItems":[{"id":"ITEM-1","itemData":{"DOI":"10.1128/JCM.02981-13","ISSN":"1098-660X","PMID":"24574292","abstract":"One of the first issues that emerges when a prokaryotic organism of interest is encountered is the question of what it is-that is, which species it is. The 16S rRNA gene formed the basis of the first method for sequence-based taxonomy and has had a tremendous impact on the field of microbiology. Nevertheless, the method has been found to have a number of shortcomings. In the current study, we trained and benchmarked five methods for whole-genome sequence-based prokaryotic species identification on a common data set of complete genomes: (i) SpeciesFinder, which is based on the complete 16S rRNA gene; (ii) Reads2Type that searches for species-specific 50-mers in either the 16S rRNA gene or the gyrB gene (for the Enterobacteraceae family); (iii) the ribosomal multilocus sequence typing (rMLST) method that samples up to 53 ribosomal genes; (iv) TaxonomyFinder, which is based on species-specific functional protein domain profiles; and finally (v) KmerFinder, which examines the number of cooccurring k-mers (substrings of k nucleotides in DNA sequence data). The performances of the methods were subsequently evaluated on three data sets of short sequence reads or draft genomes from public databases. In total, the evaluation sets constituted sequence data from more than 11,000 isolates covering 159 genera and 243 species. Our results indicate that methods that sample only chromosomal, core genes have difficulties in distinguishing closely related species which only recently diverged. The KmerFinder method had the overall highest accuracy and correctly identified from 93% to 97% of the isolates in the evaluations sets. Copyright © 2014, American Society for Microbiology. All Rights Reserved.","author":[{"dropping-particle":"V.","family":"Larsen","given":"Mette","non-dropping-particle":"","parse-names":false,"suffix":""},{"dropping-particle":"","family":"Cosentino","given":"Salvatore","non-dropping-particle":"","parse-names":false,"suffix":""},{"dropping-particle":"","family":"Lukjancenko","given":"Oksana","non-dropping-particle":"","parse-names":false,"suffix":""},{"dropping-particle":"","family":"Saputra","given":"Dhany","non-dropping-particle":"","parse-names":false,"suffix":""},{"dropping-particle":"","family":"Rasmussen","given":"Simon","non-dropping-particle":"","parse-names":false,"suffix":""},{"dropping-particle":"","family":"Hasman","given":"Henrik","non-dropping-particle":"","parse-names":false,"suffix":""},{"dropping-particle":"","family":"Sicheritz-Pontén","given":"Thomas","non-dropping-particle":"","parse-names":false,"suffix":""},{"dropping-particle":"","family":"Aarestrup","given":"Frank M.","non-dropping-particle":"","parse-names":false,"suffix":""},{"dropping-particle":"","family":"Ussery","given":"David W.","non-dropping-particle":"","parse-names":false,"suffix":""},{"dropping-particle":"","family":"Lund","given":"Ole","non-dropping-particle":"","parse-names":false,"suffix":""}],"container-title":"Journal of clinical microbiology","id":"ITEM-1","issue":"5","issued":{"date-parts":[["2014"]]},"page":"1529-1539","publisher":"J Clin Microbiol","title":"Benchmarking of methods for genomic taxonomy","type":"article-journal","volume":"52"},"uris":["http://www.mendeley.com/documents/?uuid=009be9a6-5de1-3c52-8b3a-6aeb27107aa3"]}],"mendeley":{"formattedCitation":"(1)","plainTextFormattedCitation":"(1)","previouslyFormattedCitation":"(Larsen et al., 2014)"},"properties":{"noteIndex":0},"schema":"https://github.com/citation-style-language/schema/raw/master/csl-citation.json"}</w:instrText>
      </w:r>
      <w:r w:rsidRPr="006D2659">
        <w:rPr>
          <w:szCs w:val="24"/>
        </w:rPr>
        <w:fldChar w:fldCharType="separate"/>
      </w:r>
      <w:r w:rsidR="001740D7" w:rsidRPr="001740D7">
        <w:rPr>
          <w:noProof/>
          <w:szCs w:val="24"/>
        </w:rPr>
        <w:t>(1)</w:t>
      </w:r>
      <w:r w:rsidRPr="006D2659">
        <w:rPr>
          <w:szCs w:val="24"/>
        </w:rPr>
        <w:fldChar w:fldCharType="end"/>
      </w:r>
      <w:r w:rsidRPr="006D2659">
        <w:rPr>
          <w:szCs w:val="24"/>
        </w:rPr>
        <w:t>, MLST-typing (</w:t>
      </w:r>
      <w:proofErr w:type="spellStart"/>
      <w:r w:rsidRPr="006D2659">
        <w:rPr>
          <w:szCs w:val="24"/>
        </w:rPr>
        <w:t>pubMLST</w:t>
      </w:r>
      <w:proofErr w:type="spellEnd"/>
      <w:r w:rsidRPr="006D2659">
        <w:rPr>
          <w:szCs w:val="24"/>
        </w:rPr>
        <w:t>), serotyping (</w:t>
      </w:r>
      <w:r w:rsidRPr="006D2659">
        <w:rPr>
          <w:i/>
          <w:iCs/>
          <w:szCs w:val="24"/>
        </w:rPr>
        <w:t>Escherichia</w:t>
      </w:r>
      <w:r w:rsidRPr="006D2659">
        <w:rPr>
          <w:szCs w:val="24"/>
        </w:rPr>
        <w:t xml:space="preserve"> &amp; </w:t>
      </w:r>
      <w:r w:rsidRPr="006D2659">
        <w:rPr>
          <w:i/>
          <w:iCs/>
          <w:szCs w:val="24"/>
        </w:rPr>
        <w:t>Pseudomonas</w:t>
      </w:r>
      <w:r w:rsidRPr="006D2659">
        <w:rPr>
          <w:szCs w:val="24"/>
        </w:rPr>
        <w:t>)</w:t>
      </w:r>
      <w:r w:rsidRPr="006D2659">
        <w:rPr>
          <w:szCs w:val="24"/>
        </w:rPr>
        <w:fldChar w:fldCharType="begin" w:fldLock="1"/>
      </w:r>
      <w:r w:rsidR="001740D7">
        <w:rPr>
          <w:szCs w:val="24"/>
        </w:rPr>
        <w:instrText>ADDIN CSL_CITATION {"citationItems":[{"id":"ITEM-1","itemData":{"DOI":"10.1128/JCM.00349-16","ISSN":"1098-660X","PMID":"27098958","abstract":"Accurate typing methods are required for efficient infection control. The emergence of whole-genome sequencing (WGS) technologies has enabled the development of genome-based methods applicable for routine typing and surveillance of bacterial pathogens. In this study, we developed the Pseudomonas aeruginosa serotyper (PAst) program, which enabled in silico serotyping of P. aeruginosa isolates using WGS data. PAst has been made publically available as a web service and aptly facilitates highthroughput serotyping analysis. The program overcomes critical issues such as the loss of in vitro typeability often associated with P. aeruginosa isolates from chronic infections and quickly determines the serogroup of an isolate based on the sequence of the O-specific antigen (OSA) gene cluster. Here, PAst analysis of 1,649 genomes resulted in successful serogroup assignments in 99.27% of the cases. This frequency is rarely achievable by conventional serotyping methods. The limited number of nontypeable isolates found using PAst was the result of either a complete absence of OSA genes in the genomes or the artifact of genomic misassembly. With PAst, P. aeruginosa serotype data can be obtained from WGS information alone. PAst is a highly efficient alternative to conventional serotyping methods in relation to outbreak surveillance of serotype O12 and other high-risk clones, while maintaining backward compatibility to historical serotype data.","author":[{"dropping-particle":"","family":"Thrane","given":"Sandra Wingaard","non-dropping-particle":"","parse-names":false,"suffix":""},{"dropping-particle":"","family":"Taylor","given":"Véronique L.","non-dropping-particle":"","parse-names":false,"suffix":""},{"dropping-particle":"","family":"Lund","given":"Ole","non-dropping-particle":"","parse-names":false,"suffix":""},{"dropping-particle":"","family":"Lam","given":"Joseph S.","non-dropping-particle":"","parse-names":false,"suffix":""},{"dropping-particle":"","family":"Jelsbak","given":"Lars","non-dropping-particle":"","parse-names":false,"suffix":""}],"container-title":"Journal of clinical microbiology","id":"ITEM-1","issue":"7","issued":{"date-parts":[["2016","7","1"]]},"page":"1782-1788","publisher":"J Clin Microbiol","title":"Application of Whole-Genome Sequencing Data for O-Specific Antigen Analysis and In Silico Serotyping of Pseudomonas aeruginosa Isolates","type":"article-journal","volume":"54"},"uris":["http://www.mendeley.com/documents/?uuid=0371bee3-df6c-307e-9bc3-8fe6f00d82d2"]},{"id":"ITEM-2","itemData":{"DOI":"10.1128/JCM.00008-15","ISSN":"1098-660X","PMID":"25972421","abstract":"Accurate and rapid typing of pathogens is essential for effective surveillance and outbreak detection. Conventional serotyping of Escherichia coli is a delicate, laborious, time-consuming, and expensive procedure. With whole-genome sequencing (WGS) becoming cheaper, it has vast potential in routine typing and surveillance. The aim of this study was to establish a valid and publicly available tool for WGS-based in silico serotyping of E. coli applicable for routine typing and surveillance. A FASTA database of specific O-antigen processing system genes for O typing and flagellin genes for H typing was created as a component of the publicly available Web tools hosted by the Center for Genomic Epidemiology (CGE) (www.genomicepidemiology.org). All E. coli isolates available with WGS data and conventional serotype information were subjected to WGS-based serotyping employing this specific SerotypeFinder CGE tool. SerotypeFinder was evaluated on 682 E. coli genomes, 108 of which were sequenced for this study, where both the whole genome and the serotype were available. In total, 601 and 509 isolates were included for O and H typing, respectively. The O-antigen genes wzx, wzy, wzm, and wzt and the flagellin genes fliC, flkA, fllA, flmA, and flnA were detected in 569 and 508 genome sequences, respectively. SerotypeFinder for WGS-based O and H typing predicted 560 of 569 O types and 504 of 508 H types, consistent with conventional serotyping. In combination with other available WGS typing tools, E. coli serotyping can be performed solely from WGS data, providing faster and cheaper typing than current routine procedures and making WGS typing a superior alternative to conventional typing strategies.","author":[{"dropping-particle":"","family":"Joensen","given":"Katrine G.","non-dropping-particle":"","parse-names":false,"suffix":""},{"dropping-particle":"","family":"Tetzschner","given":"Anna M.M.","non-dropping-particle":"","parse-names":false,"suffix":""},{"dropping-particle":"","family":"Iguchi","given":"Atsushi","non-dropping-particle":"","parse-names":false,"suffix":""},{"dropping-particle":"","family":"Aarestrup","given":"Frank M.","non-dropping-particle":"","parse-names":false,"suffix":""},{"dropping-particle":"","family":"Scheutz","given":"Flemming","non-dropping-particle":"","parse-names":false,"suffix":""}],"container-title":"Journal of clinical microbiology","id":"ITEM-2","issue":"8","issued":{"date-parts":[["2015","8","1"]]},"page":"2410-2426","publisher":"J Clin Microbiol","title":"Rapid and Easy In Silico Serotyping of Escherichia coli Isolates by Use of Whole-Genome Sequencing Data","type":"article-journal","volume":"53"},"uris":["http://www.mendeley.com/documents/?uuid=9edb2c34-b18a-3ca1-a641-15fb66b4512a"]}],"mendeley":{"formattedCitation":"(2,3)","plainTextFormattedCitation":"(2,3)","previouslyFormattedCitation":"(Joensen et al., 2015; Thrane et al., 2016)"},"properties":{"noteIndex":0},"schema":"https://github.com/citation-style-language/schema/raw/master/csl-citation.json"}</w:instrText>
      </w:r>
      <w:r w:rsidRPr="006D2659">
        <w:rPr>
          <w:szCs w:val="24"/>
        </w:rPr>
        <w:fldChar w:fldCharType="separate"/>
      </w:r>
      <w:r w:rsidR="001740D7" w:rsidRPr="001740D7">
        <w:rPr>
          <w:noProof/>
          <w:szCs w:val="24"/>
        </w:rPr>
        <w:t>(2,3)</w:t>
      </w:r>
      <w:r w:rsidRPr="006D2659">
        <w:rPr>
          <w:szCs w:val="24"/>
        </w:rPr>
        <w:fldChar w:fldCharType="end"/>
      </w:r>
      <w:r w:rsidRPr="006D2659">
        <w:rPr>
          <w:szCs w:val="24"/>
        </w:rPr>
        <w:t>, and spa-typing (</w:t>
      </w:r>
      <w:r w:rsidRPr="006D2659">
        <w:rPr>
          <w:i/>
          <w:iCs/>
          <w:szCs w:val="24"/>
        </w:rPr>
        <w:t>Staphylococcus</w:t>
      </w:r>
      <w:r w:rsidRPr="006D2659">
        <w:rPr>
          <w:szCs w:val="24"/>
        </w:rPr>
        <w:t>)</w:t>
      </w:r>
      <w:r w:rsidRPr="006D2659">
        <w:rPr>
          <w:szCs w:val="24"/>
        </w:rPr>
        <w:fldChar w:fldCharType="begin" w:fldLock="1"/>
      </w:r>
      <w:r w:rsidR="001740D7">
        <w:rPr>
          <w:szCs w:val="24"/>
        </w:rPr>
        <w:instrText>ADDIN CSL_CITATION {"citationItems":[{"id":"ITEM-1","itemData":{"DOI":"10.1128/JCM.01979-14","ISSN":"1098660X","PMID":"25297335","abstract":"spa typing of methicillin-resistant Staphylococcus aureus (MRSA) has traditionally been done by PCR amplification and Sanger sequencing of the spa repeat region. At Hvidovre Hospital, Denmark, whole-genome sequencing (WGS) of all MRSA isolates has been performed routinely since January 2013, and an in-house analysis pipeline determines the spa types. Due to national surveillance, all MRSA isolates are sent to Statens Serum Institut, where the spa type is determined by PCR and Sanger sequencing. The purpose of this study was to evaluate the reliability of the spa types obtained by 150-bp paired-end Illumina WGS. MRSA isolates from new MRSA patients in 2013 (n=699) in the capital region of Denmark were included. We found a 97% agreement between spa types obtained by the two methods. All isolates achieved a spa type by both methods. Nineteen isolates differed in spa types by the two methods, in most cases due to the lack of 24-bp repeats in the whole-genome-sequenced isolates. These related but incorrect spa types should have no consequence in outbreak investigations, since all epidemiologically linked isolates, regardless of spa type, will be included in the single nucleotide polymorphism (SNP) analysis. This will reveal the close relatedness of the spa types. In conclusion, our data show that WGS is a reliable method to determine the spa type of MRSA.","author":[{"dropping-particle":"","family":"Bartels","given":"Mette Damkjær","non-dropping-particle":"","parse-names":false,"suffix":""},{"dropping-particle":"","family":"Petersen","given":"Andreas","non-dropping-particle":"","parse-names":false,"suffix":""},{"dropping-particle":"","family":"Worning","given":"Peder","non-dropping-particle":"","parse-names":false,"suffix":""},{"dropping-particle":"","family":"Nielsen","given":"Jesper Boye","non-dropping-particle":"","parse-names":false,"suffix":""},{"dropping-particle":"","family":"Larner-Svensson","given":"Hanna","non-dropping-particle":"","parse-names":false,"suffix":""},{"dropping-particle":"","family":"Johansen","given":"Helle Krogh","non-dropping-particle":"","parse-names":false,"suffix":""},{"dropping-particle":"","family":"Andersen","given":"Leif Percival","non-dropping-particle":"","parse-names":false,"suffix":""},{"dropping-particle":"","family":"Jarløv","given":"Jens Otto","non-dropping-particle":"","parse-names":false,"suffix":""},{"dropping-particle":"","family":"Boye","given":"Kit","non-dropping-particle":"","parse-names":false,"suffix":""},{"dropping-particle":"","family":"Larsen","given":"Anders Rhod","non-dropping-particle":"","parse-names":false,"suffix":""},{"dropping-particle":"","family":"Westh","given":"Henrik","non-dropping-particle":"","parse-names":false,"suffix":""}],"container-title":"Journal of Clinical Microbiology","id":"ITEM-1","issue":"12","issued":{"date-parts":[["2014","12","1"]]},"page":"4305","publisher":"American Society for Microbiology (ASM)","title":"Comparing Whole-Genome Sequencing with Sanger Sequencing for spa Typing of Methicillin-Resistant Staphylococcus aureus","type":"article-journal","volume":"52"},"uris":["http://www.mendeley.com/documents/?uuid=d3561c40-2ba1-3575-8653-4c48f5ff3388"]}],"mendeley":{"formattedCitation":"(4)","plainTextFormattedCitation":"(4)","previouslyFormattedCitation":"(Bartels et al., 2014)"},"properties":{"noteIndex":0},"schema":"https://github.com/citation-style-language/schema/raw/master/csl-citation.json"}</w:instrText>
      </w:r>
      <w:r w:rsidRPr="006D2659">
        <w:rPr>
          <w:szCs w:val="24"/>
        </w:rPr>
        <w:fldChar w:fldCharType="separate"/>
      </w:r>
      <w:r w:rsidR="001740D7" w:rsidRPr="001740D7">
        <w:rPr>
          <w:noProof/>
          <w:szCs w:val="24"/>
        </w:rPr>
        <w:t>(4)</w:t>
      </w:r>
      <w:r w:rsidRPr="006D2659">
        <w:rPr>
          <w:szCs w:val="24"/>
        </w:rPr>
        <w:fldChar w:fldCharType="end"/>
      </w:r>
      <w:r w:rsidRPr="006D2659">
        <w:rPr>
          <w:i/>
          <w:iCs/>
          <w:szCs w:val="24"/>
        </w:rPr>
        <w:t>.</w:t>
      </w:r>
      <w:r w:rsidRPr="006D2659">
        <w:rPr>
          <w:szCs w:val="24"/>
        </w:rPr>
        <w:t xml:space="preserve"> Sequence control and assembly were performed in CLC Genomics Workbench v21 as previously described from our lab</w:t>
      </w:r>
      <w:r w:rsidR="00447044">
        <w:rPr>
          <w:szCs w:val="24"/>
        </w:rPr>
        <w:t xml:space="preserve"> </w:t>
      </w:r>
      <w:r w:rsidRPr="006D2659">
        <w:rPr>
          <w:szCs w:val="24"/>
        </w:rPr>
        <w:fldChar w:fldCharType="begin" w:fldLock="1"/>
      </w:r>
      <w:r w:rsidR="001740D7">
        <w:rPr>
          <w:szCs w:val="24"/>
        </w:rPr>
        <w:instrText>ADDIN CSL_CITATION {"citationItems":[{"id":"ITEM-1","itemData":{"DOI":"10.3389/FMICB.2021.664665","ISSN":"1664-302X","PMID":"34054769","abstract":"The foodborne pathogen Yersinia enterocolitica causes gastrointestinal infections worldwide. In the spring of 2019, the Swedish Public Health Agency and Statens Serum Institut in Denmark independently identified an outbreak caused by Yersinia enterocolitica 4/O:3 that after sequence comparison turned out to be a cross-border outbreak. A trace-back investigation suggested shipments of fresh prewashed spinach from Italy as a common source for the outbreak. Here, we determined the genome sequences of five Y. enterocolitica clinical isolates during the Swedish outbreak using a combination of Illumina HiSeq short-read and Nanopore Technologies’ MinION long-read whole-genome sequencing. WGS results showed that all clinical strains have a fully assembled chromosome of approximately 4.6 Mbp in size and a 72-kbp virulence plasmid; one of the strains was carrying an additional 5.7-kbp plasmid, pYE-tet. All strains showed a high pathogen probability score (87.5%) with associated genes for virulence, all of which are closely related to an earlier clinical strain Y11 from Germany. In addition, we identified a chromosomally encoded multidrug-resistance cassette carrying resistance genes against chloramphenicol (catA1), streptomycin (aadA1), sulfonamides (sul1), and a mercury resistance module. This chromosomally encoded Tn2670 transposon has previously been reported associated with IncFII plasmids in Enterobacteriaceae: a Shigella flexneri clinical isolate from Japan in 1950s, a Klebsiella pneumoniae outbreak from Australia in 1997, and Salmonella enterica serovar Typhimurium. Interestingly, we identified an additional 5.7-kbp plasmid with tetB (encoding an ABC transporter), Rep, and its own ORI and ORIt sites, sharing high homology with small tetB-Rep plasmids from Pasteurellaceae. This is the first time that Tn2670 and Pasteurellaceae plasmids have been reported in Y. enterocolitica. Taken together, our study showed that the Swedish Y. enterocolitica outbreak strains acquired multi-antibiotic and metal-resistance genes through horizontal gene transfer, suggesting a potential reservoir of intraspecies dissemination of multidrug-resistance genes among foodborne pathogens. This study also highlights the concern of food-chain contamination of prewashed vegetables as a perpetual hazard against public health.","author":[{"dropping-particle":"","family":"Karlsson","given":"Philip A.","non-dropping-particle":"","parse-names":false,"suffix":""},{"dropping-particle":"","family":"Tano","given":"Eva","non-dropping-particle":"","parse-names":false,"suffix":""},{"dropping-particle":"","family":"Jernberg","given":"Cecilia","non-dropping-particle":"","parse-names":false,"suffix":""},{"dropping-particle":"","family":"Hickman","given":"Rachel A.","non-dropping-particle":"","parse-names":false,"suffix":""},{"dropping-particle":"","family":"Guy","given":"Lionel","non-dropping-particle":"","parse-names":false,"suffix":""},{"dropping-particle":"","family":"Järhult","given":"Josef D.","non-dropping-particle":"","parse-names":false,"suffix":""},{"dropping-particle":"","family":"Wang","given":"Helen","non-dropping-particle":"","parse-names":false,"suffix":""}],"container-title":"Frontiers in microbiology","id":"ITEM-1","issued":{"date-parts":[["2021","5","13"]]},"publisher":"Front Microbiol","title":"Molecular Characterization of Multidrug-Resistant Yersinia enterocolitica From Foodborne Outbreaks in Sweden","type":"article-journal","volume":"12"},"uris":["http://www.mendeley.com/documents/?uuid=1f91cc4b-b307-3922-a91e-c7a505865c29"]},{"id":"ITEM-2","itemData":{"DOI":"10.1128/MRA.00264-21","ISSN":"2576-098X","PMID":"33986087","abstract":" Here, we report the complete genome sequence of a Swedish clinical strain of Yersinia enterocolitica , Y72. With emerging Yersinia outbreaks circulating in Nordic countries, the Y72 genome will provide more insights on the genetic relatedness and antibiotic resistance dissemination in future studies.  Here, we report the complete genome sequence of a Swedish clinical strain of Yersinia enterocolitica , Y72. With emerging Yersinia outbreaks circulating in Nordic countries, the Y72 genome will provide more insights on the genetic relatedness and antibiotic resistance dissemination in future studies. ","author":[{"dropping-particle":"","family":"Karlsson","given":"Philip A.","non-dropping-particle":"","parse-names":false,"suffix":""},{"dropping-particle":"","family":"Hechard","given":"Tifaine","non-dropping-particle":"","parse-names":false,"suffix":""},{"dropping-particle":"","family":"Jernberg","given":"Cecilia","non-dropping-particle":"","parse-names":false,"suffix":""},{"dropping-particle":"","family":"Wang","given":"Helen","non-dropping-particle":"","parse-names":false,"suffix":""}],"container-title":"Microbiology resource announcements","id":"ITEM-2","issue":"19","issued":{"date-parts":[["2021","5","13"]]},"publisher":"Microbiol Resour Announc","title":"Complete Genome Assembly of Multidrug-Resistant Yersinia enterocolitica Y72, Isolated in Sweden","type":"article-journal","volume":"10"},"uris":["http://www.mendeley.com/documents/?uuid=55395f76-76f3-3739-9baa-dd83b0fe6860"]}],"mendeley":{"formattedCitation":"(5,6)","plainTextFormattedCitation":"(5,6)","previouslyFormattedCitation":"(Karlsson et al., 2021b, 2021a)"},"properties":{"noteIndex":0},"schema":"https://github.com/citation-style-language/schema/raw/master/csl-citation.json"}</w:instrText>
      </w:r>
      <w:r w:rsidRPr="006D2659">
        <w:rPr>
          <w:szCs w:val="24"/>
        </w:rPr>
        <w:fldChar w:fldCharType="separate"/>
      </w:r>
      <w:r w:rsidR="001740D7" w:rsidRPr="001740D7">
        <w:rPr>
          <w:noProof/>
          <w:szCs w:val="24"/>
        </w:rPr>
        <w:t>(5,6)</w:t>
      </w:r>
      <w:r w:rsidRPr="006D2659">
        <w:rPr>
          <w:szCs w:val="24"/>
        </w:rPr>
        <w:fldChar w:fldCharType="end"/>
      </w:r>
      <w:r w:rsidR="00447044">
        <w:rPr>
          <w:szCs w:val="24"/>
        </w:rPr>
        <w:t>.</w:t>
      </w:r>
      <w:r w:rsidRPr="006D2659">
        <w:rPr>
          <w:szCs w:val="24"/>
        </w:rPr>
        <w:t xml:space="preserve"> For sequencing, </w:t>
      </w:r>
      <w:r w:rsidRPr="006D2659">
        <w:rPr>
          <w:i/>
          <w:iCs/>
          <w:szCs w:val="24"/>
        </w:rPr>
        <w:t xml:space="preserve">Escherichia, Pseudomonas, </w:t>
      </w:r>
      <w:r w:rsidRPr="006D2659">
        <w:rPr>
          <w:szCs w:val="24"/>
        </w:rPr>
        <w:t>and</w:t>
      </w:r>
      <w:r w:rsidRPr="006D2659">
        <w:rPr>
          <w:i/>
          <w:iCs/>
          <w:szCs w:val="24"/>
        </w:rPr>
        <w:t xml:space="preserve"> Staphylococcus</w:t>
      </w:r>
      <w:r w:rsidRPr="006D2659">
        <w:rPr>
          <w:szCs w:val="24"/>
        </w:rPr>
        <w:t xml:space="preserve"> were grown with aeration on Luria agar (LA) and in Luria broth (LB) with shaking. </w:t>
      </w:r>
      <w:r w:rsidRPr="006D2659">
        <w:rPr>
          <w:i/>
          <w:iCs/>
          <w:szCs w:val="24"/>
        </w:rPr>
        <w:t>Enterococcus</w:t>
      </w:r>
      <w:r w:rsidRPr="006D2659">
        <w:rPr>
          <w:szCs w:val="24"/>
        </w:rPr>
        <w:t xml:space="preserve"> were grown on BHI agar and in BHI broth with shaking, </w:t>
      </w:r>
      <w:r w:rsidRPr="006D2659">
        <w:rPr>
          <w:i/>
          <w:iCs/>
          <w:szCs w:val="24"/>
        </w:rPr>
        <w:t>E. faecalis</w:t>
      </w:r>
      <w:r w:rsidRPr="006D2659">
        <w:rPr>
          <w:szCs w:val="24"/>
        </w:rPr>
        <w:t xml:space="preserve"> aerobically, and </w:t>
      </w:r>
      <w:r w:rsidRPr="006D2659">
        <w:rPr>
          <w:i/>
          <w:iCs/>
          <w:szCs w:val="24"/>
        </w:rPr>
        <w:t>E. faecium</w:t>
      </w:r>
      <w:r w:rsidRPr="006D2659">
        <w:rPr>
          <w:szCs w:val="24"/>
        </w:rPr>
        <w:t xml:space="preserve"> in microaerophilic tanks with atmosphere-altering kits (</w:t>
      </w:r>
      <w:proofErr w:type="spellStart"/>
      <w:r w:rsidRPr="006D2659">
        <w:rPr>
          <w:szCs w:val="24"/>
        </w:rPr>
        <w:t>Oxoid</w:t>
      </w:r>
      <w:proofErr w:type="spellEnd"/>
      <w:r w:rsidRPr="006D2659">
        <w:rPr>
          <w:szCs w:val="24"/>
        </w:rPr>
        <w:t xml:space="preserve">™ </w:t>
      </w:r>
      <w:proofErr w:type="spellStart"/>
      <w:r w:rsidRPr="006D2659">
        <w:rPr>
          <w:szCs w:val="24"/>
        </w:rPr>
        <w:t>CampyGen</w:t>
      </w:r>
      <w:proofErr w:type="spellEnd"/>
      <w:r w:rsidRPr="006D2659">
        <w:rPr>
          <w:szCs w:val="24"/>
        </w:rPr>
        <w:t xml:space="preserve">™ 2.5L, </w:t>
      </w:r>
      <w:proofErr w:type="spellStart"/>
      <w:r w:rsidRPr="006D2659">
        <w:rPr>
          <w:szCs w:val="24"/>
        </w:rPr>
        <w:t>ThermoFisher</w:t>
      </w:r>
      <w:proofErr w:type="spellEnd"/>
      <w:r w:rsidRPr="006D2659">
        <w:rPr>
          <w:szCs w:val="24"/>
        </w:rPr>
        <w:t xml:space="preserve">). In preparation for antimicrobial susceptibility testing, all strains were grown aerobically on Mueller Hinton (MH) agar plates, 24h for all strains except </w:t>
      </w:r>
      <w:r w:rsidRPr="006D2659">
        <w:rPr>
          <w:i/>
          <w:iCs/>
          <w:szCs w:val="24"/>
        </w:rPr>
        <w:t>Enterococcus</w:t>
      </w:r>
      <w:r w:rsidRPr="006D2659">
        <w:rPr>
          <w:szCs w:val="24"/>
        </w:rPr>
        <w:t xml:space="preserve"> which required 48h. All cultivation was carried out at 37</w:t>
      </w:r>
      <w:r w:rsidRPr="006D2659">
        <w:rPr>
          <w:rFonts w:cstheme="minorHAnsi"/>
          <w:szCs w:val="24"/>
        </w:rPr>
        <w:t>°</w:t>
      </w:r>
      <w:r w:rsidRPr="006D2659">
        <w:rPr>
          <w:szCs w:val="24"/>
        </w:rPr>
        <w:t xml:space="preserve">C. </w:t>
      </w:r>
    </w:p>
    <w:p w14:paraId="33B7951C" w14:textId="2D2E9B65" w:rsidR="005F676A" w:rsidRPr="00F862F5" w:rsidRDefault="005F676A" w:rsidP="005F676A">
      <w:pPr>
        <w:spacing w:before="0" w:after="200" w:line="276" w:lineRule="auto"/>
        <w:rPr>
          <w:szCs w:val="24"/>
        </w:rPr>
      </w:pPr>
      <w:r w:rsidRPr="00F862F5">
        <w:rPr>
          <w:b/>
          <w:bCs/>
          <w:szCs w:val="24"/>
        </w:rPr>
        <w:t xml:space="preserve">Supplementary Table </w:t>
      </w:r>
      <w:r w:rsidR="001740D7">
        <w:rPr>
          <w:b/>
          <w:bCs/>
          <w:szCs w:val="24"/>
        </w:rPr>
        <w:t>S</w:t>
      </w:r>
      <w:r>
        <w:rPr>
          <w:b/>
          <w:bCs/>
          <w:szCs w:val="24"/>
        </w:rPr>
        <w:t>1</w:t>
      </w:r>
      <w:r w:rsidRPr="00F862F5">
        <w:rPr>
          <w:b/>
          <w:bCs/>
          <w:szCs w:val="24"/>
        </w:rPr>
        <w:t xml:space="preserve">. Information on </w:t>
      </w:r>
      <w:r>
        <w:rPr>
          <w:b/>
          <w:bCs/>
          <w:szCs w:val="24"/>
        </w:rPr>
        <w:t>microbiological thresholds</w:t>
      </w:r>
      <w:r w:rsidRPr="00F862F5">
        <w:rPr>
          <w:b/>
          <w:bCs/>
          <w:szCs w:val="24"/>
        </w:rPr>
        <w:t>.</w:t>
      </w:r>
    </w:p>
    <w:p w14:paraId="24E024FF" w14:textId="77777777" w:rsidR="005F676A" w:rsidRDefault="005F676A" w:rsidP="005F676A">
      <w:pPr>
        <w:jc w:val="both"/>
        <w:rPr>
          <w:szCs w:val="24"/>
        </w:rPr>
      </w:pPr>
      <w:r>
        <w:rPr>
          <w:szCs w:val="24"/>
        </w:rPr>
        <w:t xml:space="preserve">No global consensus exists in the definition of microbiological significance for urinary tract infections. General agreements are found in that clinical symptoms should preferably coincide with growth of bacteria in urine (at a certain threshold), confirmed via colony forming unit count, or microscopy-related assessment. Different countries and institutions might or might not take catheterization or bacterial pathogenicity into account when defining UTIs. </w:t>
      </w:r>
    </w:p>
    <w:p w14:paraId="45F80B99" w14:textId="1E1D2A34" w:rsidR="005F676A" w:rsidRDefault="005F676A" w:rsidP="005F676A">
      <w:pPr>
        <w:jc w:val="both"/>
        <w:rPr>
          <w:szCs w:val="24"/>
        </w:rPr>
      </w:pPr>
      <w:r w:rsidRPr="00737EEC">
        <w:rPr>
          <w:szCs w:val="24"/>
        </w:rPr>
        <w:t xml:space="preserve">Swedish healthcare </w:t>
      </w:r>
      <w:r>
        <w:rPr>
          <w:szCs w:val="24"/>
        </w:rPr>
        <w:t xml:space="preserve">performs UTI diagnoses </w:t>
      </w:r>
      <w:r w:rsidRPr="00737EEC">
        <w:rPr>
          <w:szCs w:val="24"/>
        </w:rPr>
        <w:t xml:space="preserve">on symptomatology, chemical rapid tests (nitrate and leucocytes) and C-reactive protein level, occasionally aided by medical imaging (ultrasound/DMSA scintigraphy &amp; bladder X-ray). Routine urine cultivation is made </w:t>
      </w:r>
      <w:proofErr w:type="spellStart"/>
      <w:r w:rsidRPr="00737EEC">
        <w:rPr>
          <w:szCs w:val="24"/>
        </w:rPr>
        <w:t>semiquantitatively</w:t>
      </w:r>
      <w:proofErr w:type="spellEnd"/>
      <w:r w:rsidRPr="00737EEC">
        <w:rPr>
          <w:szCs w:val="24"/>
        </w:rPr>
        <w:t xml:space="preserve"> for species determination and AMR profiling on indication of UTI, and on treatment failure.</w:t>
      </w:r>
      <w:r>
        <w:rPr>
          <w:szCs w:val="24"/>
        </w:rPr>
        <w:t xml:space="preserve"> A diagnosis for healthcare-associated UTIs does currently not exist in Sweden, but catheter-associated UTI is still practically distinguished from non-catheterized UTI with regards to CFU threshold levels. This is different from the American CDC and the European ECDC which both use </w:t>
      </w:r>
      <w:r w:rsidRPr="00222430">
        <w:t>&gt;</w:t>
      </w:r>
      <w:r>
        <w:t>10</w:t>
      </w:r>
      <w:r>
        <w:rPr>
          <w:vertAlign w:val="superscript"/>
        </w:rPr>
        <w:t>5</w:t>
      </w:r>
      <w:r>
        <w:t xml:space="preserve"> CFU/ml as a threshold for all bacteria and collection methods </w:t>
      </w:r>
      <w:r>
        <w:fldChar w:fldCharType="begin" w:fldLock="1"/>
      </w:r>
      <w:r w:rsidR="001740D7">
        <w:instrText>ADDIN CSL_CITATION {"citationItems":[{"id":"ITEM-1","itemData":{"DOI":"10.2900/833186","ISBN":"9789294980595","abstract":"This protocol is for hospitals participating in the national/regional surveillance of healthcare-associated infections in intensive care units across Europe. It aims to describe methods for participating ICUs and national coordinating centres to ensure standardisation of definitions, data collection and reporting procedures. This protocol is an update of a previous version 2.1 released in June 2015.","author":[{"dropping-particle":"","family":"European centre for disease prevention and control","given":"","non-dropping-particle":"","parse-names":false,"suffix":""}],"container-title":"European Centre for Disease Prevention and Control","id":"ITEM-1","issued":{"date-parts":[["2017"]]},"page":"1- 50","title":"Surveillance of healthcare-associated infections and prevention indicators in European intensive care units - HAI-Net ICU protocol version 2.2","type":"article-journal"},"uris":["http://www.mendeley.com/documents/?uuid=60b55158-5757-3eb6-93d8-1a0e271a7e12"]}],"mendeley":{"formattedCitation":"(7)","plainTextFormattedCitation":"(7)","previouslyFormattedCitation":"(European centre for disease prevention and control, 2017)"},"properties":{"noteIndex":0},"schema":"https://github.com/citation-style-language/schema/raw/master/csl-citation.json"}</w:instrText>
      </w:r>
      <w:r>
        <w:fldChar w:fldCharType="separate"/>
      </w:r>
      <w:r w:rsidR="001740D7" w:rsidRPr="001740D7">
        <w:rPr>
          <w:noProof/>
        </w:rPr>
        <w:t>(7)</w:t>
      </w:r>
      <w:r>
        <w:fldChar w:fldCharType="end"/>
      </w:r>
      <w:r>
        <w:rPr>
          <w:szCs w:val="24"/>
        </w:rPr>
        <w:t xml:space="preserve">. The </w:t>
      </w:r>
      <w:r w:rsidRPr="00222430">
        <w:rPr>
          <w:szCs w:val="24"/>
        </w:rPr>
        <w:t>Swedish Medical Products Agency</w:t>
      </w:r>
      <w:r>
        <w:rPr>
          <w:szCs w:val="24"/>
        </w:rPr>
        <w:t xml:space="preserve"> has defined microbiological thresholds as following: </w:t>
      </w:r>
    </w:p>
    <w:p w14:paraId="57E1D8ED" w14:textId="77777777" w:rsidR="005F676A" w:rsidRDefault="005F676A" w:rsidP="005F676A">
      <w:pPr>
        <w:pStyle w:val="ListParagraph"/>
        <w:numPr>
          <w:ilvl w:val="0"/>
          <w:numId w:val="38"/>
        </w:numPr>
        <w:jc w:val="both"/>
      </w:pPr>
      <w:r>
        <w:t>P</w:t>
      </w:r>
      <w:r w:rsidRPr="00222430">
        <w:t>rimary pathogens</w:t>
      </w:r>
      <w:r>
        <w:t xml:space="preserve"> (midstream urine): </w:t>
      </w:r>
      <w:r w:rsidRPr="00222430">
        <w:t>&gt;</w:t>
      </w:r>
      <w:r>
        <w:t>10</w:t>
      </w:r>
      <w:r>
        <w:rPr>
          <w:vertAlign w:val="superscript"/>
        </w:rPr>
        <w:t>3</w:t>
      </w:r>
      <w:r>
        <w:t xml:space="preserve"> CFU/ml</w:t>
      </w:r>
    </w:p>
    <w:p w14:paraId="0E4BEEF7" w14:textId="77777777" w:rsidR="005F676A" w:rsidRDefault="005F676A" w:rsidP="005F676A">
      <w:pPr>
        <w:pStyle w:val="ListParagraph"/>
        <w:numPr>
          <w:ilvl w:val="0"/>
          <w:numId w:val="38"/>
        </w:numPr>
        <w:jc w:val="both"/>
      </w:pPr>
      <w:r>
        <w:t xml:space="preserve">Secondary pathogens (midstream urine): </w:t>
      </w:r>
      <w:r w:rsidRPr="00222430">
        <w:t>&gt;</w:t>
      </w:r>
      <w:r>
        <w:t>10</w:t>
      </w:r>
      <w:r>
        <w:rPr>
          <w:vertAlign w:val="superscript"/>
        </w:rPr>
        <w:t>4</w:t>
      </w:r>
      <w:r>
        <w:t xml:space="preserve"> CFU/ml</w:t>
      </w:r>
    </w:p>
    <w:p w14:paraId="121B3EAB" w14:textId="77777777" w:rsidR="005F676A" w:rsidRDefault="005F676A" w:rsidP="005F676A">
      <w:pPr>
        <w:pStyle w:val="ListParagraph"/>
        <w:numPr>
          <w:ilvl w:val="0"/>
          <w:numId w:val="38"/>
        </w:numPr>
        <w:jc w:val="both"/>
      </w:pPr>
      <w:r>
        <w:t xml:space="preserve">Doubtful pathogens (midstream urine): </w:t>
      </w:r>
      <w:r w:rsidRPr="00222430">
        <w:t>&gt;</w:t>
      </w:r>
      <w:r>
        <w:t>10</w:t>
      </w:r>
      <w:r>
        <w:rPr>
          <w:vertAlign w:val="superscript"/>
        </w:rPr>
        <w:t>5</w:t>
      </w:r>
      <w:r>
        <w:t xml:space="preserve"> CFU/ml</w:t>
      </w:r>
    </w:p>
    <w:p w14:paraId="3A3FDDCB" w14:textId="77777777" w:rsidR="005F676A" w:rsidRDefault="005F676A" w:rsidP="005F676A">
      <w:pPr>
        <w:pStyle w:val="ListParagraph"/>
        <w:numPr>
          <w:ilvl w:val="0"/>
          <w:numId w:val="38"/>
        </w:numPr>
        <w:jc w:val="both"/>
      </w:pPr>
      <w:r>
        <w:t xml:space="preserve">Any bacteria (bladder puncture): </w:t>
      </w:r>
      <w:r w:rsidRPr="00222430">
        <w:t>&gt;</w:t>
      </w:r>
      <w:r>
        <w:t>10</w:t>
      </w:r>
      <w:r>
        <w:rPr>
          <w:vertAlign w:val="superscript"/>
        </w:rPr>
        <w:t>2</w:t>
      </w:r>
      <w:r>
        <w:t xml:space="preserve"> CFU/ml</w:t>
      </w:r>
    </w:p>
    <w:p w14:paraId="3F2C8D03" w14:textId="77777777" w:rsidR="005F676A" w:rsidRPr="00222430" w:rsidRDefault="005F676A" w:rsidP="005F676A">
      <w:pPr>
        <w:pStyle w:val="ListParagraph"/>
        <w:numPr>
          <w:ilvl w:val="0"/>
          <w:numId w:val="38"/>
        </w:numPr>
        <w:jc w:val="both"/>
      </w:pPr>
      <w:r>
        <w:t xml:space="preserve">Any bacteria while UTI symptoms (from indwelling catheter): </w:t>
      </w:r>
      <w:r w:rsidRPr="00222430">
        <w:t>&gt;</w:t>
      </w:r>
      <w:r>
        <w:t>10</w:t>
      </w:r>
      <w:r>
        <w:rPr>
          <w:vertAlign w:val="superscript"/>
        </w:rPr>
        <w:t>3</w:t>
      </w:r>
      <w:r>
        <w:t xml:space="preserve"> CFU/ml</w:t>
      </w:r>
    </w:p>
    <w:p w14:paraId="0CDD3944" w14:textId="54C5903C" w:rsidR="0056107E" w:rsidRDefault="005F676A" w:rsidP="0056107E">
      <w:pPr>
        <w:jc w:val="both"/>
        <w:rPr>
          <w:szCs w:val="24"/>
        </w:rPr>
      </w:pPr>
      <w:r>
        <w:rPr>
          <w:szCs w:val="24"/>
        </w:rPr>
        <w:lastRenderedPageBreak/>
        <w:t xml:space="preserve">Clinical symptoms involved in assessment of UTIs include local pain and miction dysfunction (acute cystitis), fever and occasional abdominal pain (febrile UTI). All symptoms are arguably concealed by sedation or primary COVID-19 </w:t>
      </w:r>
      <w:r>
        <w:rPr>
          <w:szCs w:val="24"/>
        </w:rPr>
        <w:fldChar w:fldCharType="begin" w:fldLock="1"/>
      </w:r>
      <w:r w:rsidR="001740D7">
        <w:rPr>
          <w:szCs w:val="24"/>
        </w:rPr>
        <w:instrText>ADDIN CSL_CITATION {"citationItems":[{"id":"ITEM-1","itemData":{"abstract":"Denna behandlingsrekommendation omfattar initial handläggning och antibakteriell behandling av urinvägsinfektioner (UVI)\ni öppenvård. Sedan Läkemedelsverkets föregående behandlingsrekommendation om UVI hos kvinnor publicerades år 2007\nhar resistensläget förändrats. Den här rekommendationen omfattar även män och barn.\nBehandling av bakteriella STI (sexuellt överförbara infektioner, sexually transmitted infections) omfattas inte av detta\ndokument då separat behandlingsrekommendation om dessa infektioner från 2015 finns tillgänglig på www.lv.se/sti.\nBehandlingsrekommendationen baseras på ett expertmöte som arrangerades av Läkemedelsverket den 26–27 april 2017. Vid\nmötet deltog representanter för berörda medicinska specialiteter samt experter från Folkhälsomyndigheten och Läkemedelsverket.\nTill grund för behandlingsrekommendationen finns bakgrundsdokument, som innehåller referenser och baseras på vetenskaplig evidens avseende diagnostik, handläggning och antibiotikabehandling av UVI, samt produktresuméerna för respektive\nläkemedel. Rekommendationer för situationer där evidens saknas eller är otillräcklig baseras på konsensus i expertgruppen.\nHälsoekonomisk värdering ingår inte i Läkemedelsverkets behandlingsrekommendationer.","author":[{"dropping-particle":"","family":"Läkemedelsverket","given":"","non-dropping-particle":"","parse-names":false,"suffix":""}],"container-title":"Information från Läkemedelsverket nr 5 2017","id":"ITEM-1","issued":{"date-parts":[["2017"]]},"page":"16","publisher":"Läkemedelsverket","publisher-place":"Uppsala","title":"Läkemedelsbehandling av urinvägsinfektioner i öppenvård – behandlingsrekommendation","type":"chapter"},"uris":["http://www.mendeley.com/documents/?uuid=69c048f6-0253-3530-accd-6c23acae2d7c"]}],"mendeley":{"formattedCitation":"(8)","plainTextFormattedCitation":"(8)","previouslyFormattedCitation":"(Läkemedelsverket, 2017)"},"properties":{"noteIndex":0},"schema":"https://github.com/citation-style-language/schema/raw/master/csl-citation.json"}</w:instrText>
      </w:r>
      <w:r>
        <w:rPr>
          <w:szCs w:val="24"/>
        </w:rPr>
        <w:fldChar w:fldCharType="separate"/>
      </w:r>
      <w:r w:rsidR="001740D7" w:rsidRPr="001740D7">
        <w:rPr>
          <w:noProof/>
          <w:szCs w:val="24"/>
        </w:rPr>
        <w:t>(8)</w:t>
      </w:r>
      <w:r>
        <w:rPr>
          <w:szCs w:val="24"/>
        </w:rPr>
        <w:fldChar w:fldCharType="end"/>
      </w:r>
      <w:r>
        <w:rPr>
          <w:szCs w:val="24"/>
        </w:rPr>
        <w:t>.</w:t>
      </w:r>
      <w:r w:rsidR="001B17E4">
        <w:rPr>
          <w:szCs w:val="24"/>
        </w:rPr>
        <w:t xml:space="preserve"> The table below illustrates if the isolate is considered significant by Swedish and ECDC standards, and if the isolate was identified by routine microbiology.</w:t>
      </w:r>
    </w:p>
    <w:tbl>
      <w:tblPr>
        <w:tblStyle w:val="GridTable1Light"/>
        <w:tblW w:w="8642" w:type="dxa"/>
        <w:tblLayout w:type="fixed"/>
        <w:tblLook w:val="04A0" w:firstRow="1" w:lastRow="0" w:firstColumn="1" w:lastColumn="0" w:noHBand="0" w:noVBand="1"/>
      </w:tblPr>
      <w:tblGrid>
        <w:gridCol w:w="988"/>
        <w:gridCol w:w="2693"/>
        <w:gridCol w:w="992"/>
        <w:gridCol w:w="992"/>
        <w:gridCol w:w="993"/>
        <w:gridCol w:w="1984"/>
      </w:tblGrid>
      <w:tr w:rsidR="004D5BCC" w:rsidRPr="002100EA" w14:paraId="566F009D" w14:textId="17FC0A49" w:rsidTr="000F15A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noWrap/>
            <w:hideMark/>
          </w:tcPr>
          <w:p w14:paraId="1DEAA2C6" w14:textId="77777777" w:rsidR="002100EA" w:rsidRPr="000F15A6" w:rsidRDefault="002100EA" w:rsidP="005108A1">
            <w:pPr>
              <w:spacing w:before="0" w:after="0"/>
              <w:jc w:val="both"/>
              <w:rPr>
                <w:rFonts w:eastAsia="Times New Roman" w:cs="Times New Roman"/>
                <w:sz w:val="20"/>
                <w:szCs w:val="20"/>
                <w:lang w:val="en-SE" w:eastAsia="en-GB"/>
              </w:rPr>
            </w:pPr>
            <w:r w:rsidRPr="000F15A6">
              <w:rPr>
                <w:rFonts w:eastAsia="Times New Roman" w:cs="Times New Roman"/>
                <w:sz w:val="20"/>
                <w:szCs w:val="20"/>
                <w:lang w:val="en-SE" w:eastAsia="en-GB"/>
              </w:rPr>
              <w:t>Isolate</w:t>
            </w:r>
          </w:p>
        </w:tc>
        <w:tc>
          <w:tcPr>
            <w:tcW w:w="2693" w:type="dxa"/>
            <w:noWrap/>
            <w:hideMark/>
          </w:tcPr>
          <w:p w14:paraId="4D733AD4" w14:textId="77777777" w:rsidR="002100EA" w:rsidRPr="000F15A6" w:rsidRDefault="002100EA" w:rsidP="005108A1">
            <w:pPr>
              <w:spacing w:before="0" w:after="0"/>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SE" w:eastAsia="en-GB"/>
              </w:rPr>
            </w:pPr>
            <w:r w:rsidRPr="000F15A6">
              <w:rPr>
                <w:rFonts w:eastAsia="Times New Roman" w:cs="Times New Roman"/>
                <w:sz w:val="20"/>
                <w:szCs w:val="20"/>
                <w:lang w:val="en-SE" w:eastAsia="en-GB"/>
              </w:rPr>
              <w:t>Species</w:t>
            </w:r>
          </w:p>
        </w:tc>
        <w:tc>
          <w:tcPr>
            <w:tcW w:w="992" w:type="dxa"/>
          </w:tcPr>
          <w:p w14:paraId="58A4B9FF" w14:textId="77777777" w:rsidR="002100EA" w:rsidRPr="000F15A6" w:rsidRDefault="002100EA" w:rsidP="005108A1">
            <w:pPr>
              <w:spacing w:before="0" w:after="0"/>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sv-SE" w:eastAsia="en-GB"/>
              </w:rPr>
            </w:pPr>
            <w:r w:rsidRPr="000F15A6">
              <w:rPr>
                <w:rFonts w:eastAsia="Times New Roman" w:cs="Times New Roman"/>
                <w:sz w:val="20"/>
                <w:szCs w:val="20"/>
                <w:lang w:val="sv-SE" w:eastAsia="en-GB"/>
              </w:rPr>
              <w:t>Sweden</w:t>
            </w:r>
          </w:p>
        </w:tc>
        <w:tc>
          <w:tcPr>
            <w:tcW w:w="992" w:type="dxa"/>
          </w:tcPr>
          <w:p w14:paraId="42804374" w14:textId="77777777" w:rsidR="002100EA" w:rsidRPr="000F15A6" w:rsidRDefault="002100EA" w:rsidP="005108A1">
            <w:pPr>
              <w:spacing w:before="0" w:after="0"/>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sv-SE" w:eastAsia="en-GB"/>
              </w:rPr>
            </w:pPr>
            <w:r w:rsidRPr="000F15A6">
              <w:rPr>
                <w:rFonts w:eastAsia="Times New Roman" w:cs="Times New Roman"/>
                <w:sz w:val="20"/>
                <w:szCs w:val="20"/>
                <w:lang w:val="sv-SE" w:eastAsia="en-GB"/>
              </w:rPr>
              <w:t>ECDC</w:t>
            </w:r>
          </w:p>
        </w:tc>
        <w:tc>
          <w:tcPr>
            <w:tcW w:w="993" w:type="dxa"/>
          </w:tcPr>
          <w:p w14:paraId="4DA88E7C" w14:textId="097DA2D3" w:rsidR="002100EA" w:rsidRPr="000F15A6" w:rsidRDefault="005F676A" w:rsidP="005108A1">
            <w:pPr>
              <w:spacing w:before="0" w:after="0"/>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sv-SE" w:eastAsia="en-GB"/>
              </w:rPr>
            </w:pPr>
            <w:proofErr w:type="spellStart"/>
            <w:r>
              <w:rPr>
                <w:rFonts w:eastAsia="Times New Roman" w:cs="Times New Roman"/>
                <w:sz w:val="20"/>
                <w:szCs w:val="20"/>
                <w:lang w:val="sv-SE" w:eastAsia="en-GB"/>
              </w:rPr>
              <w:t>Routine</w:t>
            </w:r>
            <w:proofErr w:type="spellEnd"/>
            <w:r>
              <w:rPr>
                <w:rFonts w:eastAsia="Times New Roman" w:cs="Times New Roman"/>
                <w:sz w:val="20"/>
                <w:szCs w:val="20"/>
                <w:lang w:val="sv-SE" w:eastAsia="en-GB"/>
              </w:rPr>
              <w:t xml:space="preserve"> </w:t>
            </w:r>
            <w:proofErr w:type="spellStart"/>
            <w:r>
              <w:rPr>
                <w:rFonts w:eastAsia="Times New Roman" w:cs="Times New Roman"/>
                <w:sz w:val="20"/>
                <w:szCs w:val="20"/>
                <w:lang w:val="sv-SE" w:eastAsia="en-GB"/>
              </w:rPr>
              <w:t>Finding</w:t>
            </w:r>
            <w:proofErr w:type="spellEnd"/>
          </w:p>
        </w:tc>
        <w:tc>
          <w:tcPr>
            <w:tcW w:w="1984" w:type="dxa"/>
          </w:tcPr>
          <w:p w14:paraId="3B234B64" w14:textId="2417F1E4" w:rsidR="002100EA" w:rsidRPr="002100EA" w:rsidRDefault="007D249D" w:rsidP="005108A1">
            <w:pPr>
              <w:spacing w:before="0" w:after="0"/>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sv-SE" w:eastAsia="en-GB"/>
              </w:rPr>
            </w:pPr>
            <w:r>
              <w:rPr>
                <w:rFonts w:eastAsia="Times New Roman" w:cs="Times New Roman"/>
                <w:sz w:val="20"/>
                <w:szCs w:val="20"/>
                <w:lang w:val="sv-SE" w:eastAsia="en-GB"/>
              </w:rPr>
              <w:t xml:space="preserve">ICU </w:t>
            </w:r>
            <w:proofErr w:type="spellStart"/>
            <w:r>
              <w:rPr>
                <w:rFonts w:eastAsia="Times New Roman" w:cs="Times New Roman"/>
                <w:sz w:val="20"/>
                <w:szCs w:val="20"/>
                <w:lang w:val="sv-SE" w:eastAsia="en-GB"/>
              </w:rPr>
              <w:t>day</w:t>
            </w:r>
            <w:proofErr w:type="spellEnd"/>
            <w:r w:rsidR="004D5BCC">
              <w:rPr>
                <w:rFonts w:eastAsia="Times New Roman" w:cs="Times New Roman"/>
                <w:sz w:val="20"/>
                <w:szCs w:val="20"/>
                <w:lang w:val="sv-SE" w:eastAsia="en-GB"/>
              </w:rPr>
              <w:t>:</w:t>
            </w:r>
            <w:r>
              <w:rPr>
                <w:rFonts w:eastAsia="Times New Roman" w:cs="Times New Roman"/>
                <w:sz w:val="20"/>
                <w:szCs w:val="20"/>
                <w:lang w:val="sv-SE" w:eastAsia="en-GB"/>
              </w:rPr>
              <w:t xml:space="preserve"> 1st</w:t>
            </w:r>
            <w:r w:rsidR="004D5BCC">
              <w:rPr>
                <w:rFonts w:eastAsia="Times New Roman" w:cs="Times New Roman"/>
                <w:sz w:val="20"/>
                <w:szCs w:val="20"/>
                <w:lang w:val="sv-SE" w:eastAsia="en-GB"/>
              </w:rPr>
              <w:t xml:space="preserve"> </w:t>
            </w:r>
            <w:proofErr w:type="spellStart"/>
            <w:r w:rsidR="004D5BCC">
              <w:rPr>
                <w:rFonts w:eastAsia="Times New Roman" w:cs="Times New Roman"/>
                <w:sz w:val="20"/>
                <w:szCs w:val="20"/>
                <w:lang w:val="sv-SE" w:eastAsia="en-GB"/>
              </w:rPr>
              <w:t>isolate</w:t>
            </w:r>
            <w:proofErr w:type="spellEnd"/>
          </w:p>
        </w:tc>
      </w:tr>
      <w:tr w:rsidR="004D5BCC" w:rsidRPr="002100EA" w14:paraId="56F3299C" w14:textId="54100FFF"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7B777181"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w:t>
            </w:r>
          </w:p>
        </w:tc>
        <w:tc>
          <w:tcPr>
            <w:tcW w:w="2693" w:type="dxa"/>
            <w:noWrap/>
            <w:hideMark/>
          </w:tcPr>
          <w:p w14:paraId="304A6656"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Morganella morganii</w:t>
            </w:r>
          </w:p>
        </w:tc>
        <w:tc>
          <w:tcPr>
            <w:tcW w:w="992" w:type="dxa"/>
          </w:tcPr>
          <w:p w14:paraId="3144D07A"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37FEACFD"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No</w:t>
            </w:r>
          </w:p>
        </w:tc>
        <w:tc>
          <w:tcPr>
            <w:tcW w:w="993" w:type="dxa"/>
          </w:tcPr>
          <w:p w14:paraId="403F497D"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07428D38" w14:textId="1F4278DF" w:rsidR="002100EA" w:rsidRPr="002100EA" w:rsidRDefault="00AD6256"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10</w:t>
            </w:r>
          </w:p>
        </w:tc>
      </w:tr>
      <w:tr w:rsidR="004D5BCC" w:rsidRPr="002100EA" w14:paraId="61C27828" w14:textId="1F30602F"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49902069"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w:t>
            </w:r>
          </w:p>
        </w:tc>
        <w:tc>
          <w:tcPr>
            <w:tcW w:w="2693" w:type="dxa"/>
            <w:noWrap/>
            <w:hideMark/>
          </w:tcPr>
          <w:p w14:paraId="393834B6"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Escherichia coli</w:t>
            </w:r>
          </w:p>
        </w:tc>
        <w:tc>
          <w:tcPr>
            <w:tcW w:w="992" w:type="dxa"/>
          </w:tcPr>
          <w:p w14:paraId="3C4AF86B"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2328F398"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No</w:t>
            </w:r>
          </w:p>
        </w:tc>
        <w:tc>
          <w:tcPr>
            <w:tcW w:w="993" w:type="dxa"/>
          </w:tcPr>
          <w:p w14:paraId="7515D612"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1DE69F74" w14:textId="5C0CB95B" w:rsidR="002100EA" w:rsidRPr="002100EA" w:rsidRDefault="00AD6256"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10</w:t>
            </w:r>
          </w:p>
        </w:tc>
      </w:tr>
      <w:tr w:rsidR="004D5BCC" w:rsidRPr="002100EA" w14:paraId="5E8BE04F" w14:textId="337FD758"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7C888E0A"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3</w:t>
            </w:r>
          </w:p>
        </w:tc>
        <w:tc>
          <w:tcPr>
            <w:tcW w:w="2693" w:type="dxa"/>
            <w:noWrap/>
            <w:hideMark/>
          </w:tcPr>
          <w:p w14:paraId="1DBE0AF9"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faecalis</w:t>
            </w:r>
          </w:p>
        </w:tc>
        <w:tc>
          <w:tcPr>
            <w:tcW w:w="992" w:type="dxa"/>
          </w:tcPr>
          <w:p w14:paraId="1EB7B752"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0900757F"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No</w:t>
            </w:r>
          </w:p>
        </w:tc>
        <w:tc>
          <w:tcPr>
            <w:tcW w:w="993" w:type="dxa"/>
          </w:tcPr>
          <w:p w14:paraId="71A83F28"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4A751945" w14:textId="56C4982C" w:rsidR="002100EA" w:rsidRPr="002100EA" w:rsidRDefault="00AD6256"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10</w:t>
            </w:r>
          </w:p>
        </w:tc>
      </w:tr>
      <w:tr w:rsidR="004D5BCC" w:rsidRPr="002100EA" w14:paraId="030690AD" w14:textId="09573ECA"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37291D6D"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4</w:t>
            </w:r>
          </w:p>
        </w:tc>
        <w:tc>
          <w:tcPr>
            <w:tcW w:w="2693" w:type="dxa"/>
            <w:noWrap/>
            <w:hideMark/>
          </w:tcPr>
          <w:p w14:paraId="3F5AB990"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durans</w:t>
            </w:r>
          </w:p>
        </w:tc>
        <w:tc>
          <w:tcPr>
            <w:tcW w:w="992" w:type="dxa"/>
          </w:tcPr>
          <w:p w14:paraId="168D906C"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4FEA412C"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No</w:t>
            </w:r>
          </w:p>
        </w:tc>
        <w:tc>
          <w:tcPr>
            <w:tcW w:w="993" w:type="dxa"/>
          </w:tcPr>
          <w:p w14:paraId="68D308D4"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7310933C" w14:textId="7B6E625B" w:rsidR="002100EA" w:rsidRPr="002100EA" w:rsidRDefault="00AD6256"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22</w:t>
            </w:r>
          </w:p>
        </w:tc>
      </w:tr>
      <w:tr w:rsidR="004D5BCC" w:rsidRPr="002100EA" w14:paraId="48F1A61D" w14:textId="5DED6C6A" w:rsidTr="000F15A6">
        <w:trPr>
          <w:trHeight w:val="274"/>
        </w:trPr>
        <w:tc>
          <w:tcPr>
            <w:cnfStyle w:val="001000000000" w:firstRow="0" w:lastRow="0" w:firstColumn="1" w:lastColumn="0" w:oddVBand="0" w:evenVBand="0" w:oddHBand="0" w:evenHBand="0" w:firstRowFirstColumn="0" w:firstRowLastColumn="0" w:lastRowFirstColumn="0" w:lastRowLastColumn="0"/>
            <w:tcW w:w="988" w:type="dxa"/>
            <w:noWrap/>
          </w:tcPr>
          <w:p w14:paraId="2DE8E04A"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5</w:t>
            </w:r>
          </w:p>
        </w:tc>
        <w:tc>
          <w:tcPr>
            <w:tcW w:w="2693" w:type="dxa"/>
            <w:noWrap/>
            <w:hideMark/>
          </w:tcPr>
          <w:p w14:paraId="59F14D80"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faecium</w:t>
            </w:r>
          </w:p>
        </w:tc>
        <w:tc>
          <w:tcPr>
            <w:tcW w:w="992" w:type="dxa"/>
          </w:tcPr>
          <w:p w14:paraId="19371772"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718B3220"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040EDAEF"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78651604" w14:textId="5E53B26E" w:rsidR="002100EA" w:rsidRPr="002100EA" w:rsidRDefault="00AD6256"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2</w:t>
            </w:r>
            <w:r w:rsidR="00A27817">
              <w:rPr>
                <w:rFonts w:eastAsia="Times New Roman" w:cs="Times New Roman"/>
                <w:color w:val="000000"/>
                <w:sz w:val="20"/>
                <w:szCs w:val="20"/>
                <w:lang w:val="sv-SE" w:eastAsia="en-GB"/>
              </w:rPr>
              <w:t>4</w:t>
            </w:r>
          </w:p>
        </w:tc>
      </w:tr>
      <w:tr w:rsidR="004D5BCC" w:rsidRPr="002100EA" w14:paraId="6B5794AE" w14:textId="590A8CCA"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797E9593"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6</w:t>
            </w:r>
          </w:p>
        </w:tc>
        <w:tc>
          <w:tcPr>
            <w:tcW w:w="2693" w:type="dxa"/>
            <w:noWrap/>
            <w:hideMark/>
          </w:tcPr>
          <w:p w14:paraId="083D2FF4"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Escherichia coli</w:t>
            </w:r>
          </w:p>
        </w:tc>
        <w:tc>
          <w:tcPr>
            <w:tcW w:w="992" w:type="dxa"/>
          </w:tcPr>
          <w:p w14:paraId="2E654762"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7E7046BA"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34563C64"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04C80C9C" w14:textId="6D728C93" w:rsidR="002100EA" w:rsidRPr="002100EA" w:rsidRDefault="00AD6256"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2</w:t>
            </w:r>
            <w:r w:rsidR="00A27817">
              <w:rPr>
                <w:rFonts w:eastAsia="Times New Roman" w:cs="Times New Roman"/>
                <w:color w:val="000000"/>
                <w:sz w:val="20"/>
                <w:szCs w:val="20"/>
                <w:lang w:val="sv-SE" w:eastAsia="en-GB"/>
              </w:rPr>
              <w:t>4</w:t>
            </w:r>
          </w:p>
        </w:tc>
      </w:tr>
      <w:tr w:rsidR="004D5BCC" w:rsidRPr="002100EA" w14:paraId="62266161" w14:textId="09986D61"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19EFB493"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7</w:t>
            </w:r>
          </w:p>
        </w:tc>
        <w:tc>
          <w:tcPr>
            <w:tcW w:w="2693" w:type="dxa"/>
            <w:noWrap/>
            <w:hideMark/>
          </w:tcPr>
          <w:p w14:paraId="1BEF2B78"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faecium</w:t>
            </w:r>
          </w:p>
        </w:tc>
        <w:tc>
          <w:tcPr>
            <w:tcW w:w="992" w:type="dxa"/>
          </w:tcPr>
          <w:p w14:paraId="416359AF"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1B74662B"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No</w:t>
            </w:r>
          </w:p>
        </w:tc>
        <w:tc>
          <w:tcPr>
            <w:tcW w:w="993" w:type="dxa"/>
          </w:tcPr>
          <w:p w14:paraId="5B80400F"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37A8D843" w14:textId="6BF40D23" w:rsidR="002100EA" w:rsidRPr="002100EA" w:rsidRDefault="00A27817"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7</w:t>
            </w:r>
          </w:p>
        </w:tc>
      </w:tr>
      <w:tr w:rsidR="004D5BCC" w:rsidRPr="002100EA" w14:paraId="359D415B" w14:textId="637D5AC1"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7572AF96"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8</w:t>
            </w:r>
          </w:p>
        </w:tc>
        <w:tc>
          <w:tcPr>
            <w:tcW w:w="2693" w:type="dxa"/>
            <w:noWrap/>
            <w:hideMark/>
          </w:tcPr>
          <w:p w14:paraId="4BC6F62B"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durans</w:t>
            </w:r>
          </w:p>
        </w:tc>
        <w:tc>
          <w:tcPr>
            <w:tcW w:w="992" w:type="dxa"/>
          </w:tcPr>
          <w:p w14:paraId="2ADEA005"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39ADB5D6"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58259A4C"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5B0F84D7" w14:textId="5B5D7291" w:rsidR="002100EA" w:rsidRPr="002100EA" w:rsidRDefault="00A27817"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19</w:t>
            </w:r>
          </w:p>
        </w:tc>
      </w:tr>
      <w:tr w:rsidR="004D5BCC" w:rsidRPr="002100EA" w14:paraId="51D87F64" w14:textId="7D680711"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6CE1218A"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9</w:t>
            </w:r>
          </w:p>
        </w:tc>
        <w:tc>
          <w:tcPr>
            <w:tcW w:w="2693" w:type="dxa"/>
            <w:noWrap/>
            <w:hideMark/>
          </w:tcPr>
          <w:p w14:paraId="13D0910A"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Pseudomonas aeruginosa</w:t>
            </w:r>
          </w:p>
        </w:tc>
        <w:tc>
          <w:tcPr>
            <w:tcW w:w="992" w:type="dxa"/>
          </w:tcPr>
          <w:p w14:paraId="4358E14F"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43C861C6"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795BCD1B"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1AE404A6" w14:textId="6C533211" w:rsidR="002100EA" w:rsidRPr="002100EA" w:rsidRDefault="009D68F4"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25</w:t>
            </w:r>
          </w:p>
        </w:tc>
      </w:tr>
      <w:tr w:rsidR="004D5BCC" w:rsidRPr="002100EA" w14:paraId="7A64343F" w14:textId="38931651"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799BFF75"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10</w:t>
            </w:r>
          </w:p>
        </w:tc>
        <w:tc>
          <w:tcPr>
            <w:tcW w:w="2693" w:type="dxa"/>
            <w:noWrap/>
            <w:hideMark/>
          </w:tcPr>
          <w:p w14:paraId="70A42D6D"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faecalis</w:t>
            </w:r>
          </w:p>
        </w:tc>
        <w:tc>
          <w:tcPr>
            <w:tcW w:w="992" w:type="dxa"/>
          </w:tcPr>
          <w:p w14:paraId="656FAD99"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0863C24B"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76216673"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7DCBFC3C" w14:textId="59B45077" w:rsidR="002100EA" w:rsidRPr="002100EA" w:rsidRDefault="007D249D"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32</w:t>
            </w:r>
          </w:p>
        </w:tc>
      </w:tr>
      <w:tr w:rsidR="004D5BCC" w:rsidRPr="002100EA" w14:paraId="73F2EF71" w14:textId="15988FB2"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7135596F"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11</w:t>
            </w:r>
          </w:p>
        </w:tc>
        <w:tc>
          <w:tcPr>
            <w:tcW w:w="2693" w:type="dxa"/>
            <w:noWrap/>
            <w:hideMark/>
          </w:tcPr>
          <w:p w14:paraId="26B4DD9A"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Staphylococcus aureus</w:t>
            </w:r>
          </w:p>
        </w:tc>
        <w:tc>
          <w:tcPr>
            <w:tcW w:w="992" w:type="dxa"/>
          </w:tcPr>
          <w:p w14:paraId="03A6348A"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1A3A5293"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4A7E8CF8"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18CD69EC" w14:textId="6A6D30C0" w:rsidR="002100EA" w:rsidRPr="002100EA" w:rsidRDefault="004D5BCC"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32</w:t>
            </w:r>
          </w:p>
        </w:tc>
      </w:tr>
      <w:tr w:rsidR="004D5BCC" w:rsidRPr="002100EA" w14:paraId="2C104DEE" w14:textId="1B653670"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49D8AABA" w14:textId="77777777" w:rsidR="002100EA" w:rsidRPr="000F15A6" w:rsidRDefault="002100EA" w:rsidP="005108A1">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12</w:t>
            </w:r>
          </w:p>
        </w:tc>
        <w:tc>
          <w:tcPr>
            <w:tcW w:w="2693" w:type="dxa"/>
            <w:noWrap/>
            <w:hideMark/>
          </w:tcPr>
          <w:p w14:paraId="181A71F9"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Corynebacterium</w:t>
            </w:r>
          </w:p>
        </w:tc>
        <w:tc>
          <w:tcPr>
            <w:tcW w:w="992" w:type="dxa"/>
          </w:tcPr>
          <w:p w14:paraId="49930D1C"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296AD918"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0317331B" w14:textId="77777777" w:rsidR="002100EA" w:rsidRPr="000F15A6" w:rsidRDefault="002100EA"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14E626E7" w14:textId="4BE74F93" w:rsidR="002100EA" w:rsidRPr="002100EA" w:rsidRDefault="004D5BCC" w:rsidP="005108A1">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2 </w:t>
            </w:r>
          </w:p>
        </w:tc>
      </w:tr>
      <w:tr w:rsidR="004D5BCC" w:rsidRPr="002100EA" w14:paraId="5F990B69" w14:textId="5C6F38F1"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088A6302" w14:textId="77777777" w:rsidR="004D5BCC" w:rsidRPr="000F15A6" w:rsidRDefault="004D5BCC" w:rsidP="004D5BCC">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13</w:t>
            </w:r>
          </w:p>
        </w:tc>
        <w:tc>
          <w:tcPr>
            <w:tcW w:w="2693" w:type="dxa"/>
            <w:noWrap/>
            <w:hideMark/>
          </w:tcPr>
          <w:p w14:paraId="4004E90B"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Escherichia coli</w:t>
            </w:r>
          </w:p>
        </w:tc>
        <w:tc>
          <w:tcPr>
            <w:tcW w:w="992" w:type="dxa"/>
          </w:tcPr>
          <w:p w14:paraId="176D1002"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4E0BDB5E"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37EB794B"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31E86B44" w14:textId="03E4930C" w:rsidR="004D5BCC" w:rsidRPr="002100EA"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2 </w:t>
            </w:r>
          </w:p>
        </w:tc>
      </w:tr>
      <w:tr w:rsidR="004D5BCC" w:rsidRPr="002100EA" w14:paraId="4590BEE5" w14:textId="3C67D0E4"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0D579AD5" w14:textId="77777777" w:rsidR="004D5BCC" w:rsidRPr="000F15A6" w:rsidRDefault="004D5BCC" w:rsidP="004D5BCC">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14</w:t>
            </w:r>
          </w:p>
        </w:tc>
        <w:tc>
          <w:tcPr>
            <w:tcW w:w="2693" w:type="dxa"/>
            <w:noWrap/>
            <w:hideMark/>
          </w:tcPr>
          <w:p w14:paraId="74DB8F21"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faecalis</w:t>
            </w:r>
          </w:p>
        </w:tc>
        <w:tc>
          <w:tcPr>
            <w:tcW w:w="992" w:type="dxa"/>
          </w:tcPr>
          <w:p w14:paraId="260ED635"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223C746A"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044AD317"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75C595B7" w14:textId="4AAFF23E" w:rsidR="004D5BCC" w:rsidRPr="002100EA"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19</w:t>
            </w:r>
          </w:p>
        </w:tc>
      </w:tr>
      <w:tr w:rsidR="004D5BCC" w:rsidRPr="002100EA" w14:paraId="56F97C51" w14:textId="380D73FC"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5CF8311B" w14:textId="77777777" w:rsidR="004D5BCC" w:rsidRPr="000F15A6" w:rsidRDefault="004D5BCC" w:rsidP="004D5BCC">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15</w:t>
            </w:r>
          </w:p>
        </w:tc>
        <w:tc>
          <w:tcPr>
            <w:tcW w:w="2693" w:type="dxa"/>
            <w:noWrap/>
            <w:hideMark/>
          </w:tcPr>
          <w:p w14:paraId="3880B173"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Escherichia coli</w:t>
            </w:r>
          </w:p>
        </w:tc>
        <w:tc>
          <w:tcPr>
            <w:tcW w:w="992" w:type="dxa"/>
          </w:tcPr>
          <w:p w14:paraId="3C245E0C"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5A38C0F5"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4E4F6599"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7727509A" w14:textId="399B4172" w:rsidR="004D5BCC" w:rsidRPr="002100EA" w:rsidRDefault="000F15A6"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19</w:t>
            </w:r>
          </w:p>
        </w:tc>
      </w:tr>
      <w:tr w:rsidR="004D5BCC" w:rsidRPr="002100EA" w14:paraId="7C5D72B1" w14:textId="3A4C1DC8" w:rsidTr="000F15A6">
        <w:trPr>
          <w:trHeight w:val="300"/>
        </w:trPr>
        <w:tc>
          <w:tcPr>
            <w:cnfStyle w:val="001000000000" w:firstRow="0" w:lastRow="0" w:firstColumn="1" w:lastColumn="0" w:oddVBand="0" w:evenVBand="0" w:oddHBand="0" w:evenHBand="0" w:firstRowFirstColumn="0" w:firstRowLastColumn="0" w:lastRowFirstColumn="0" w:lastRowLastColumn="0"/>
            <w:tcW w:w="988" w:type="dxa"/>
            <w:noWrap/>
          </w:tcPr>
          <w:p w14:paraId="3C23122F" w14:textId="77777777" w:rsidR="004D5BCC" w:rsidRPr="000F15A6" w:rsidRDefault="004D5BCC" w:rsidP="004D5BCC">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16</w:t>
            </w:r>
          </w:p>
        </w:tc>
        <w:tc>
          <w:tcPr>
            <w:tcW w:w="2693" w:type="dxa"/>
            <w:noWrap/>
            <w:hideMark/>
          </w:tcPr>
          <w:p w14:paraId="287D57FD"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faecium</w:t>
            </w:r>
          </w:p>
        </w:tc>
        <w:tc>
          <w:tcPr>
            <w:tcW w:w="992" w:type="dxa"/>
          </w:tcPr>
          <w:p w14:paraId="6BA54040"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3D9ED20F"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10ED5834"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151F429F" w14:textId="57118ACA" w:rsidR="004D5BCC" w:rsidRPr="002100EA" w:rsidRDefault="000F15A6"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18</w:t>
            </w:r>
          </w:p>
        </w:tc>
      </w:tr>
      <w:tr w:rsidR="004D5BCC" w:rsidRPr="002100EA" w14:paraId="1F9E073A" w14:textId="6B4B93BE"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2805EC29" w14:textId="77777777" w:rsidR="004D5BCC" w:rsidRPr="000F15A6" w:rsidRDefault="004D5BCC" w:rsidP="004D5BCC">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17</w:t>
            </w:r>
          </w:p>
        </w:tc>
        <w:tc>
          <w:tcPr>
            <w:tcW w:w="2693" w:type="dxa"/>
            <w:noWrap/>
            <w:hideMark/>
          </w:tcPr>
          <w:p w14:paraId="06419E1D"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Staphylococcus hominis</w:t>
            </w:r>
          </w:p>
        </w:tc>
        <w:tc>
          <w:tcPr>
            <w:tcW w:w="992" w:type="dxa"/>
          </w:tcPr>
          <w:p w14:paraId="1E5B8160"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377EF440"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1C6D13D1" w14:textId="77777777" w:rsidR="004D5BCC" w:rsidRPr="000F15A6" w:rsidRDefault="004D5BCC"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4D6FD2E3" w14:textId="119A194E" w:rsidR="004D5BCC" w:rsidRPr="002100EA" w:rsidRDefault="000F15A6" w:rsidP="004D5BC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3 </w:t>
            </w:r>
          </w:p>
        </w:tc>
      </w:tr>
      <w:tr w:rsidR="000F15A6" w:rsidRPr="002100EA" w14:paraId="16DA859A" w14:textId="55FA39D6"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0C880ECB"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18</w:t>
            </w:r>
          </w:p>
        </w:tc>
        <w:tc>
          <w:tcPr>
            <w:tcW w:w="2693" w:type="dxa"/>
            <w:noWrap/>
            <w:hideMark/>
          </w:tcPr>
          <w:p w14:paraId="5AAC499A"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Escherichia coli</w:t>
            </w:r>
          </w:p>
        </w:tc>
        <w:tc>
          <w:tcPr>
            <w:tcW w:w="992" w:type="dxa"/>
          </w:tcPr>
          <w:p w14:paraId="1E907A34"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27ACEDE4"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302F04DE"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7B89ABBE" w14:textId="524BB148" w:rsidR="000F15A6" w:rsidRPr="002100EA"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3 </w:t>
            </w:r>
          </w:p>
        </w:tc>
      </w:tr>
      <w:tr w:rsidR="000F15A6" w:rsidRPr="002100EA" w14:paraId="0333ABC3" w14:textId="6B8E9287"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58442D53"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19</w:t>
            </w:r>
          </w:p>
        </w:tc>
        <w:tc>
          <w:tcPr>
            <w:tcW w:w="2693" w:type="dxa"/>
            <w:noWrap/>
            <w:hideMark/>
          </w:tcPr>
          <w:p w14:paraId="4A8BB4D3"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faecalis</w:t>
            </w:r>
          </w:p>
        </w:tc>
        <w:tc>
          <w:tcPr>
            <w:tcW w:w="992" w:type="dxa"/>
          </w:tcPr>
          <w:p w14:paraId="6CA4DD2A"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0BC57E49"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328A6AE5"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579844A5" w14:textId="03CE3009" w:rsidR="000F15A6" w:rsidRPr="002100EA"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3 </w:t>
            </w:r>
          </w:p>
        </w:tc>
      </w:tr>
      <w:tr w:rsidR="000F15A6" w:rsidRPr="002100EA" w14:paraId="775393E4" w14:textId="078E54AC"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7050FFC6"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20</w:t>
            </w:r>
          </w:p>
        </w:tc>
        <w:tc>
          <w:tcPr>
            <w:tcW w:w="2693" w:type="dxa"/>
            <w:noWrap/>
            <w:hideMark/>
          </w:tcPr>
          <w:p w14:paraId="6E714803"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Pseudomonas aeruginosa</w:t>
            </w:r>
          </w:p>
        </w:tc>
        <w:tc>
          <w:tcPr>
            <w:tcW w:w="992" w:type="dxa"/>
          </w:tcPr>
          <w:p w14:paraId="0AE4A064"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7FE9D532"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48A4DA32"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7A52FF15" w14:textId="73595F85" w:rsidR="000F15A6" w:rsidRPr="002100EA"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10</w:t>
            </w:r>
          </w:p>
        </w:tc>
      </w:tr>
      <w:tr w:rsidR="000F15A6" w:rsidRPr="002100EA" w14:paraId="3598F557" w14:textId="5D10B619"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5C5D88F6"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21</w:t>
            </w:r>
          </w:p>
        </w:tc>
        <w:tc>
          <w:tcPr>
            <w:tcW w:w="2693" w:type="dxa"/>
            <w:noWrap/>
            <w:hideMark/>
          </w:tcPr>
          <w:p w14:paraId="0B5C3E61"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Staphylococcus capitis</w:t>
            </w:r>
          </w:p>
        </w:tc>
        <w:tc>
          <w:tcPr>
            <w:tcW w:w="992" w:type="dxa"/>
          </w:tcPr>
          <w:p w14:paraId="6CD1D020"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482A4101"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180C9410"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6526C575" w14:textId="18158118" w:rsidR="000F15A6" w:rsidRPr="002100EA"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2 </w:t>
            </w:r>
          </w:p>
        </w:tc>
      </w:tr>
      <w:tr w:rsidR="000F15A6" w:rsidRPr="002100EA" w14:paraId="6003B620" w14:textId="1B71F452"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4808E80A"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22</w:t>
            </w:r>
          </w:p>
        </w:tc>
        <w:tc>
          <w:tcPr>
            <w:tcW w:w="2693" w:type="dxa"/>
            <w:noWrap/>
            <w:hideMark/>
          </w:tcPr>
          <w:p w14:paraId="18BAB4E2"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Staphylococcus epidermidis</w:t>
            </w:r>
          </w:p>
        </w:tc>
        <w:tc>
          <w:tcPr>
            <w:tcW w:w="992" w:type="dxa"/>
          </w:tcPr>
          <w:p w14:paraId="4DB9EF22"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7117CB8F"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38E90F7B"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7DB6A6F5" w14:textId="2E47ED5D" w:rsidR="000F15A6" w:rsidRPr="002100EA" w:rsidRDefault="00675B1D"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9</w:t>
            </w:r>
          </w:p>
        </w:tc>
      </w:tr>
      <w:tr w:rsidR="000F15A6" w:rsidRPr="002100EA" w14:paraId="2B552D36" w14:textId="632FF58B"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096EDEAB"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23</w:t>
            </w:r>
          </w:p>
        </w:tc>
        <w:tc>
          <w:tcPr>
            <w:tcW w:w="2693" w:type="dxa"/>
            <w:noWrap/>
            <w:hideMark/>
          </w:tcPr>
          <w:p w14:paraId="7D60EEF4"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Citrobacter koseri</w:t>
            </w:r>
          </w:p>
        </w:tc>
        <w:tc>
          <w:tcPr>
            <w:tcW w:w="992" w:type="dxa"/>
          </w:tcPr>
          <w:p w14:paraId="0ABC069F"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6A56BE87"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1CD826CC"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41EBCF1B" w14:textId="34A719B0" w:rsidR="000F15A6" w:rsidRPr="002100EA" w:rsidRDefault="00675B1D"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33</w:t>
            </w:r>
          </w:p>
        </w:tc>
      </w:tr>
      <w:tr w:rsidR="000F15A6" w:rsidRPr="002100EA" w14:paraId="2CFED6EC" w14:textId="0E751115"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7DB446EE"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24</w:t>
            </w:r>
          </w:p>
        </w:tc>
        <w:tc>
          <w:tcPr>
            <w:tcW w:w="2693" w:type="dxa"/>
            <w:noWrap/>
            <w:hideMark/>
          </w:tcPr>
          <w:p w14:paraId="08122242"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Citrobacter koseri</w:t>
            </w:r>
          </w:p>
        </w:tc>
        <w:tc>
          <w:tcPr>
            <w:tcW w:w="992" w:type="dxa"/>
          </w:tcPr>
          <w:p w14:paraId="3AB8F2F4"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644D3E39"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02590AC5"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3C1D170A" w14:textId="1E88733D" w:rsidR="000F15A6" w:rsidRPr="002100EA" w:rsidRDefault="00675B1D"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43</w:t>
            </w:r>
          </w:p>
        </w:tc>
      </w:tr>
      <w:tr w:rsidR="000F15A6" w:rsidRPr="002100EA" w14:paraId="34D35A1B" w14:textId="4309AE41"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4787EDC8"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25</w:t>
            </w:r>
          </w:p>
        </w:tc>
        <w:tc>
          <w:tcPr>
            <w:tcW w:w="2693" w:type="dxa"/>
            <w:noWrap/>
            <w:hideMark/>
          </w:tcPr>
          <w:p w14:paraId="44B9FE87"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faecium</w:t>
            </w:r>
          </w:p>
        </w:tc>
        <w:tc>
          <w:tcPr>
            <w:tcW w:w="992" w:type="dxa"/>
          </w:tcPr>
          <w:p w14:paraId="2E6657F6"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274946D2"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412EA095"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656EC25C" w14:textId="18CF4A0D" w:rsidR="000F15A6" w:rsidRPr="002100EA" w:rsidRDefault="00675B1D"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19</w:t>
            </w:r>
          </w:p>
        </w:tc>
      </w:tr>
      <w:tr w:rsidR="000F15A6" w:rsidRPr="002100EA" w14:paraId="08CB9E70" w14:textId="65233FF3"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2B349FD1"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26</w:t>
            </w:r>
          </w:p>
        </w:tc>
        <w:tc>
          <w:tcPr>
            <w:tcW w:w="2693" w:type="dxa"/>
            <w:noWrap/>
            <w:hideMark/>
          </w:tcPr>
          <w:p w14:paraId="1CE3DEE2"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faecalis</w:t>
            </w:r>
          </w:p>
        </w:tc>
        <w:tc>
          <w:tcPr>
            <w:tcW w:w="992" w:type="dxa"/>
          </w:tcPr>
          <w:p w14:paraId="6CEA424A"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71FE07F1"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39839A84"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14594923" w14:textId="3D0AA71A" w:rsidR="000F15A6" w:rsidRPr="002100EA" w:rsidRDefault="00675B1D"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33</w:t>
            </w:r>
          </w:p>
        </w:tc>
      </w:tr>
      <w:tr w:rsidR="000F15A6" w:rsidRPr="002100EA" w14:paraId="1E4FD0C9" w14:textId="405780DB"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0689D20F"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27</w:t>
            </w:r>
          </w:p>
        </w:tc>
        <w:tc>
          <w:tcPr>
            <w:tcW w:w="2693" w:type="dxa"/>
            <w:noWrap/>
            <w:hideMark/>
          </w:tcPr>
          <w:p w14:paraId="704C32BB"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faecium</w:t>
            </w:r>
          </w:p>
        </w:tc>
        <w:tc>
          <w:tcPr>
            <w:tcW w:w="992" w:type="dxa"/>
          </w:tcPr>
          <w:p w14:paraId="3643335C"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4B161AFA"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2A15B865"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77F733C9" w14:textId="3A110D86" w:rsidR="000F15A6" w:rsidRPr="002100EA" w:rsidRDefault="00675B1D"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38</w:t>
            </w:r>
          </w:p>
        </w:tc>
      </w:tr>
      <w:tr w:rsidR="000F15A6" w:rsidRPr="002100EA" w14:paraId="42341202" w14:textId="618AAB3E"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77097D8B" w14:textId="77777777" w:rsidR="000F15A6" w:rsidRPr="000F15A6" w:rsidRDefault="000F15A6" w:rsidP="000F15A6">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28</w:t>
            </w:r>
          </w:p>
        </w:tc>
        <w:tc>
          <w:tcPr>
            <w:tcW w:w="2693" w:type="dxa"/>
            <w:noWrap/>
            <w:hideMark/>
          </w:tcPr>
          <w:p w14:paraId="4222251F"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faecium</w:t>
            </w:r>
          </w:p>
        </w:tc>
        <w:tc>
          <w:tcPr>
            <w:tcW w:w="992" w:type="dxa"/>
          </w:tcPr>
          <w:p w14:paraId="32F6F832"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479C5926"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5414EF7B" w14:textId="77777777" w:rsidR="000F15A6" w:rsidRPr="000F15A6" w:rsidRDefault="000F15A6"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1FD841DE" w14:textId="467CF9B9" w:rsidR="000F15A6" w:rsidRPr="002100EA" w:rsidRDefault="00675B1D" w:rsidP="000F15A6">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33</w:t>
            </w:r>
          </w:p>
        </w:tc>
      </w:tr>
      <w:tr w:rsidR="0095175D" w:rsidRPr="002100EA" w14:paraId="7E9944B6" w14:textId="46639B0B"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62A3A5C6" w14:textId="77777777" w:rsidR="0095175D" w:rsidRPr="000F15A6" w:rsidRDefault="0095175D" w:rsidP="0095175D">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29</w:t>
            </w:r>
          </w:p>
        </w:tc>
        <w:tc>
          <w:tcPr>
            <w:tcW w:w="2693" w:type="dxa"/>
            <w:noWrap/>
            <w:hideMark/>
          </w:tcPr>
          <w:p w14:paraId="3B1B8EF9"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Staphylococcus epidermidis</w:t>
            </w:r>
          </w:p>
        </w:tc>
        <w:tc>
          <w:tcPr>
            <w:tcW w:w="992" w:type="dxa"/>
          </w:tcPr>
          <w:p w14:paraId="2B48AB78"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1DE6D93C"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3C28A6F1"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763FD414" w14:textId="65417F7F" w:rsidR="0095175D" w:rsidRPr="002100EA"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4 </w:t>
            </w:r>
          </w:p>
        </w:tc>
      </w:tr>
      <w:tr w:rsidR="0095175D" w:rsidRPr="002100EA" w14:paraId="010624FF" w14:textId="09B7F05D"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58EE002A" w14:textId="77777777" w:rsidR="0095175D" w:rsidRPr="000F15A6" w:rsidRDefault="0095175D" w:rsidP="0095175D">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30</w:t>
            </w:r>
          </w:p>
        </w:tc>
        <w:tc>
          <w:tcPr>
            <w:tcW w:w="2693" w:type="dxa"/>
            <w:noWrap/>
            <w:hideMark/>
          </w:tcPr>
          <w:p w14:paraId="3D892373"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Escherichia coli</w:t>
            </w:r>
          </w:p>
        </w:tc>
        <w:tc>
          <w:tcPr>
            <w:tcW w:w="992" w:type="dxa"/>
          </w:tcPr>
          <w:p w14:paraId="5121C499"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178008E9"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25E298A1"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708CE53E" w14:textId="4EE0CB08" w:rsidR="0095175D" w:rsidRPr="002100EA"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4 </w:t>
            </w:r>
          </w:p>
        </w:tc>
      </w:tr>
      <w:tr w:rsidR="0095175D" w:rsidRPr="002100EA" w14:paraId="482485FA" w14:textId="684363F9"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63C5E935" w14:textId="77777777" w:rsidR="0095175D" w:rsidRPr="000F15A6" w:rsidRDefault="0095175D" w:rsidP="0095175D">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31</w:t>
            </w:r>
          </w:p>
        </w:tc>
        <w:tc>
          <w:tcPr>
            <w:tcW w:w="2693" w:type="dxa"/>
            <w:noWrap/>
            <w:hideMark/>
          </w:tcPr>
          <w:p w14:paraId="3A90744A"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faecium</w:t>
            </w:r>
          </w:p>
        </w:tc>
        <w:tc>
          <w:tcPr>
            <w:tcW w:w="992" w:type="dxa"/>
          </w:tcPr>
          <w:p w14:paraId="52CA1E9D"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2F053DCF"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772100B1"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7C5F2963" w14:textId="771A6AC8" w:rsidR="0095175D" w:rsidRPr="002100EA"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9</w:t>
            </w:r>
          </w:p>
        </w:tc>
      </w:tr>
      <w:tr w:rsidR="0095175D" w:rsidRPr="002100EA" w14:paraId="3420B9C3" w14:textId="69C3A450"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3C34B571" w14:textId="77777777" w:rsidR="0095175D" w:rsidRPr="000F15A6" w:rsidRDefault="0095175D" w:rsidP="0095175D">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32</w:t>
            </w:r>
          </w:p>
        </w:tc>
        <w:tc>
          <w:tcPr>
            <w:tcW w:w="2693" w:type="dxa"/>
            <w:noWrap/>
            <w:hideMark/>
          </w:tcPr>
          <w:p w14:paraId="4D217FED"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Corynebacterium</w:t>
            </w:r>
          </w:p>
        </w:tc>
        <w:tc>
          <w:tcPr>
            <w:tcW w:w="992" w:type="dxa"/>
          </w:tcPr>
          <w:p w14:paraId="193572B4"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327E216F"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2BD56216"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118379E4" w14:textId="20D9DE68" w:rsidR="0095175D" w:rsidRPr="002100EA"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2 </w:t>
            </w:r>
          </w:p>
        </w:tc>
      </w:tr>
      <w:tr w:rsidR="0095175D" w:rsidRPr="002100EA" w14:paraId="5300C747" w14:textId="7BE7D7B9"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66834A86" w14:textId="77777777" w:rsidR="0095175D" w:rsidRPr="000F15A6" w:rsidRDefault="0095175D" w:rsidP="0095175D">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33</w:t>
            </w:r>
          </w:p>
        </w:tc>
        <w:tc>
          <w:tcPr>
            <w:tcW w:w="2693" w:type="dxa"/>
            <w:noWrap/>
            <w:hideMark/>
          </w:tcPr>
          <w:p w14:paraId="55CEEAF8"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Staphylococcus haemolyticus</w:t>
            </w:r>
          </w:p>
        </w:tc>
        <w:tc>
          <w:tcPr>
            <w:tcW w:w="992" w:type="dxa"/>
          </w:tcPr>
          <w:p w14:paraId="7E190255"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207B79B5"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r w:rsidRPr="000F15A6">
              <w:rPr>
                <w:rFonts w:eastAsia="Times New Roman" w:cs="Times New Roman"/>
                <w:color w:val="000000"/>
                <w:sz w:val="20"/>
                <w:szCs w:val="20"/>
                <w:lang w:val="sv-SE" w:eastAsia="en-GB"/>
              </w:rPr>
              <w:t>No</w:t>
            </w:r>
          </w:p>
        </w:tc>
        <w:tc>
          <w:tcPr>
            <w:tcW w:w="993" w:type="dxa"/>
          </w:tcPr>
          <w:p w14:paraId="3BF8CDED"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sidRPr="000F15A6">
              <w:rPr>
                <w:rFonts w:eastAsia="Times New Roman" w:cs="Times New Roman"/>
                <w:color w:val="000000"/>
                <w:sz w:val="20"/>
                <w:szCs w:val="20"/>
                <w:lang w:val="sv-SE" w:eastAsia="en-GB"/>
              </w:rPr>
              <w:t>-</w:t>
            </w:r>
          </w:p>
        </w:tc>
        <w:tc>
          <w:tcPr>
            <w:tcW w:w="1984" w:type="dxa"/>
          </w:tcPr>
          <w:p w14:paraId="084BC162" w14:textId="6135EFDB" w:rsidR="0095175D" w:rsidRPr="002100EA"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 xml:space="preserve">2 </w:t>
            </w:r>
          </w:p>
        </w:tc>
      </w:tr>
      <w:tr w:rsidR="0095175D" w:rsidRPr="002100EA" w14:paraId="644A2566" w14:textId="5D4672BD" w:rsidTr="000F15A6">
        <w:trPr>
          <w:trHeight w:val="320"/>
        </w:trPr>
        <w:tc>
          <w:tcPr>
            <w:cnfStyle w:val="001000000000" w:firstRow="0" w:lastRow="0" w:firstColumn="1" w:lastColumn="0" w:oddVBand="0" w:evenVBand="0" w:oddHBand="0" w:evenHBand="0" w:firstRowFirstColumn="0" w:firstRowLastColumn="0" w:lastRowFirstColumn="0" w:lastRowLastColumn="0"/>
            <w:tcW w:w="988" w:type="dxa"/>
            <w:noWrap/>
          </w:tcPr>
          <w:p w14:paraId="5FE9C1E3" w14:textId="77777777" w:rsidR="0095175D" w:rsidRPr="000F15A6" w:rsidRDefault="0095175D" w:rsidP="0095175D">
            <w:pPr>
              <w:spacing w:before="0" w:after="0"/>
              <w:rPr>
                <w:rFonts w:eastAsia="Times New Roman" w:cs="Times New Roman"/>
                <w:b w:val="0"/>
                <w:bCs w:val="0"/>
                <w:color w:val="000000"/>
                <w:sz w:val="20"/>
                <w:szCs w:val="20"/>
                <w:lang w:val="sv-SE" w:eastAsia="en-GB"/>
              </w:rPr>
            </w:pPr>
            <w:r w:rsidRPr="000F15A6">
              <w:rPr>
                <w:rFonts w:eastAsia="Times New Roman" w:cs="Times New Roman"/>
                <w:color w:val="000000"/>
                <w:sz w:val="20"/>
                <w:szCs w:val="20"/>
                <w:lang w:val="sv-SE" w:eastAsia="en-GB"/>
              </w:rPr>
              <w:t>34</w:t>
            </w:r>
          </w:p>
        </w:tc>
        <w:tc>
          <w:tcPr>
            <w:tcW w:w="2693" w:type="dxa"/>
            <w:noWrap/>
            <w:hideMark/>
          </w:tcPr>
          <w:p w14:paraId="25C00C2A"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0"/>
                <w:szCs w:val="20"/>
                <w:lang w:val="en-SE" w:eastAsia="en-GB"/>
              </w:rPr>
            </w:pPr>
            <w:r w:rsidRPr="000F15A6">
              <w:rPr>
                <w:rFonts w:eastAsia="Times New Roman" w:cs="Times New Roman"/>
                <w:i/>
                <w:iCs/>
                <w:color w:val="000000"/>
                <w:sz w:val="20"/>
                <w:szCs w:val="20"/>
                <w:lang w:val="en-SE" w:eastAsia="en-GB"/>
              </w:rPr>
              <w:t>Enterococcus faecalis</w:t>
            </w:r>
          </w:p>
        </w:tc>
        <w:tc>
          <w:tcPr>
            <w:tcW w:w="992" w:type="dxa"/>
          </w:tcPr>
          <w:p w14:paraId="539F73E9"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2" w:type="dxa"/>
          </w:tcPr>
          <w:p w14:paraId="272E8484"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SE" w:eastAsia="en-GB"/>
              </w:rPr>
            </w:pPr>
            <w:proofErr w:type="spellStart"/>
            <w:r w:rsidRPr="000F15A6">
              <w:rPr>
                <w:rFonts w:eastAsia="Times New Roman" w:cs="Times New Roman"/>
                <w:color w:val="000000"/>
                <w:sz w:val="20"/>
                <w:szCs w:val="20"/>
                <w:lang w:val="sv-SE" w:eastAsia="en-GB"/>
              </w:rPr>
              <w:t>Yes</w:t>
            </w:r>
            <w:proofErr w:type="spellEnd"/>
          </w:p>
        </w:tc>
        <w:tc>
          <w:tcPr>
            <w:tcW w:w="993" w:type="dxa"/>
          </w:tcPr>
          <w:p w14:paraId="3E9E91BF" w14:textId="77777777" w:rsidR="0095175D" w:rsidRPr="000F15A6"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proofErr w:type="spellStart"/>
            <w:r w:rsidRPr="000F15A6">
              <w:rPr>
                <w:rFonts w:eastAsia="Times New Roman" w:cs="Times New Roman"/>
                <w:color w:val="000000"/>
                <w:sz w:val="20"/>
                <w:szCs w:val="20"/>
                <w:lang w:val="sv-SE" w:eastAsia="en-GB"/>
              </w:rPr>
              <w:t>Yes</w:t>
            </w:r>
            <w:proofErr w:type="spellEnd"/>
          </w:p>
        </w:tc>
        <w:tc>
          <w:tcPr>
            <w:tcW w:w="1984" w:type="dxa"/>
          </w:tcPr>
          <w:p w14:paraId="72ACA7F4" w14:textId="6BEFB2E6" w:rsidR="0095175D" w:rsidRPr="002100EA" w:rsidRDefault="0095175D" w:rsidP="0095175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sv-SE" w:eastAsia="en-GB"/>
              </w:rPr>
            </w:pPr>
            <w:r>
              <w:rPr>
                <w:rFonts w:eastAsia="Times New Roman" w:cs="Times New Roman"/>
                <w:color w:val="000000"/>
                <w:sz w:val="20"/>
                <w:szCs w:val="20"/>
                <w:lang w:val="sv-SE" w:eastAsia="en-GB"/>
              </w:rPr>
              <w:t>8</w:t>
            </w:r>
          </w:p>
        </w:tc>
      </w:tr>
    </w:tbl>
    <w:p w14:paraId="3947B6A7" w14:textId="77777777" w:rsidR="0056107E" w:rsidRPr="006D2659" w:rsidRDefault="0056107E" w:rsidP="00F862F5">
      <w:pPr>
        <w:rPr>
          <w:szCs w:val="24"/>
        </w:rPr>
      </w:pPr>
    </w:p>
    <w:p w14:paraId="24F6CB75" w14:textId="30310462" w:rsidR="007458DE" w:rsidRDefault="001B17E4" w:rsidP="00223EC6">
      <w:pPr>
        <w:widowControl w:val="0"/>
        <w:autoSpaceDE w:val="0"/>
        <w:autoSpaceDN w:val="0"/>
        <w:adjustRightInd w:val="0"/>
        <w:rPr>
          <w:rFonts w:eastAsia="Cambria" w:cs="Times New Roman"/>
          <w:b/>
          <w:szCs w:val="24"/>
        </w:rPr>
      </w:pPr>
      <w:r>
        <w:rPr>
          <w:rFonts w:eastAsia="Cambria" w:cs="Times New Roman"/>
          <w:b/>
          <w:noProof/>
          <w:szCs w:val="24"/>
        </w:rPr>
        <w:lastRenderedPageBreak/>
        <w:drawing>
          <wp:inline distT="0" distB="0" distL="0" distR="0" wp14:anchorId="6381E23D" wp14:editId="42FB4C02">
            <wp:extent cx="6208395" cy="6196330"/>
            <wp:effectExtent l="0" t="0" r="190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08395" cy="6196330"/>
                    </a:xfrm>
                    <a:prstGeom prst="rect">
                      <a:avLst/>
                    </a:prstGeom>
                  </pic:spPr>
                </pic:pic>
              </a:graphicData>
            </a:graphic>
          </wp:inline>
        </w:drawing>
      </w:r>
    </w:p>
    <w:p w14:paraId="36BCECE2" w14:textId="485EC78C" w:rsidR="00BC32D3" w:rsidRPr="00F862F5" w:rsidRDefault="00207043" w:rsidP="005D2C3F">
      <w:pPr>
        <w:jc w:val="both"/>
        <w:rPr>
          <w:szCs w:val="24"/>
        </w:rPr>
      </w:pPr>
      <w:r w:rsidRPr="00F862F5">
        <w:rPr>
          <w:b/>
          <w:bCs/>
          <w:szCs w:val="24"/>
        </w:rPr>
        <w:t xml:space="preserve">Supplementary </w:t>
      </w:r>
      <w:r w:rsidR="00711C12" w:rsidRPr="00F862F5">
        <w:rPr>
          <w:b/>
          <w:bCs/>
          <w:szCs w:val="24"/>
        </w:rPr>
        <w:t>F</w:t>
      </w:r>
      <w:r w:rsidRPr="00F862F5">
        <w:rPr>
          <w:b/>
          <w:bCs/>
          <w:szCs w:val="24"/>
        </w:rPr>
        <w:t xml:space="preserve">igure </w:t>
      </w:r>
      <w:r w:rsidR="001740D7">
        <w:rPr>
          <w:b/>
          <w:bCs/>
          <w:szCs w:val="24"/>
        </w:rPr>
        <w:t>S</w:t>
      </w:r>
      <w:r w:rsidRPr="00F862F5">
        <w:rPr>
          <w:b/>
          <w:bCs/>
          <w:szCs w:val="24"/>
        </w:rPr>
        <w:t>1. A-C</w:t>
      </w:r>
      <w:r w:rsidR="00DC645D" w:rsidRPr="00F862F5">
        <w:rPr>
          <w:b/>
          <w:bCs/>
          <w:szCs w:val="24"/>
        </w:rPr>
        <w:t>.</w:t>
      </w:r>
      <w:r w:rsidRPr="00F862F5">
        <w:rPr>
          <w:szCs w:val="24"/>
        </w:rPr>
        <w:t xml:space="preserve"> </w:t>
      </w:r>
      <w:r w:rsidR="002C4720" w:rsidRPr="00F862F5">
        <w:rPr>
          <w:szCs w:val="24"/>
        </w:rPr>
        <w:t>A</w:t>
      </w:r>
      <w:r w:rsidRPr="00F862F5">
        <w:rPr>
          <w:szCs w:val="24"/>
        </w:rPr>
        <w:t xml:space="preserve">utomatic binning (GraphPad) of continuous parameters </w:t>
      </w:r>
      <w:r w:rsidR="00DC645D" w:rsidRPr="00F862F5">
        <w:rPr>
          <w:szCs w:val="24"/>
        </w:rPr>
        <w:t xml:space="preserve">by frequency distribution. </w:t>
      </w:r>
      <w:r w:rsidR="001B17E4">
        <w:rPr>
          <w:szCs w:val="24"/>
        </w:rPr>
        <w:t>Values for significance</w:t>
      </w:r>
      <w:r w:rsidR="00DC645D" w:rsidRPr="00F862F5">
        <w:rPr>
          <w:szCs w:val="24"/>
        </w:rPr>
        <w:t xml:space="preserve"> </w:t>
      </w:r>
      <w:r w:rsidR="001B17E4">
        <w:rPr>
          <w:szCs w:val="24"/>
        </w:rPr>
        <w:t>is calculated by the</w:t>
      </w:r>
      <w:r w:rsidR="00DC645D" w:rsidRPr="00F862F5">
        <w:rPr>
          <w:szCs w:val="24"/>
        </w:rPr>
        <w:t xml:space="preserve"> </w:t>
      </w:r>
      <w:r w:rsidR="005F676A" w:rsidRPr="004F45DA">
        <w:rPr>
          <w:szCs w:val="24"/>
        </w:rPr>
        <w:t xml:space="preserve">D'Agostino-Pearson </w:t>
      </w:r>
      <w:r w:rsidR="00DC645D" w:rsidRPr="00F862F5">
        <w:rPr>
          <w:szCs w:val="24"/>
        </w:rPr>
        <w:t>test for normal distribution</w:t>
      </w:r>
      <w:r w:rsidR="00E76A0E" w:rsidRPr="00F862F5">
        <w:rPr>
          <w:szCs w:val="24"/>
        </w:rPr>
        <w:t xml:space="preserve"> and Chi-square</w:t>
      </w:r>
      <w:r w:rsidR="001B17E4">
        <w:rPr>
          <w:szCs w:val="24"/>
        </w:rPr>
        <w:t>d</w:t>
      </w:r>
      <w:r w:rsidR="00E76A0E" w:rsidRPr="00F862F5">
        <w:rPr>
          <w:szCs w:val="24"/>
        </w:rPr>
        <w:t xml:space="preserve"> </w:t>
      </w:r>
      <w:r w:rsidR="001B17E4">
        <w:rPr>
          <w:szCs w:val="24"/>
        </w:rPr>
        <w:t xml:space="preserve">test for length of stay (LOS) grouping </w:t>
      </w:r>
      <w:r w:rsidR="00E76A0E" w:rsidRPr="00F862F5">
        <w:rPr>
          <w:szCs w:val="24"/>
        </w:rPr>
        <w:t>(only C)</w:t>
      </w:r>
      <w:r w:rsidR="00DC645D" w:rsidRPr="00F862F5">
        <w:rPr>
          <w:szCs w:val="24"/>
        </w:rPr>
        <w:t xml:space="preserve">. </w:t>
      </w:r>
      <w:r w:rsidR="00DC645D" w:rsidRPr="00F862F5">
        <w:rPr>
          <w:b/>
          <w:bCs/>
          <w:szCs w:val="24"/>
        </w:rPr>
        <w:t>D.</w:t>
      </w:r>
      <w:r w:rsidR="00DC645D" w:rsidRPr="00F862F5">
        <w:rPr>
          <w:szCs w:val="24"/>
        </w:rPr>
        <w:t xml:space="preserve"> </w:t>
      </w:r>
      <w:r w:rsidR="00DE0EE1" w:rsidRPr="00F862F5">
        <w:rPr>
          <w:szCs w:val="24"/>
        </w:rPr>
        <w:t>Cross-correlation</w:t>
      </w:r>
      <w:r w:rsidR="00DC645D" w:rsidRPr="00F862F5">
        <w:rPr>
          <w:szCs w:val="24"/>
        </w:rPr>
        <w:t xml:space="preserve"> analysis of age, </w:t>
      </w:r>
      <w:r w:rsidR="002B3AC2" w:rsidRPr="00F862F5">
        <w:rPr>
          <w:szCs w:val="24"/>
        </w:rPr>
        <w:t xml:space="preserve">death, </w:t>
      </w:r>
      <w:r w:rsidR="001B17E4">
        <w:rPr>
          <w:szCs w:val="24"/>
        </w:rPr>
        <w:t xml:space="preserve">LOS, </w:t>
      </w:r>
      <w:r w:rsidR="005C1150" w:rsidRPr="00F862F5">
        <w:rPr>
          <w:szCs w:val="24"/>
        </w:rPr>
        <w:t>and simplified acute physiology score 3 (SAPS3)</w:t>
      </w:r>
      <w:r w:rsidR="007D3021" w:rsidRPr="00F862F5">
        <w:rPr>
          <w:szCs w:val="24"/>
        </w:rPr>
        <w:t>,</w:t>
      </w:r>
      <w:r w:rsidR="005C1150" w:rsidRPr="00F862F5">
        <w:rPr>
          <w:szCs w:val="24"/>
        </w:rPr>
        <w:t xml:space="preserve"> </w:t>
      </w:r>
      <w:r w:rsidR="00DC645D" w:rsidRPr="00F862F5">
        <w:rPr>
          <w:szCs w:val="24"/>
        </w:rPr>
        <w:t>where 1.0 is 100% correlation (dark blue)</w:t>
      </w:r>
      <w:r w:rsidR="002C4720" w:rsidRPr="00F862F5">
        <w:rPr>
          <w:szCs w:val="24"/>
        </w:rPr>
        <w:t xml:space="preserve">, </w:t>
      </w:r>
      <w:r w:rsidR="00DC645D" w:rsidRPr="00F862F5">
        <w:rPr>
          <w:szCs w:val="24"/>
        </w:rPr>
        <w:t>0.0 is 0% correlation (white)</w:t>
      </w:r>
      <w:r w:rsidR="002C4720" w:rsidRPr="00F862F5">
        <w:rPr>
          <w:szCs w:val="24"/>
        </w:rPr>
        <w:t xml:space="preserve"> and -1.0 is 100% inverse correlation (red)</w:t>
      </w:r>
      <w:r w:rsidR="00DC645D" w:rsidRPr="00F862F5">
        <w:rPr>
          <w:szCs w:val="24"/>
        </w:rPr>
        <w:t xml:space="preserve">. </w:t>
      </w:r>
      <w:r w:rsidR="007D3021" w:rsidRPr="00F862F5">
        <w:rPr>
          <w:szCs w:val="24"/>
        </w:rPr>
        <w:t xml:space="preserve">Values for self-correlation </w:t>
      </w:r>
      <w:r w:rsidR="00DE0EE1" w:rsidRPr="00F862F5">
        <w:rPr>
          <w:szCs w:val="24"/>
        </w:rPr>
        <w:t xml:space="preserve">have </w:t>
      </w:r>
      <w:r w:rsidR="007D3021" w:rsidRPr="00F862F5">
        <w:rPr>
          <w:szCs w:val="24"/>
        </w:rPr>
        <w:t>been removed and the p-values are given within brackets.</w:t>
      </w:r>
      <w:r w:rsidR="005F676A">
        <w:rPr>
          <w:szCs w:val="24"/>
        </w:rPr>
        <w:t xml:space="preserve"> </w:t>
      </w:r>
    </w:p>
    <w:p w14:paraId="2EF90750" w14:textId="77777777" w:rsidR="00CE2360" w:rsidRDefault="00CE2360" w:rsidP="00CE2360">
      <w:pPr>
        <w:spacing w:before="0" w:after="200" w:line="276" w:lineRule="auto"/>
        <w:rPr>
          <w:b/>
          <w:bCs/>
          <w:sz w:val="20"/>
          <w:szCs w:val="20"/>
        </w:rPr>
      </w:pPr>
      <w:r>
        <w:rPr>
          <w:noProof/>
        </w:rPr>
        <w:lastRenderedPageBreak/>
        <w:drawing>
          <wp:inline distT="0" distB="0" distL="0" distR="0" wp14:anchorId="1848C57B" wp14:editId="0904ECE8">
            <wp:extent cx="3612447" cy="268053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9" cstate="print">
                      <a:extLst>
                        <a:ext uri="{28A0092B-C50C-407E-A947-70E740481C1C}">
                          <a14:useLocalDpi xmlns:a14="http://schemas.microsoft.com/office/drawing/2010/main" val="0"/>
                        </a:ext>
                      </a:extLst>
                    </a:blip>
                    <a:srcRect t="-8" r="24194" b="8"/>
                    <a:stretch/>
                  </pic:blipFill>
                  <pic:spPr bwMode="auto">
                    <a:xfrm>
                      <a:off x="0" y="0"/>
                      <a:ext cx="3612447" cy="2680532"/>
                    </a:xfrm>
                    <a:prstGeom prst="rect">
                      <a:avLst/>
                    </a:prstGeom>
                    <a:ln>
                      <a:noFill/>
                    </a:ln>
                    <a:extLst>
                      <a:ext uri="{53640926-AAD7-44D8-BBD7-CCE9431645EC}">
                        <a14:shadowObscured xmlns:a14="http://schemas.microsoft.com/office/drawing/2010/main"/>
                      </a:ext>
                    </a:extLst>
                  </pic:spPr>
                </pic:pic>
              </a:graphicData>
            </a:graphic>
          </wp:inline>
        </w:drawing>
      </w:r>
    </w:p>
    <w:p w14:paraId="2AB87822" w14:textId="227B34ED" w:rsidR="00CC4978" w:rsidRDefault="00F862F5" w:rsidP="00DB3F97">
      <w:pPr>
        <w:spacing w:before="0" w:after="200" w:line="276" w:lineRule="auto"/>
        <w:rPr>
          <w:sz w:val="20"/>
          <w:szCs w:val="20"/>
        </w:rPr>
      </w:pPr>
      <w:r w:rsidRPr="00F862F5">
        <w:rPr>
          <w:noProof/>
          <w:szCs w:val="24"/>
        </w:rPr>
        <w:drawing>
          <wp:anchor distT="0" distB="0" distL="114300" distR="114300" simplePos="0" relativeHeight="251659264" behindDoc="1" locked="0" layoutInCell="1" allowOverlap="1" wp14:anchorId="1B173AC3" wp14:editId="3F865BEF">
            <wp:simplePos x="0" y="0"/>
            <wp:positionH relativeFrom="margin">
              <wp:posOffset>-82550</wp:posOffset>
            </wp:positionH>
            <wp:positionV relativeFrom="paragraph">
              <wp:posOffset>782053</wp:posOffset>
            </wp:positionV>
            <wp:extent cx="4136390" cy="4251960"/>
            <wp:effectExtent l="0" t="0" r="3810" b="2540"/>
            <wp:wrapTight wrapText="bothSides">
              <wp:wrapPolygon edited="0">
                <wp:start x="0" y="0"/>
                <wp:lineTo x="0" y="21548"/>
                <wp:lineTo x="21554" y="21548"/>
                <wp:lineTo x="2155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498"/>
                    <a:stretch/>
                  </pic:blipFill>
                  <pic:spPr bwMode="auto">
                    <a:xfrm>
                      <a:off x="0" y="0"/>
                      <a:ext cx="4136390" cy="4251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2360" w:rsidRPr="00F862F5">
        <w:rPr>
          <w:b/>
          <w:bCs/>
          <w:szCs w:val="24"/>
        </w:rPr>
        <w:t xml:space="preserve">Supplementary </w:t>
      </w:r>
      <w:r w:rsidR="00711C12" w:rsidRPr="00F862F5">
        <w:rPr>
          <w:b/>
          <w:bCs/>
          <w:szCs w:val="24"/>
        </w:rPr>
        <w:t>F</w:t>
      </w:r>
      <w:r w:rsidR="00CE2360" w:rsidRPr="00F862F5">
        <w:rPr>
          <w:b/>
          <w:bCs/>
          <w:szCs w:val="24"/>
        </w:rPr>
        <w:t xml:space="preserve">igure </w:t>
      </w:r>
      <w:r w:rsidR="001740D7">
        <w:rPr>
          <w:b/>
          <w:bCs/>
          <w:szCs w:val="24"/>
        </w:rPr>
        <w:t>S</w:t>
      </w:r>
      <w:r w:rsidR="00CE2360" w:rsidRPr="00F862F5">
        <w:rPr>
          <w:b/>
          <w:bCs/>
          <w:szCs w:val="24"/>
        </w:rPr>
        <w:t>2.</w:t>
      </w:r>
      <w:r w:rsidR="00CE2360" w:rsidRPr="00F862F5">
        <w:rPr>
          <w:szCs w:val="24"/>
        </w:rPr>
        <w:t xml:space="preserve"> </w:t>
      </w:r>
      <w:r w:rsidR="004A2E2F" w:rsidRPr="00F862F5">
        <w:rPr>
          <w:szCs w:val="24"/>
        </w:rPr>
        <w:t>Examples from confirmatory tests</w:t>
      </w:r>
      <w:r w:rsidR="0043515F" w:rsidRPr="00F862F5">
        <w:rPr>
          <w:szCs w:val="24"/>
        </w:rPr>
        <w:t xml:space="preserve"> for </w:t>
      </w:r>
      <w:r w:rsidR="0043515F" w:rsidRPr="00F862F5">
        <w:rPr>
          <w:i/>
          <w:iCs/>
          <w:szCs w:val="24"/>
        </w:rPr>
        <w:t>E. faecium</w:t>
      </w:r>
      <w:r w:rsidR="0043515F" w:rsidRPr="00F862F5">
        <w:rPr>
          <w:szCs w:val="24"/>
        </w:rPr>
        <w:t xml:space="preserve"> showing AMP-susceptibility during IMI-PIP-TZP resistance, and higher TZP MIC compared to PIP. Disk diffusion for </w:t>
      </w:r>
      <w:r w:rsidR="0043515F" w:rsidRPr="00F862F5">
        <w:rPr>
          <w:i/>
          <w:iCs/>
          <w:szCs w:val="24"/>
        </w:rPr>
        <w:t xml:space="preserve">E. </w:t>
      </w:r>
      <w:proofErr w:type="spellStart"/>
      <w:r w:rsidR="0043515F" w:rsidRPr="00F862F5">
        <w:rPr>
          <w:i/>
          <w:iCs/>
          <w:szCs w:val="24"/>
        </w:rPr>
        <w:t>durans</w:t>
      </w:r>
      <w:proofErr w:type="spellEnd"/>
      <w:r w:rsidR="0043515F" w:rsidRPr="00F862F5">
        <w:rPr>
          <w:szCs w:val="24"/>
        </w:rPr>
        <w:t xml:space="preserve"> show fussy edges as compared to the reference sharp edges, as an indication for VAN resistance</w:t>
      </w:r>
      <w:r w:rsidR="0043515F">
        <w:rPr>
          <w:sz w:val="20"/>
          <w:szCs w:val="20"/>
        </w:rPr>
        <w:t>.</w:t>
      </w:r>
    </w:p>
    <w:p w14:paraId="2754AEE7" w14:textId="2040D9C2" w:rsidR="00CC4978" w:rsidRDefault="00CC4978" w:rsidP="005D2C3F">
      <w:pPr>
        <w:jc w:val="both"/>
        <w:rPr>
          <w:sz w:val="20"/>
          <w:szCs w:val="20"/>
        </w:rPr>
      </w:pPr>
    </w:p>
    <w:p w14:paraId="60F2A363" w14:textId="34E71DBF" w:rsidR="00BC32D3" w:rsidRDefault="00BC32D3" w:rsidP="005D2C3F">
      <w:pPr>
        <w:jc w:val="both"/>
        <w:rPr>
          <w:sz w:val="20"/>
          <w:szCs w:val="20"/>
        </w:rPr>
      </w:pPr>
    </w:p>
    <w:p w14:paraId="3E978189" w14:textId="244F718C" w:rsidR="00BC32D3" w:rsidRDefault="00BC32D3" w:rsidP="005D2C3F">
      <w:pPr>
        <w:jc w:val="both"/>
        <w:rPr>
          <w:sz w:val="20"/>
          <w:szCs w:val="20"/>
        </w:rPr>
      </w:pPr>
    </w:p>
    <w:p w14:paraId="142C598F" w14:textId="011E30F8" w:rsidR="00CC4978" w:rsidRDefault="00CC4978">
      <w:pPr>
        <w:spacing w:before="0" w:after="200" w:line="276" w:lineRule="auto"/>
        <w:rPr>
          <w:b/>
          <w:bCs/>
          <w:sz w:val="20"/>
          <w:szCs w:val="20"/>
        </w:rPr>
      </w:pPr>
    </w:p>
    <w:p w14:paraId="3D2C2ECF" w14:textId="77777777" w:rsidR="00CC4978" w:rsidRDefault="00CC4978">
      <w:pPr>
        <w:spacing w:before="0" w:after="200" w:line="276" w:lineRule="auto"/>
        <w:rPr>
          <w:b/>
          <w:bCs/>
          <w:sz w:val="20"/>
          <w:szCs w:val="20"/>
        </w:rPr>
      </w:pPr>
    </w:p>
    <w:p w14:paraId="70F8A261" w14:textId="77777777" w:rsidR="00CC4978" w:rsidRDefault="00CC4978">
      <w:pPr>
        <w:spacing w:before="0" w:after="200" w:line="276" w:lineRule="auto"/>
        <w:rPr>
          <w:b/>
          <w:bCs/>
          <w:sz w:val="20"/>
          <w:szCs w:val="20"/>
        </w:rPr>
      </w:pPr>
    </w:p>
    <w:p w14:paraId="44ACCA7F" w14:textId="77777777" w:rsidR="00CC4978" w:rsidRDefault="00CC4978">
      <w:pPr>
        <w:spacing w:before="0" w:after="200" w:line="276" w:lineRule="auto"/>
        <w:rPr>
          <w:b/>
          <w:bCs/>
          <w:sz w:val="20"/>
          <w:szCs w:val="20"/>
        </w:rPr>
      </w:pPr>
    </w:p>
    <w:p w14:paraId="3170B07E" w14:textId="77777777" w:rsidR="00CC4978" w:rsidRDefault="00CC4978">
      <w:pPr>
        <w:spacing w:before="0" w:after="200" w:line="276" w:lineRule="auto"/>
        <w:rPr>
          <w:b/>
          <w:bCs/>
          <w:sz w:val="20"/>
          <w:szCs w:val="20"/>
        </w:rPr>
      </w:pPr>
    </w:p>
    <w:p w14:paraId="6D716F14" w14:textId="77777777" w:rsidR="00CC4978" w:rsidRDefault="00CC4978">
      <w:pPr>
        <w:spacing w:before="0" w:after="200" w:line="276" w:lineRule="auto"/>
        <w:rPr>
          <w:b/>
          <w:bCs/>
          <w:sz w:val="20"/>
          <w:szCs w:val="20"/>
        </w:rPr>
      </w:pPr>
    </w:p>
    <w:p w14:paraId="4BE592B8" w14:textId="77777777" w:rsidR="00CC4978" w:rsidRDefault="00CC4978">
      <w:pPr>
        <w:spacing w:before="0" w:after="200" w:line="276" w:lineRule="auto"/>
        <w:rPr>
          <w:b/>
          <w:bCs/>
          <w:sz w:val="20"/>
          <w:szCs w:val="20"/>
        </w:rPr>
      </w:pPr>
    </w:p>
    <w:p w14:paraId="1122E193" w14:textId="77777777" w:rsidR="00CC4978" w:rsidRDefault="00CC4978">
      <w:pPr>
        <w:spacing w:before="0" w:after="200" w:line="276" w:lineRule="auto"/>
        <w:rPr>
          <w:b/>
          <w:bCs/>
          <w:sz w:val="20"/>
          <w:szCs w:val="20"/>
        </w:rPr>
      </w:pPr>
    </w:p>
    <w:p w14:paraId="66DA4913" w14:textId="77777777" w:rsidR="00CC4978" w:rsidRDefault="00CC4978">
      <w:pPr>
        <w:spacing w:before="0" w:after="200" w:line="276" w:lineRule="auto"/>
        <w:rPr>
          <w:b/>
          <w:bCs/>
          <w:sz w:val="20"/>
          <w:szCs w:val="20"/>
        </w:rPr>
      </w:pPr>
    </w:p>
    <w:p w14:paraId="2620293E" w14:textId="77777777" w:rsidR="00CC4978" w:rsidRDefault="00CC4978">
      <w:pPr>
        <w:spacing w:before="0" w:after="200" w:line="276" w:lineRule="auto"/>
        <w:rPr>
          <w:b/>
          <w:bCs/>
          <w:sz w:val="20"/>
          <w:szCs w:val="20"/>
        </w:rPr>
      </w:pPr>
    </w:p>
    <w:p w14:paraId="26271294" w14:textId="77777777" w:rsidR="00CC4978" w:rsidRDefault="00CC4978">
      <w:pPr>
        <w:spacing w:before="0" w:after="200" w:line="276" w:lineRule="auto"/>
        <w:rPr>
          <w:b/>
          <w:bCs/>
          <w:sz w:val="20"/>
          <w:szCs w:val="20"/>
        </w:rPr>
      </w:pPr>
    </w:p>
    <w:p w14:paraId="2ED23B76" w14:textId="6BAA290F" w:rsidR="00F862F5" w:rsidRDefault="00CC4978" w:rsidP="00F862F5">
      <w:pPr>
        <w:spacing w:before="0" w:after="200" w:line="276" w:lineRule="auto"/>
        <w:rPr>
          <w:b/>
          <w:bCs/>
          <w:szCs w:val="24"/>
        </w:rPr>
      </w:pPr>
      <w:r w:rsidRPr="00F862F5">
        <w:rPr>
          <w:b/>
          <w:bCs/>
          <w:szCs w:val="24"/>
        </w:rPr>
        <w:t xml:space="preserve">Supplementary </w:t>
      </w:r>
      <w:r w:rsidR="00711C12" w:rsidRPr="00F862F5">
        <w:rPr>
          <w:b/>
          <w:bCs/>
          <w:szCs w:val="24"/>
        </w:rPr>
        <w:t>F</w:t>
      </w:r>
      <w:r w:rsidRPr="00F862F5">
        <w:rPr>
          <w:b/>
          <w:bCs/>
          <w:szCs w:val="24"/>
        </w:rPr>
        <w:t xml:space="preserve">igure </w:t>
      </w:r>
      <w:r w:rsidR="001740D7">
        <w:rPr>
          <w:b/>
          <w:bCs/>
          <w:szCs w:val="24"/>
        </w:rPr>
        <w:t>S</w:t>
      </w:r>
      <w:r w:rsidR="00CE2360" w:rsidRPr="00F862F5">
        <w:rPr>
          <w:b/>
          <w:bCs/>
          <w:szCs w:val="24"/>
        </w:rPr>
        <w:t>3</w:t>
      </w:r>
      <w:r w:rsidR="00A22DE8" w:rsidRPr="00F862F5">
        <w:rPr>
          <w:b/>
          <w:bCs/>
          <w:szCs w:val="24"/>
        </w:rPr>
        <w:t xml:space="preserve">. </w:t>
      </w:r>
      <w:r w:rsidR="00A22DE8" w:rsidRPr="00F862F5">
        <w:rPr>
          <w:szCs w:val="24"/>
        </w:rPr>
        <w:t>H</w:t>
      </w:r>
      <w:r w:rsidR="0043515F" w:rsidRPr="00F862F5">
        <w:rPr>
          <w:szCs w:val="24"/>
        </w:rPr>
        <w:t xml:space="preserve">eatmap matrix showing the </w:t>
      </w:r>
      <w:r w:rsidR="00A22DE8" w:rsidRPr="00F862F5">
        <w:rPr>
          <w:szCs w:val="24"/>
        </w:rPr>
        <w:t xml:space="preserve">proportional </w:t>
      </w:r>
      <w:r w:rsidR="0043515F" w:rsidRPr="00F862F5">
        <w:rPr>
          <w:szCs w:val="24"/>
        </w:rPr>
        <w:t xml:space="preserve">correlation of urine </w:t>
      </w:r>
      <w:r w:rsidR="00A22DE8" w:rsidRPr="00F862F5">
        <w:rPr>
          <w:szCs w:val="24"/>
        </w:rPr>
        <w:t>co-</w:t>
      </w:r>
      <w:r w:rsidR="0043515F" w:rsidRPr="00F862F5">
        <w:rPr>
          <w:szCs w:val="24"/>
        </w:rPr>
        <w:t>colonizers</w:t>
      </w:r>
      <w:r w:rsidR="00A22DE8" w:rsidRPr="00F862F5">
        <w:rPr>
          <w:szCs w:val="24"/>
        </w:rPr>
        <w:t xml:space="preserve"> ranging from 0% (light grey) to 100% (black), self-correlation has been removed from </w:t>
      </w:r>
      <w:r w:rsidR="00A22DE8" w:rsidRPr="00F862F5">
        <w:rPr>
          <w:szCs w:val="24"/>
        </w:rPr>
        <w:lastRenderedPageBreak/>
        <w:t>analysis (white). A separate species-based analysis is indicated with a</w:t>
      </w:r>
      <w:r w:rsidR="006E1B9F" w:rsidRPr="00F862F5">
        <w:rPr>
          <w:szCs w:val="24"/>
        </w:rPr>
        <w:t xml:space="preserve">n additional </w:t>
      </w:r>
      <w:r w:rsidR="00A22DE8" w:rsidRPr="00F862F5">
        <w:rPr>
          <w:szCs w:val="24"/>
        </w:rPr>
        <w:t xml:space="preserve">bar for </w:t>
      </w:r>
      <w:r w:rsidR="00A22DE8" w:rsidRPr="00F862F5">
        <w:rPr>
          <w:i/>
          <w:iCs/>
          <w:szCs w:val="24"/>
        </w:rPr>
        <w:t>E. coli</w:t>
      </w:r>
      <w:r w:rsidR="00A22DE8" w:rsidRPr="00F862F5">
        <w:rPr>
          <w:szCs w:val="24"/>
        </w:rPr>
        <w:t xml:space="preserve"> to </w:t>
      </w:r>
      <w:r w:rsidR="006E1B9F" w:rsidRPr="00F862F5">
        <w:rPr>
          <w:szCs w:val="24"/>
        </w:rPr>
        <w:t>highlight</w:t>
      </w:r>
      <w:r w:rsidR="00A22DE8" w:rsidRPr="00F862F5">
        <w:rPr>
          <w:szCs w:val="24"/>
        </w:rPr>
        <w:t xml:space="preserve"> proportional co-colonization </w:t>
      </w:r>
      <w:r w:rsidR="006E1B9F" w:rsidRPr="00F862F5">
        <w:rPr>
          <w:szCs w:val="24"/>
        </w:rPr>
        <w:t>within the species.</w:t>
      </w:r>
    </w:p>
    <w:p w14:paraId="7A09DE61" w14:textId="79F610CB" w:rsidR="00BC32D3" w:rsidRPr="00F862F5" w:rsidRDefault="008A782E" w:rsidP="00F862F5">
      <w:pPr>
        <w:spacing w:before="0" w:after="200" w:line="276" w:lineRule="auto"/>
        <w:rPr>
          <w:szCs w:val="24"/>
        </w:rPr>
      </w:pPr>
      <w:r w:rsidRPr="00F862F5">
        <w:rPr>
          <w:b/>
          <w:bCs/>
          <w:szCs w:val="24"/>
        </w:rPr>
        <w:t xml:space="preserve">Supplementary </w:t>
      </w:r>
      <w:r w:rsidR="00711C12" w:rsidRPr="00F862F5">
        <w:rPr>
          <w:b/>
          <w:bCs/>
          <w:szCs w:val="24"/>
        </w:rPr>
        <w:t>T</w:t>
      </w:r>
      <w:r w:rsidRPr="00F862F5">
        <w:rPr>
          <w:b/>
          <w:bCs/>
          <w:szCs w:val="24"/>
        </w:rPr>
        <w:t xml:space="preserve">able </w:t>
      </w:r>
      <w:r w:rsidR="001740D7">
        <w:rPr>
          <w:b/>
          <w:bCs/>
          <w:szCs w:val="24"/>
        </w:rPr>
        <w:t>S</w:t>
      </w:r>
      <w:r w:rsidR="0056107E">
        <w:rPr>
          <w:b/>
          <w:bCs/>
          <w:szCs w:val="24"/>
        </w:rPr>
        <w:t>2</w:t>
      </w:r>
      <w:r w:rsidRPr="00F862F5">
        <w:rPr>
          <w:b/>
          <w:bCs/>
          <w:szCs w:val="24"/>
        </w:rPr>
        <w:t xml:space="preserve">. </w:t>
      </w:r>
      <w:r w:rsidR="00BC32D3" w:rsidRPr="00F862F5">
        <w:rPr>
          <w:b/>
          <w:bCs/>
          <w:szCs w:val="24"/>
        </w:rPr>
        <w:t>Information on tested antibiotics from EUCAST</w:t>
      </w:r>
      <w:r w:rsidR="00C533E7" w:rsidRPr="00F862F5">
        <w:rPr>
          <w:b/>
          <w:bCs/>
          <w:szCs w:val="24"/>
        </w:rPr>
        <w:t>.</w:t>
      </w:r>
    </w:p>
    <w:p w14:paraId="35A55D55" w14:textId="4832F47C" w:rsidR="00C533E7" w:rsidRPr="00F862F5" w:rsidRDefault="00C533E7" w:rsidP="005D2C3F">
      <w:pPr>
        <w:jc w:val="both"/>
        <w:rPr>
          <w:szCs w:val="24"/>
        </w:rPr>
      </w:pPr>
      <w:r w:rsidRPr="00F862F5">
        <w:rPr>
          <w:szCs w:val="24"/>
        </w:rPr>
        <w:t xml:space="preserve">Strains with an identified MIC between “R” and “S” were before 2019 classified as intermediates (“I”). Since 2019, this previously intermediate group is now referred to as “susceptible, increased exposure”, still designated with the letter “I” in the SIR classification. This means that bacteria can only group in “I” if the antibiotic tested can be administered </w:t>
      </w:r>
      <w:r w:rsidR="00104424">
        <w:rPr>
          <w:szCs w:val="24"/>
        </w:rPr>
        <w:t>at</w:t>
      </w:r>
      <w:r w:rsidR="00104424" w:rsidRPr="00F862F5">
        <w:rPr>
          <w:szCs w:val="24"/>
        </w:rPr>
        <w:t xml:space="preserve"> </w:t>
      </w:r>
      <w:r w:rsidRPr="00F862F5">
        <w:rPr>
          <w:szCs w:val="24"/>
        </w:rPr>
        <w:t xml:space="preserve">an increased dose. </w:t>
      </w:r>
      <w:r w:rsidR="00493CB8" w:rsidRPr="00F862F5">
        <w:rPr>
          <w:rFonts w:cs="Times New Roman"/>
          <w:szCs w:val="24"/>
        </w:rPr>
        <w:t xml:space="preserve">Internal validation was performed with EUCAST-recommended type strains </w:t>
      </w:r>
      <w:r w:rsidR="00493CB8" w:rsidRPr="00F862F5">
        <w:rPr>
          <w:rFonts w:cs="Times New Roman"/>
          <w:i/>
          <w:iCs/>
          <w:szCs w:val="24"/>
        </w:rPr>
        <w:t>E. faecalis</w:t>
      </w:r>
      <w:r w:rsidR="00493CB8" w:rsidRPr="00F862F5">
        <w:rPr>
          <w:rFonts w:cs="Times New Roman"/>
          <w:szCs w:val="24"/>
        </w:rPr>
        <w:t xml:space="preserve"> ATCC 29</w:t>
      </w:r>
      <w:r w:rsidR="004B730B">
        <w:rPr>
          <w:rFonts w:cs="Times New Roman"/>
          <w:szCs w:val="24"/>
        </w:rPr>
        <w:t>2</w:t>
      </w:r>
      <w:r w:rsidR="00493CB8" w:rsidRPr="00F862F5">
        <w:rPr>
          <w:rFonts w:cs="Times New Roman"/>
          <w:szCs w:val="24"/>
        </w:rPr>
        <w:t xml:space="preserve">12, </w:t>
      </w:r>
      <w:r w:rsidR="00493CB8" w:rsidRPr="00F862F5">
        <w:rPr>
          <w:rFonts w:cs="Times New Roman"/>
          <w:i/>
          <w:iCs/>
          <w:szCs w:val="24"/>
        </w:rPr>
        <w:t xml:space="preserve">E. coli </w:t>
      </w:r>
      <w:r w:rsidR="00493CB8" w:rsidRPr="00F862F5">
        <w:rPr>
          <w:rFonts w:cs="Times New Roman"/>
          <w:szCs w:val="24"/>
        </w:rPr>
        <w:t xml:space="preserve">ATCC 25922 and </w:t>
      </w:r>
      <w:r w:rsidR="00493CB8" w:rsidRPr="00F862F5">
        <w:rPr>
          <w:rFonts w:cs="Times New Roman"/>
          <w:i/>
          <w:iCs/>
          <w:szCs w:val="24"/>
        </w:rPr>
        <w:t>P. aeruginosa</w:t>
      </w:r>
      <w:r w:rsidR="00493CB8" w:rsidRPr="00F862F5">
        <w:rPr>
          <w:rFonts w:cs="Times New Roman"/>
          <w:szCs w:val="24"/>
        </w:rPr>
        <w:t xml:space="preserve"> ATCC 27853 with both BMD and E-tests. MRSA strain </w:t>
      </w:r>
      <w:r w:rsidR="00493CB8" w:rsidRPr="00F862F5">
        <w:rPr>
          <w:rFonts w:cs="Times New Roman"/>
          <w:i/>
          <w:iCs/>
          <w:szCs w:val="24"/>
        </w:rPr>
        <w:t>S. aureus</w:t>
      </w:r>
      <w:r w:rsidR="00493CB8" w:rsidRPr="00F862F5">
        <w:rPr>
          <w:rFonts w:cs="Times New Roman"/>
          <w:szCs w:val="24"/>
        </w:rPr>
        <w:t xml:space="preserve"> ATCC 33591 was additionally included for validation of </w:t>
      </w:r>
      <w:r w:rsidR="0043533C">
        <w:rPr>
          <w:rFonts w:cs="Times New Roman"/>
          <w:szCs w:val="24"/>
        </w:rPr>
        <w:t>cefoxitin-resistance,</w:t>
      </w:r>
      <w:r w:rsidR="00104424">
        <w:rPr>
          <w:rFonts w:cs="Times New Roman"/>
          <w:szCs w:val="24"/>
        </w:rPr>
        <w:t xml:space="preserve"> </w:t>
      </w:r>
      <w:r w:rsidR="00104424" w:rsidRPr="001740D7">
        <w:rPr>
          <w:rFonts w:cs="Times New Roman"/>
          <w:i/>
          <w:iCs/>
          <w:szCs w:val="24"/>
        </w:rPr>
        <w:t xml:space="preserve">K. </w:t>
      </w:r>
      <w:proofErr w:type="spellStart"/>
      <w:r w:rsidR="00104424" w:rsidRPr="001740D7">
        <w:rPr>
          <w:rFonts w:cs="Times New Roman"/>
          <w:i/>
          <w:iCs/>
          <w:szCs w:val="24"/>
        </w:rPr>
        <w:t>quasipneumoniae</w:t>
      </w:r>
      <w:proofErr w:type="spellEnd"/>
      <w:r w:rsidR="00104424">
        <w:rPr>
          <w:rFonts w:cs="Times New Roman"/>
          <w:szCs w:val="24"/>
        </w:rPr>
        <w:t xml:space="preserve"> </w:t>
      </w:r>
      <w:r w:rsidR="0043533C">
        <w:rPr>
          <w:rFonts w:cs="Times New Roman"/>
          <w:szCs w:val="24"/>
        </w:rPr>
        <w:t xml:space="preserve">ATCC 700603 </w:t>
      </w:r>
      <w:r w:rsidR="00104424">
        <w:rPr>
          <w:rFonts w:cs="Times New Roman"/>
          <w:szCs w:val="24"/>
        </w:rPr>
        <w:t>for validation of beta-lactam/beta-lactamase resistance</w:t>
      </w:r>
      <w:r w:rsidR="0043533C">
        <w:rPr>
          <w:rFonts w:cs="Times New Roman"/>
          <w:szCs w:val="24"/>
        </w:rPr>
        <w:t xml:space="preserve"> and </w:t>
      </w:r>
      <w:r w:rsidR="0043533C" w:rsidRPr="005108A1">
        <w:rPr>
          <w:rFonts w:cs="Times New Roman"/>
          <w:i/>
          <w:iCs/>
          <w:szCs w:val="24"/>
        </w:rPr>
        <w:t>E. faecalis</w:t>
      </w:r>
      <w:r w:rsidR="0043533C">
        <w:rPr>
          <w:rFonts w:cs="Times New Roman"/>
          <w:szCs w:val="24"/>
        </w:rPr>
        <w:t xml:space="preserve"> ATCC 51299 when confirming HLAR/</w:t>
      </w:r>
      <w:proofErr w:type="spellStart"/>
      <w:r w:rsidR="0043533C">
        <w:rPr>
          <w:rFonts w:cs="Times New Roman"/>
          <w:szCs w:val="24"/>
        </w:rPr>
        <w:t>VanB</w:t>
      </w:r>
      <w:proofErr w:type="spellEnd"/>
      <w:r w:rsidR="0043533C">
        <w:rPr>
          <w:rFonts w:cs="Times New Roman"/>
          <w:szCs w:val="24"/>
        </w:rPr>
        <w:t xml:space="preserve"> resistance</w:t>
      </w:r>
      <w:r w:rsidR="00493CB8" w:rsidRPr="00F862F5">
        <w:rPr>
          <w:rFonts w:cs="Times New Roman"/>
          <w:szCs w:val="24"/>
        </w:rPr>
        <w:t xml:space="preserve">. Vancomycin for </w:t>
      </w:r>
      <w:r w:rsidR="00493CB8" w:rsidRPr="00F862F5">
        <w:rPr>
          <w:rFonts w:cs="Times New Roman"/>
          <w:i/>
          <w:iCs/>
          <w:szCs w:val="24"/>
        </w:rPr>
        <w:t xml:space="preserve">Enterococcus </w:t>
      </w:r>
      <w:r w:rsidR="00493CB8" w:rsidRPr="00F862F5">
        <w:rPr>
          <w:rFonts w:cs="Times New Roman"/>
          <w:szCs w:val="24"/>
        </w:rPr>
        <w:t xml:space="preserve">and cefoxitin for </w:t>
      </w:r>
      <w:r w:rsidR="00493CB8" w:rsidRPr="00F862F5">
        <w:rPr>
          <w:rFonts w:cs="Times New Roman"/>
          <w:i/>
          <w:iCs/>
          <w:szCs w:val="24"/>
        </w:rPr>
        <w:t>Staphylococcus</w:t>
      </w:r>
      <w:r w:rsidR="00493CB8" w:rsidRPr="00F862F5">
        <w:rPr>
          <w:rFonts w:cs="Times New Roman"/>
          <w:szCs w:val="24"/>
        </w:rPr>
        <w:t xml:space="preserve"> were </w:t>
      </w:r>
      <w:r w:rsidR="0043533C">
        <w:rPr>
          <w:rFonts w:cs="Times New Roman"/>
          <w:szCs w:val="24"/>
        </w:rPr>
        <w:t xml:space="preserve">in addition to BMD </w:t>
      </w:r>
      <w:r w:rsidR="00493CB8" w:rsidRPr="00F862F5">
        <w:rPr>
          <w:rFonts w:cs="Times New Roman"/>
          <w:szCs w:val="24"/>
        </w:rPr>
        <w:t xml:space="preserve">moreover controlled with the disk diffusion method as recommended by EUCAST. Tigecycline resistance was additionally confirmed with E-tests due to the importance of fresh media. Results were only accepted if controls were functional, and the duplicates did not deviate more than one dilution. Antibiotics used are listed below. Tazobactam was added as 4mg/L after dilution of piperacillin and trimethoprim was added in a 1:19 ratio with sulfamethoxazole. Discrepancies were </w:t>
      </w:r>
      <w:r w:rsidR="0043533C">
        <w:rPr>
          <w:rFonts w:cs="Times New Roman"/>
          <w:szCs w:val="24"/>
        </w:rPr>
        <w:t xml:space="preserve">always </w:t>
      </w:r>
      <w:r w:rsidR="00493CB8" w:rsidRPr="00F862F5">
        <w:rPr>
          <w:rFonts w:cs="Times New Roman"/>
          <w:szCs w:val="24"/>
        </w:rPr>
        <w:t>confirmed with E-tests.</w:t>
      </w:r>
    </w:p>
    <w:tbl>
      <w:tblPr>
        <w:tblStyle w:val="GridTable1Light"/>
        <w:tblW w:w="9357" w:type="dxa"/>
        <w:tblLayout w:type="fixed"/>
        <w:tblLook w:val="04A0" w:firstRow="1" w:lastRow="0" w:firstColumn="1" w:lastColumn="0" w:noHBand="0" w:noVBand="1"/>
      </w:tblPr>
      <w:tblGrid>
        <w:gridCol w:w="1696"/>
        <w:gridCol w:w="1560"/>
        <w:gridCol w:w="1417"/>
        <w:gridCol w:w="1701"/>
        <w:gridCol w:w="1559"/>
        <w:gridCol w:w="1424"/>
      </w:tblGrid>
      <w:tr w:rsidR="00CF5142" w14:paraId="3797537A" w14:textId="77777777" w:rsidTr="00DB3F97">
        <w:trPr>
          <w:cnfStyle w:val="100000000000" w:firstRow="1" w:lastRow="0" w:firstColumn="0" w:lastColumn="0" w:oddVBand="0" w:evenVBand="0" w:oddHBand="0" w:evenHBand="0"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1696" w:type="dxa"/>
          </w:tcPr>
          <w:p w14:paraId="13677081" w14:textId="77777777" w:rsidR="00CF5142" w:rsidRPr="00DB3F97" w:rsidRDefault="00CF5142" w:rsidP="00DB3F97">
            <w:pPr>
              <w:jc w:val="center"/>
              <w:rPr>
                <w:rFonts w:cs="Times New Roman"/>
                <w:b w:val="0"/>
                <w:bCs w:val="0"/>
                <w:sz w:val="18"/>
                <w:szCs w:val="18"/>
              </w:rPr>
            </w:pPr>
          </w:p>
        </w:tc>
        <w:tc>
          <w:tcPr>
            <w:tcW w:w="1560" w:type="dxa"/>
          </w:tcPr>
          <w:p w14:paraId="0253BBCA" w14:textId="64447467" w:rsidR="00CF5142" w:rsidRPr="00DB3F97" w:rsidRDefault="00CF5142" w:rsidP="00DB3F97">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roofErr w:type="spellStart"/>
            <w:r w:rsidRPr="00DB3F97">
              <w:rPr>
                <w:rFonts w:cs="Times New Roman"/>
                <w:i/>
                <w:iCs/>
                <w:sz w:val="18"/>
                <w:szCs w:val="18"/>
              </w:rPr>
              <w:t>Enterobacterales</w:t>
            </w:r>
            <w:proofErr w:type="spellEnd"/>
          </w:p>
        </w:tc>
        <w:tc>
          <w:tcPr>
            <w:tcW w:w="1417" w:type="dxa"/>
          </w:tcPr>
          <w:p w14:paraId="6157ED54" w14:textId="1AD0A0AB" w:rsidR="00CF5142" w:rsidRPr="00DB3F97" w:rsidRDefault="00CF5142" w:rsidP="00DB3F97">
            <w:pPr>
              <w:jc w:val="center"/>
              <w:cnfStyle w:val="100000000000" w:firstRow="1" w:lastRow="0" w:firstColumn="0" w:lastColumn="0" w:oddVBand="0" w:evenVBand="0" w:oddHBand="0" w:evenHBand="0" w:firstRowFirstColumn="0" w:firstRowLastColumn="0" w:lastRowFirstColumn="0" w:lastRowLastColumn="0"/>
              <w:rPr>
                <w:rFonts w:cs="Times New Roman"/>
                <w:i/>
                <w:iCs/>
                <w:sz w:val="18"/>
                <w:szCs w:val="18"/>
              </w:rPr>
            </w:pPr>
            <w:r w:rsidRPr="00DB3F97">
              <w:rPr>
                <w:rFonts w:cs="Times New Roman"/>
                <w:i/>
                <w:iCs/>
                <w:sz w:val="18"/>
                <w:szCs w:val="18"/>
              </w:rPr>
              <w:t>Pseudomonas</w:t>
            </w:r>
          </w:p>
        </w:tc>
        <w:tc>
          <w:tcPr>
            <w:tcW w:w="1701" w:type="dxa"/>
          </w:tcPr>
          <w:p w14:paraId="05388B29" w14:textId="61770A89" w:rsidR="00CF5142" w:rsidRPr="00DB3F97" w:rsidRDefault="00CF5142" w:rsidP="00DB3F97">
            <w:pPr>
              <w:jc w:val="center"/>
              <w:cnfStyle w:val="100000000000" w:firstRow="1" w:lastRow="0" w:firstColumn="0" w:lastColumn="0" w:oddVBand="0" w:evenVBand="0" w:oddHBand="0" w:evenHBand="0" w:firstRowFirstColumn="0" w:firstRowLastColumn="0" w:lastRowFirstColumn="0" w:lastRowLastColumn="0"/>
              <w:rPr>
                <w:rFonts w:cs="Times New Roman"/>
                <w:i/>
                <w:iCs/>
                <w:sz w:val="18"/>
                <w:szCs w:val="18"/>
              </w:rPr>
            </w:pPr>
            <w:r w:rsidRPr="00DB3F97">
              <w:rPr>
                <w:rFonts w:cs="Times New Roman"/>
                <w:i/>
                <w:iCs/>
                <w:sz w:val="18"/>
                <w:szCs w:val="18"/>
              </w:rPr>
              <w:t>Staphylococcus</w:t>
            </w:r>
          </w:p>
        </w:tc>
        <w:tc>
          <w:tcPr>
            <w:tcW w:w="1559" w:type="dxa"/>
          </w:tcPr>
          <w:p w14:paraId="653F4DA1" w14:textId="0E574E2A" w:rsidR="00CF5142" w:rsidRPr="00DB3F97" w:rsidRDefault="00CF5142" w:rsidP="00DB3F97">
            <w:pPr>
              <w:jc w:val="center"/>
              <w:cnfStyle w:val="100000000000" w:firstRow="1" w:lastRow="0" w:firstColumn="0" w:lastColumn="0" w:oddVBand="0" w:evenVBand="0" w:oddHBand="0" w:evenHBand="0" w:firstRowFirstColumn="0" w:firstRowLastColumn="0" w:lastRowFirstColumn="0" w:lastRowLastColumn="0"/>
              <w:rPr>
                <w:rFonts w:cs="Times New Roman"/>
                <w:i/>
                <w:iCs/>
                <w:sz w:val="18"/>
                <w:szCs w:val="18"/>
              </w:rPr>
            </w:pPr>
            <w:r w:rsidRPr="00DB3F97">
              <w:rPr>
                <w:rFonts w:cs="Times New Roman"/>
                <w:i/>
                <w:iCs/>
                <w:sz w:val="18"/>
                <w:szCs w:val="18"/>
              </w:rPr>
              <w:t>Corynebacterium</w:t>
            </w:r>
          </w:p>
        </w:tc>
        <w:tc>
          <w:tcPr>
            <w:tcW w:w="1424" w:type="dxa"/>
          </w:tcPr>
          <w:p w14:paraId="67FE0EA5" w14:textId="4D814F33" w:rsidR="00CF5142" w:rsidRPr="00DB3F97" w:rsidRDefault="00CF5142" w:rsidP="00DB3F97">
            <w:pPr>
              <w:jc w:val="center"/>
              <w:cnfStyle w:val="100000000000" w:firstRow="1" w:lastRow="0" w:firstColumn="0" w:lastColumn="0" w:oddVBand="0" w:evenVBand="0" w:oddHBand="0" w:evenHBand="0" w:firstRowFirstColumn="0" w:firstRowLastColumn="0" w:lastRowFirstColumn="0" w:lastRowLastColumn="0"/>
              <w:rPr>
                <w:rFonts w:cs="Times New Roman"/>
                <w:i/>
                <w:iCs/>
                <w:sz w:val="18"/>
                <w:szCs w:val="18"/>
              </w:rPr>
            </w:pPr>
            <w:r w:rsidRPr="00DB3F97">
              <w:rPr>
                <w:rFonts w:cs="Times New Roman"/>
                <w:i/>
                <w:iCs/>
                <w:sz w:val="18"/>
                <w:szCs w:val="18"/>
              </w:rPr>
              <w:t>Enterococcus</w:t>
            </w:r>
          </w:p>
        </w:tc>
      </w:tr>
      <w:tr w:rsidR="00281215" w14:paraId="329D8A7C" w14:textId="77777777" w:rsidTr="00DB3F97">
        <w:trPr>
          <w:trHeight w:val="266"/>
        </w:trPr>
        <w:tc>
          <w:tcPr>
            <w:cnfStyle w:val="001000000000" w:firstRow="0" w:lastRow="0" w:firstColumn="1" w:lastColumn="0" w:oddVBand="0" w:evenVBand="0" w:oddHBand="0" w:evenHBand="0" w:firstRowFirstColumn="0" w:firstRowLastColumn="0" w:lastRowFirstColumn="0" w:lastRowLastColumn="0"/>
            <w:tcW w:w="1696" w:type="dxa"/>
            <w:vMerge w:val="restart"/>
          </w:tcPr>
          <w:p w14:paraId="233083AE" w14:textId="755E93E2" w:rsidR="00281215" w:rsidRPr="00DB3F97" w:rsidRDefault="00281215" w:rsidP="00DB3F97">
            <w:pPr>
              <w:jc w:val="center"/>
              <w:rPr>
                <w:rFonts w:cs="Times New Roman"/>
                <w:bCs w:val="0"/>
                <w:sz w:val="18"/>
                <w:szCs w:val="18"/>
              </w:rPr>
            </w:pPr>
            <w:r w:rsidRPr="00DB3F97">
              <w:rPr>
                <w:rFonts w:cs="Times New Roman"/>
                <w:sz w:val="18"/>
                <w:szCs w:val="18"/>
              </w:rPr>
              <w:t>Trimethoprim</w:t>
            </w:r>
            <w:r w:rsidRPr="00DB3F97">
              <w:rPr>
                <w:rFonts w:cs="Times New Roman"/>
                <w:sz w:val="18"/>
                <w:szCs w:val="18"/>
              </w:rPr>
              <w:br/>
            </w:r>
            <w:r w:rsidR="00EE41FB">
              <w:rPr>
                <w:rFonts w:cs="Times New Roman"/>
                <w:sz w:val="18"/>
                <w:szCs w:val="18"/>
              </w:rPr>
              <w:t>(</w:t>
            </w:r>
            <w:r w:rsidRPr="00DB3F97">
              <w:rPr>
                <w:rFonts w:cs="Times New Roman"/>
                <w:sz w:val="18"/>
                <w:szCs w:val="18"/>
              </w:rPr>
              <w:t>TMP</w:t>
            </w:r>
            <w:r w:rsidR="00EE41FB">
              <w:rPr>
                <w:rFonts w:cs="Times New Roman"/>
                <w:sz w:val="18"/>
                <w:szCs w:val="18"/>
              </w:rPr>
              <w:t>)</w:t>
            </w:r>
          </w:p>
        </w:tc>
        <w:tc>
          <w:tcPr>
            <w:tcW w:w="1560" w:type="dxa"/>
          </w:tcPr>
          <w:p w14:paraId="17386E19" w14:textId="31151099"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p>
        </w:tc>
        <w:tc>
          <w:tcPr>
            <w:tcW w:w="1417" w:type="dxa"/>
          </w:tcPr>
          <w:p w14:paraId="6AE47E49" w14:textId="1B0A19F7"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5ACDA21E" w14:textId="14835397"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p>
        </w:tc>
        <w:tc>
          <w:tcPr>
            <w:tcW w:w="1559" w:type="dxa"/>
          </w:tcPr>
          <w:p w14:paraId="1DD12C72" w14:textId="16BB0666"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3893FFBD" w14:textId="5C084B9F"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r>
      <w:tr w:rsidR="00281215" w14:paraId="11DAB148" w14:textId="77777777" w:rsidTr="00DB3F97">
        <w:trPr>
          <w:trHeight w:val="549"/>
        </w:trPr>
        <w:tc>
          <w:tcPr>
            <w:cnfStyle w:val="001000000000" w:firstRow="0" w:lastRow="0" w:firstColumn="1" w:lastColumn="0" w:oddVBand="0" w:evenVBand="0" w:oddHBand="0" w:evenHBand="0" w:firstRowFirstColumn="0" w:firstRowLastColumn="0" w:lastRowFirstColumn="0" w:lastRowLastColumn="0"/>
            <w:tcW w:w="1696" w:type="dxa"/>
            <w:vMerge/>
          </w:tcPr>
          <w:p w14:paraId="7F746701" w14:textId="77777777" w:rsidR="00281215" w:rsidRPr="00DB3F97" w:rsidRDefault="00281215" w:rsidP="00DB3F97">
            <w:pPr>
              <w:jc w:val="center"/>
              <w:rPr>
                <w:rFonts w:cs="Times New Roman"/>
                <w:bCs w:val="0"/>
                <w:sz w:val="18"/>
                <w:szCs w:val="18"/>
              </w:rPr>
            </w:pPr>
          </w:p>
        </w:tc>
        <w:tc>
          <w:tcPr>
            <w:tcW w:w="1560" w:type="dxa"/>
          </w:tcPr>
          <w:p w14:paraId="2FA09324" w14:textId="1D2E90E2"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417" w:type="dxa"/>
          </w:tcPr>
          <w:p w14:paraId="3E3996A2" w14:textId="6D92D293"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4254946D" w14:textId="0D2A8CB8"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559" w:type="dxa"/>
          </w:tcPr>
          <w:p w14:paraId="41CEEFB1" w14:textId="1FF13027"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3ACE27D4" w14:textId="39320E2A"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r>
      <w:tr w:rsidR="00281215" w14:paraId="1789B1C6" w14:textId="77777777" w:rsidTr="00DB3F97">
        <w:trPr>
          <w:trHeight w:val="59"/>
        </w:trPr>
        <w:tc>
          <w:tcPr>
            <w:cnfStyle w:val="001000000000" w:firstRow="0" w:lastRow="0" w:firstColumn="1" w:lastColumn="0" w:oddVBand="0" w:evenVBand="0" w:oddHBand="0" w:evenHBand="0" w:firstRowFirstColumn="0" w:firstRowLastColumn="0" w:lastRowFirstColumn="0" w:lastRowLastColumn="0"/>
            <w:tcW w:w="1696" w:type="dxa"/>
            <w:vMerge w:val="restart"/>
          </w:tcPr>
          <w:p w14:paraId="0E732D75" w14:textId="446BB9DD" w:rsidR="00281215" w:rsidRPr="00DB3F97" w:rsidRDefault="00281215" w:rsidP="00DB3F97">
            <w:pPr>
              <w:jc w:val="center"/>
              <w:rPr>
                <w:rFonts w:cs="Times New Roman"/>
                <w:bCs w:val="0"/>
                <w:sz w:val="18"/>
                <w:szCs w:val="18"/>
              </w:rPr>
            </w:pPr>
            <w:r w:rsidRPr="00DB3F97">
              <w:rPr>
                <w:rFonts w:cs="Times New Roman"/>
                <w:sz w:val="18"/>
                <w:szCs w:val="18"/>
              </w:rPr>
              <w:t>Trimethoprim-Sulfamethoxazole</w:t>
            </w:r>
            <w:r w:rsidRPr="00DB3F97">
              <w:rPr>
                <w:rFonts w:cs="Times New Roman"/>
                <w:i/>
                <w:iCs/>
                <w:sz w:val="18"/>
                <w:szCs w:val="18"/>
              </w:rPr>
              <w:br/>
            </w:r>
            <w:r w:rsidR="00EE41FB">
              <w:rPr>
                <w:rFonts w:cs="Times New Roman"/>
                <w:sz w:val="18"/>
                <w:szCs w:val="18"/>
              </w:rPr>
              <w:t>(</w:t>
            </w:r>
            <w:r w:rsidRPr="00DB3F97">
              <w:rPr>
                <w:rFonts w:cs="Times New Roman"/>
                <w:sz w:val="18"/>
                <w:szCs w:val="18"/>
              </w:rPr>
              <w:t>SXT</w:t>
            </w:r>
            <w:r w:rsidR="00EE41FB">
              <w:rPr>
                <w:rFonts w:cs="Times New Roman"/>
                <w:sz w:val="18"/>
                <w:szCs w:val="18"/>
              </w:rPr>
              <w:t>)</w:t>
            </w:r>
          </w:p>
        </w:tc>
        <w:tc>
          <w:tcPr>
            <w:tcW w:w="1560" w:type="dxa"/>
          </w:tcPr>
          <w:p w14:paraId="73A39055" w14:textId="7DA5A61F"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p>
        </w:tc>
        <w:tc>
          <w:tcPr>
            <w:tcW w:w="1417" w:type="dxa"/>
          </w:tcPr>
          <w:p w14:paraId="64E4FADF" w14:textId="34A533EF"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3F792FBA" w14:textId="1AAE1385"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p>
        </w:tc>
        <w:tc>
          <w:tcPr>
            <w:tcW w:w="1559" w:type="dxa"/>
          </w:tcPr>
          <w:p w14:paraId="2728CFEF" w14:textId="5A159CF0"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02F41721" w14:textId="566C52E5"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r>
      <w:tr w:rsidR="00281215" w14:paraId="356D692C"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020B012E" w14:textId="77777777" w:rsidR="00281215" w:rsidRPr="00DB3F97" w:rsidRDefault="00281215" w:rsidP="00DB3F97">
            <w:pPr>
              <w:jc w:val="center"/>
              <w:rPr>
                <w:rFonts w:cs="Times New Roman"/>
                <w:bCs w:val="0"/>
                <w:sz w:val="18"/>
                <w:szCs w:val="18"/>
              </w:rPr>
            </w:pPr>
          </w:p>
        </w:tc>
        <w:tc>
          <w:tcPr>
            <w:tcW w:w="1560" w:type="dxa"/>
          </w:tcPr>
          <w:p w14:paraId="7B38FB2D" w14:textId="26593436"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&gt;2 mg/L: susceptible, increased exposure. Added in 1:19 ratio trimethoprim: sulfamethoxazole</w:t>
            </w:r>
          </w:p>
        </w:tc>
        <w:tc>
          <w:tcPr>
            <w:tcW w:w="1417" w:type="dxa"/>
          </w:tcPr>
          <w:p w14:paraId="5408F9C4" w14:textId="40C62C45"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7762ADE4" w14:textId="1CFA5A58"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&gt;2 mg/L: susceptible, increased exposure. Added in 1:19 ratio trimethoprim: sulfamethoxazole</w:t>
            </w:r>
          </w:p>
        </w:tc>
        <w:tc>
          <w:tcPr>
            <w:tcW w:w="1559" w:type="dxa"/>
          </w:tcPr>
          <w:p w14:paraId="1FB5EDEE" w14:textId="0A328E43"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3DCC30BC" w14:textId="14B4F974"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r>
      <w:tr w:rsidR="00281215" w14:paraId="0503E93E"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338B9969" w14:textId="603F6E4E" w:rsidR="00281215" w:rsidRPr="00DB3F97" w:rsidRDefault="00281215" w:rsidP="00DB3F97">
            <w:pPr>
              <w:jc w:val="center"/>
              <w:rPr>
                <w:rFonts w:cs="Times New Roman"/>
                <w:bCs w:val="0"/>
                <w:sz w:val="18"/>
                <w:szCs w:val="18"/>
              </w:rPr>
            </w:pPr>
            <w:r>
              <w:rPr>
                <w:rFonts w:cs="Times New Roman"/>
                <w:sz w:val="18"/>
                <w:szCs w:val="18"/>
              </w:rPr>
              <w:t>Cefotaxime</w:t>
            </w:r>
            <w:r>
              <w:rPr>
                <w:rFonts w:cs="Times New Roman"/>
                <w:sz w:val="18"/>
                <w:szCs w:val="18"/>
              </w:rPr>
              <w:br/>
            </w:r>
            <w:r w:rsidR="00EE41FB">
              <w:rPr>
                <w:rFonts w:cs="Times New Roman"/>
                <w:sz w:val="18"/>
                <w:szCs w:val="18"/>
              </w:rPr>
              <w:t>(</w:t>
            </w:r>
            <w:r>
              <w:rPr>
                <w:rFonts w:cs="Times New Roman"/>
                <w:sz w:val="18"/>
                <w:szCs w:val="18"/>
              </w:rPr>
              <w:t>CTX</w:t>
            </w:r>
            <w:r w:rsidR="00EE41FB">
              <w:rPr>
                <w:rFonts w:cs="Times New Roman"/>
                <w:sz w:val="18"/>
                <w:szCs w:val="18"/>
              </w:rPr>
              <w:t>)</w:t>
            </w:r>
          </w:p>
        </w:tc>
        <w:tc>
          <w:tcPr>
            <w:tcW w:w="1560" w:type="dxa"/>
          </w:tcPr>
          <w:p w14:paraId="0D8923F2" w14:textId="0ED6801A"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w:t>
            </w:r>
            <w:r w:rsidRPr="00DB3F97">
              <w:rPr>
                <w:sz w:val="16"/>
                <w:szCs w:val="16"/>
              </w:rPr>
              <w:t>2</w:t>
            </w:r>
            <w:r w:rsidRPr="00DB3F97">
              <w:rPr>
                <w:rFonts w:cs="Times New Roman"/>
                <w:sz w:val="16"/>
                <w:szCs w:val="16"/>
              </w:rPr>
              <w:t xml:space="preserve"> mg/L</w:t>
            </w:r>
          </w:p>
        </w:tc>
        <w:tc>
          <w:tcPr>
            <w:tcW w:w="1417" w:type="dxa"/>
          </w:tcPr>
          <w:p w14:paraId="6134A360" w14:textId="7954B416"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3B6C7703" w14:textId="131C680A"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559" w:type="dxa"/>
          </w:tcPr>
          <w:p w14:paraId="4B1E7F76" w14:textId="50602A3D"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2331DED0" w14:textId="5AF540BB"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r>
      <w:tr w:rsidR="00281215" w14:paraId="5C93016C"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3EA53F19" w14:textId="77777777" w:rsidR="00281215" w:rsidRPr="00DB3F97" w:rsidRDefault="00281215" w:rsidP="00DB3F97">
            <w:pPr>
              <w:jc w:val="center"/>
              <w:rPr>
                <w:rFonts w:cs="Times New Roman"/>
                <w:bCs w:val="0"/>
                <w:sz w:val="18"/>
                <w:szCs w:val="18"/>
              </w:rPr>
            </w:pPr>
          </w:p>
        </w:tc>
        <w:tc>
          <w:tcPr>
            <w:tcW w:w="1560" w:type="dxa"/>
          </w:tcPr>
          <w:p w14:paraId="64726C56" w14:textId="474C23D6"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&gt;1 mg/L: susceptible, increased exposure.</w:t>
            </w:r>
          </w:p>
        </w:tc>
        <w:tc>
          <w:tcPr>
            <w:tcW w:w="1417" w:type="dxa"/>
          </w:tcPr>
          <w:p w14:paraId="14B2F94F" w14:textId="418DBBE2"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31130BEA" w14:textId="1BA8EE66"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Susceptibility inferred from cefoxitin</w:t>
            </w:r>
          </w:p>
        </w:tc>
        <w:tc>
          <w:tcPr>
            <w:tcW w:w="1559" w:type="dxa"/>
          </w:tcPr>
          <w:p w14:paraId="42BCDD09" w14:textId="14413AD5"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15C61889" w14:textId="0DC13EF2"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r>
      <w:tr w:rsidR="00281215" w14:paraId="7BBE7CB0"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41ABA1F3" w14:textId="7296782E" w:rsidR="00281215" w:rsidRPr="00DB3F97" w:rsidRDefault="00281215" w:rsidP="00DB3F97">
            <w:pPr>
              <w:jc w:val="center"/>
              <w:rPr>
                <w:rFonts w:cs="Times New Roman"/>
                <w:bCs w:val="0"/>
                <w:sz w:val="18"/>
                <w:szCs w:val="18"/>
              </w:rPr>
            </w:pPr>
            <w:r>
              <w:rPr>
                <w:rFonts w:cs="Times New Roman"/>
                <w:sz w:val="18"/>
                <w:szCs w:val="18"/>
              </w:rPr>
              <w:t xml:space="preserve">Gentamicin </w:t>
            </w:r>
            <w:r>
              <w:rPr>
                <w:rFonts w:cs="Times New Roman"/>
                <w:sz w:val="18"/>
                <w:szCs w:val="18"/>
              </w:rPr>
              <w:br/>
              <w:t>(GEN)</w:t>
            </w:r>
          </w:p>
        </w:tc>
        <w:tc>
          <w:tcPr>
            <w:tcW w:w="1560" w:type="dxa"/>
          </w:tcPr>
          <w:p w14:paraId="7070C22A" w14:textId="7A1544BD"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&gt;2 mg/L</w:t>
            </w:r>
          </w:p>
        </w:tc>
        <w:tc>
          <w:tcPr>
            <w:tcW w:w="1417" w:type="dxa"/>
          </w:tcPr>
          <w:p w14:paraId="30D5ABC3" w14:textId="756DABBC"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102B1DE7" w14:textId="58644675"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&gt;2 mg/L</w:t>
            </w:r>
          </w:p>
        </w:tc>
        <w:tc>
          <w:tcPr>
            <w:tcW w:w="1559" w:type="dxa"/>
          </w:tcPr>
          <w:p w14:paraId="6126D406" w14:textId="7345F7FD"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26D7D64A" w14:textId="0D50C497" w:rsidR="00281215" w:rsidRPr="00DB3F97" w:rsidRDefault="00804314"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&gt;128 mg/L</w:t>
            </w:r>
          </w:p>
        </w:tc>
      </w:tr>
      <w:tr w:rsidR="00281215" w14:paraId="35F814C8"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198C6E79" w14:textId="77777777" w:rsidR="00281215" w:rsidRPr="00DB3F97" w:rsidRDefault="00281215" w:rsidP="00DB3F97">
            <w:pPr>
              <w:jc w:val="center"/>
              <w:rPr>
                <w:rFonts w:cs="Times New Roman"/>
                <w:bCs w:val="0"/>
                <w:sz w:val="18"/>
                <w:szCs w:val="18"/>
              </w:rPr>
            </w:pPr>
          </w:p>
        </w:tc>
        <w:tc>
          <w:tcPr>
            <w:tcW w:w="1560" w:type="dxa"/>
          </w:tcPr>
          <w:p w14:paraId="3B76C657" w14:textId="61FEA397"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417" w:type="dxa"/>
          </w:tcPr>
          <w:p w14:paraId="56A3BBCA" w14:textId="0B6234F3"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62681976" w14:textId="19EFD764"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559" w:type="dxa"/>
          </w:tcPr>
          <w:p w14:paraId="4EA59EFB" w14:textId="5E47AA6E"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02D8C1EB" w14:textId="4E6B2B68" w:rsidR="00281215" w:rsidRPr="00DB3F97" w:rsidRDefault="00281215" w:rsidP="00DB3F97">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Ineffective on </w:t>
            </w:r>
            <w:r w:rsidR="00804314">
              <w:rPr>
                <w:rFonts w:cs="Times New Roman"/>
                <w:sz w:val="16"/>
                <w:szCs w:val="16"/>
              </w:rPr>
              <w:t>its</w:t>
            </w:r>
            <w:r w:rsidRPr="00DB3F97">
              <w:rPr>
                <w:rFonts w:cs="Times New Roman"/>
                <w:sz w:val="16"/>
                <w:szCs w:val="16"/>
              </w:rPr>
              <w:t xml:space="preserve"> own, but synergy with beta-lactams when not expressing high-level aminoglycoside resistance (HLAR)</w:t>
            </w:r>
            <w:r w:rsidR="00804314" w:rsidRPr="00DB3F97">
              <w:rPr>
                <w:rFonts w:cs="Times New Roman"/>
                <w:sz w:val="16"/>
                <w:szCs w:val="16"/>
              </w:rPr>
              <w:t xml:space="preserve">. If &gt;128 </w:t>
            </w:r>
            <w:r w:rsidR="00804314" w:rsidRPr="00DB3F97">
              <w:rPr>
                <w:rFonts w:cs="Times New Roman"/>
                <w:sz w:val="16"/>
                <w:szCs w:val="16"/>
              </w:rPr>
              <w:lastRenderedPageBreak/>
              <w:t>mg/L: HLAR-type against GEN and all other aminoglycosides but streptomycin.</w:t>
            </w:r>
            <w:r w:rsidR="00804314">
              <w:rPr>
                <w:rFonts w:cs="Times New Roman"/>
                <w:sz w:val="16"/>
                <w:szCs w:val="16"/>
              </w:rPr>
              <w:t xml:space="preserve"> Negative HLAR might not mean negative for other aminoglycosides.</w:t>
            </w:r>
          </w:p>
        </w:tc>
      </w:tr>
      <w:tr w:rsidR="001963DF" w14:paraId="1EA55762"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1026A81F" w14:textId="05C3994C" w:rsidR="001963DF" w:rsidRPr="00A542CF" w:rsidRDefault="001963DF" w:rsidP="001963DF">
            <w:pPr>
              <w:jc w:val="center"/>
              <w:rPr>
                <w:rFonts w:cs="Times New Roman"/>
                <w:sz w:val="18"/>
                <w:szCs w:val="18"/>
              </w:rPr>
            </w:pPr>
            <w:r>
              <w:rPr>
                <w:rFonts w:cs="Times New Roman"/>
                <w:sz w:val="18"/>
                <w:szCs w:val="18"/>
              </w:rPr>
              <w:lastRenderedPageBreak/>
              <w:t xml:space="preserve">Tobramycin </w:t>
            </w:r>
            <w:r>
              <w:rPr>
                <w:rFonts w:cs="Times New Roman"/>
                <w:sz w:val="18"/>
                <w:szCs w:val="18"/>
              </w:rPr>
              <w:br/>
              <w:t>(TOB)</w:t>
            </w:r>
          </w:p>
        </w:tc>
        <w:tc>
          <w:tcPr>
            <w:tcW w:w="1560" w:type="dxa"/>
          </w:tcPr>
          <w:p w14:paraId="1363CA49" w14:textId="1A69A930"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&gt;2 mg/L</w:t>
            </w:r>
          </w:p>
        </w:tc>
        <w:tc>
          <w:tcPr>
            <w:tcW w:w="1417" w:type="dxa"/>
          </w:tcPr>
          <w:p w14:paraId="7654034B" w14:textId="2F92F684"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&gt;2 mg/L</w:t>
            </w:r>
          </w:p>
        </w:tc>
        <w:tc>
          <w:tcPr>
            <w:tcW w:w="1701" w:type="dxa"/>
          </w:tcPr>
          <w:p w14:paraId="100F5DF8" w14:textId="1E490174"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&gt;2 mg/L</w:t>
            </w:r>
          </w:p>
        </w:tc>
        <w:tc>
          <w:tcPr>
            <w:tcW w:w="1559" w:type="dxa"/>
          </w:tcPr>
          <w:p w14:paraId="3894A12D" w14:textId="74E2B4DD"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38F80A06" w14:textId="615D1657"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&gt;128 mg/L</w:t>
            </w:r>
          </w:p>
        </w:tc>
      </w:tr>
      <w:tr w:rsidR="001963DF" w14:paraId="5C115F48"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69FA0A25" w14:textId="77777777" w:rsidR="001963DF" w:rsidRPr="00A542CF" w:rsidRDefault="001963DF" w:rsidP="001963DF">
            <w:pPr>
              <w:jc w:val="center"/>
              <w:rPr>
                <w:rFonts w:cs="Times New Roman"/>
                <w:sz w:val="18"/>
                <w:szCs w:val="18"/>
              </w:rPr>
            </w:pPr>
          </w:p>
        </w:tc>
        <w:tc>
          <w:tcPr>
            <w:tcW w:w="1560" w:type="dxa"/>
          </w:tcPr>
          <w:p w14:paraId="754C2F37" w14:textId="3A4A2FB3"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417" w:type="dxa"/>
          </w:tcPr>
          <w:p w14:paraId="06BC4965" w14:textId="3407EBF0"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701" w:type="dxa"/>
          </w:tcPr>
          <w:p w14:paraId="00585746" w14:textId="71C97AEE"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559" w:type="dxa"/>
          </w:tcPr>
          <w:p w14:paraId="5818D904" w14:textId="38418629"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4C4A5E52" w14:textId="31F78123"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451349">
              <w:rPr>
                <w:rFonts w:cs="Times New Roman"/>
                <w:sz w:val="16"/>
                <w:szCs w:val="16"/>
              </w:rPr>
              <w:t xml:space="preserve">Ineffective on </w:t>
            </w:r>
            <w:r>
              <w:rPr>
                <w:rFonts w:cs="Times New Roman"/>
                <w:sz w:val="16"/>
                <w:szCs w:val="16"/>
              </w:rPr>
              <w:t>its</w:t>
            </w:r>
            <w:r w:rsidRPr="00451349">
              <w:rPr>
                <w:rFonts w:cs="Times New Roman"/>
                <w:sz w:val="16"/>
                <w:szCs w:val="16"/>
              </w:rPr>
              <w:t xml:space="preserve"> own, but synergy with beta-lactams when not expressing high-level aminoglycoside resistance (HLAR). If &gt;128 mg/L: HLAR-type</w:t>
            </w:r>
            <w:r>
              <w:rPr>
                <w:rFonts w:cs="Times New Roman"/>
                <w:sz w:val="16"/>
                <w:szCs w:val="16"/>
              </w:rPr>
              <w:t xml:space="preserve"> against TOB. Negative HLAR might not mean negative for other aminoglycosides.</w:t>
            </w:r>
          </w:p>
        </w:tc>
      </w:tr>
      <w:tr w:rsidR="001963DF" w14:paraId="120A9250"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0A860D7E" w14:textId="3DCC0683" w:rsidR="001963DF" w:rsidRPr="00A542CF" w:rsidRDefault="001963DF" w:rsidP="001963DF">
            <w:pPr>
              <w:jc w:val="center"/>
              <w:rPr>
                <w:rFonts w:cs="Times New Roman"/>
                <w:sz w:val="18"/>
                <w:szCs w:val="18"/>
              </w:rPr>
            </w:pPr>
            <w:r>
              <w:rPr>
                <w:rFonts w:cs="Times New Roman"/>
                <w:sz w:val="18"/>
                <w:szCs w:val="18"/>
              </w:rPr>
              <w:t xml:space="preserve">Ampicillin </w:t>
            </w:r>
            <w:r>
              <w:rPr>
                <w:rFonts w:cs="Times New Roman"/>
                <w:sz w:val="18"/>
                <w:szCs w:val="18"/>
              </w:rPr>
              <w:br/>
              <w:t>(AMP)</w:t>
            </w:r>
          </w:p>
        </w:tc>
        <w:tc>
          <w:tcPr>
            <w:tcW w:w="1560" w:type="dxa"/>
          </w:tcPr>
          <w:p w14:paraId="168EDC02" w14:textId="2674ADD4"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&gt;8 mg/L</w:t>
            </w:r>
          </w:p>
        </w:tc>
        <w:tc>
          <w:tcPr>
            <w:tcW w:w="1417" w:type="dxa"/>
          </w:tcPr>
          <w:p w14:paraId="019AEB9B" w14:textId="49627448"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2F4D5999" w14:textId="2D2D50E5"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559" w:type="dxa"/>
          </w:tcPr>
          <w:p w14:paraId="45731694" w14:textId="65A82584"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6B36027E" w14:textId="73B3B01A"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&gt;8 mg/L</w:t>
            </w:r>
          </w:p>
        </w:tc>
      </w:tr>
      <w:tr w:rsidR="001963DF" w14:paraId="22819098"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4758A551" w14:textId="77777777" w:rsidR="001963DF" w:rsidRPr="00A542CF" w:rsidRDefault="001963DF" w:rsidP="001963DF">
            <w:pPr>
              <w:jc w:val="center"/>
              <w:rPr>
                <w:rFonts w:cs="Times New Roman"/>
                <w:sz w:val="18"/>
                <w:szCs w:val="18"/>
              </w:rPr>
            </w:pPr>
          </w:p>
        </w:tc>
        <w:tc>
          <w:tcPr>
            <w:tcW w:w="1560" w:type="dxa"/>
          </w:tcPr>
          <w:p w14:paraId="3A687546" w14:textId="2C870CBA"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417" w:type="dxa"/>
          </w:tcPr>
          <w:p w14:paraId="5467C1A4" w14:textId="6113BCE7"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2B7C87CC" w14:textId="7FBD89BA"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Susceptibility inferred from penicillin G, only used for </w:t>
            </w:r>
            <w:r w:rsidRPr="00DB3F97">
              <w:rPr>
                <w:rFonts w:cs="Times New Roman"/>
                <w:i/>
                <w:iCs/>
                <w:sz w:val="16"/>
                <w:szCs w:val="16"/>
              </w:rPr>
              <w:t>S. saprophyticus</w:t>
            </w:r>
          </w:p>
        </w:tc>
        <w:tc>
          <w:tcPr>
            <w:tcW w:w="1559" w:type="dxa"/>
          </w:tcPr>
          <w:p w14:paraId="63726111" w14:textId="7EB421ED"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3602BFB7" w14:textId="58CCB964"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If &gt;</w:t>
            </w:r>
            <w:r>
              <w:rPr>
                <w:rFonts w:cs="Times New Roman"/>
                <w:sz w:val="16"/>
                <w:szCs w:val="16"/>
              </w:rPr>
              <w:t>4</w:t>
            </w:r>
            <w:r w:rsidRPr="00C33BE8">
              <w:rPr>
                <w:rFonts w:cs="Times New Roman"/>
                <w:sz w:val="16"/>
                <w:szCs w:val="16"/>
              </w:rPr>
              <w:t xml:space="preserve"> mg/L: susceptible, increased exposure.</w:t>
            </w:r>
            <w:r>
              <w:rPr>
                <w:rFonts w:cs="Times New Roman"/>
                <w:sz w:val="16"/>
                <w:szCs w:val="16"/>
              </w:rPr>
              <w:t xml:space="preserve"> Ampicillin is used to infer resistance against amoxicillin and piperacillin (with and without lactamase inhibitors). Ampicillin resistance is common in </w:t>
            </w:r>
            <w:r w:rsidRPr="00DB3F97">
              <w:rPr>
                <w:rFonts w:cs="Times New Roman"/>
                <w:i/>
                <w:iCs/>
                <w:sz w:val="16"/>
                <w:szCs w:val="16"/>
              </w:rPr>
              <w:t>E. faecium</w:t>
            </w:r>
            <w:r>
              <w:rPr>
                <w:rFonts w:cs="Times New Roman"/>
                <w:sz w:val="16"/>
                <w:szCs w:val="16"/>
              </w:rPr>
              <w:t xml:space="preserve"> but not in </w:t>
            </w:r>
            <w:r w:rsidRPr="00DB3F97">
              <w:rPr>
                <w:rFonts w:cs="Times New Roman"/>
                <w:i/>
                <w:iCs/>
                <w:sz w:val="16"/>
                <w:szCs w:val="16"/>
              </w:rPr>
              <w:t>E. faecalis</w:t>
            </w:r>
            <w:r>
              <w:rPr>
                <w:rFonts w:cs="Times New Roman"/>
                <w:sz w:val="16"/>
                <w:szCs w:val="16"/>
              </w:rPr>
              <w:t>.</w:t>
            </w:r>
          </w:p>
        </w:tc>
      </w:tr>
      <w:tr w:rsidR="008D3FA2" w14:paraId="2318AD77"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6B09A08A" w14:textId="64551DDE" w:rsidR="008D3FA2" w:rsidRPr="00A542CF" w:rsidRDefault="008D3FA2" w:rsidP="008D3FA2">
            <w:pPr>
              <w:jc w:val="center"/>
              <w:rPr>
                <w:rFonts w:cs="Times New Roman"/>
                <w:sz w:val="18"/>
                <w:szCs w:val="18"/>
              </w:rPr>
            </w:pPr>
            <w:r>
              <w:rPr>
                <w:rFonts w:cs="Times New Roman"/>
                <w:sz w:val="18"/>
                <w:szCs w:val="18"/>
              </w:rPr>
              <w:t>Piperacillin</w:t>
            </w:r>
            <w:r>
              <w:rPr>
                <w:rFonts w:cs="Times New Roman"/>
                <w:sz w:val="18"/>
                <w:szCs w:val="18"/>
              </w:rPr>
              <w:br/>
              <w:t>(PIP)</w:t>
            </w:r>
          </w:p>
        </w:tc>
        <w:tc>
          <w:tcPr>
            <w:tcW w:w="1560" w:type="dxa"/>
          </w:tcPr>
          <w:p w14:paraId="7B3A7206" w14:textId="598A5276"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&gt;8 mg/L</w:t>
            </w:r>
          </w:p>
        </w:tc>
        <w:tc>
          <w:tcPr>
            <w:tcW w:w="1417" w:type="dxa"/>
          </w:tcPr>
          <w:p w14:paraId="0C354C7D" w14:textId="5A26894D"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&gt;16 mg/L</w:t>
            </w:r>
          </w:p>
        </w:tc>
        <w:tc>
          <w:tcPr>
            <w:tcW w:w="1701" w:type="dxa"/>
          </w:tcPr>
          <w:p w14:paraId="73C41812" w14:textId="0D7115AF"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559" w:type="dxa"/>
          </w:tcPr>
          <w:p w14:paraId="44DC6160" w14:textId="45ABB727"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55907D03" w14:textId="646103DA"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8D3FA2" w14:paraId="3AC2AD17"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316B305B" w14:textId="77777777" w:rsidR="008D3FA2" w:rsidRPr="00A542CF" w:rsidRDefault="008D3FA2" w:rsidP="008D3FA2">
            <w:pPr>
              <w:jc w:val="center"/>
              <w:rPr>
                <w:rFonts w:cs="Times New Roman"/>
                <w:sz w:val="18"/>
                <w:szCs w:val="18"/>
              </w:rPr>
            </w:pPr>
          </w:p>
        </w:tc>
        <w:tc>
          <w:tcPr>
            <w:tcW w:w="1560" w:type="dxa"/>
          </w:tcPr>
          <w:p w14:paraId="20E90F93" w14:textId="46EF925E"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417" w:type="dxa"/>
          </w:tcPr>
          <w:p w14:paraId="2807445C" w14:textId="3AC81BD6"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&gt;0.001 mg/L: susceptible, increased exposure.</w:t>
            </w:r>
          </w:p>
        </w:tc>
        <w:tc>
          <w:tcPr>
            <w:tcW w:w="1701" w:type="dxa"/>
          </w:tcPr>
          <w:p w14:paraId="39D63B9D" w14:textId="7007C678"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Susceptibility inferred from penicillin G</w:t>
            </w:r>
          </w:p>
        </w:tc>
        <w:tc>
          <w:tcPr>
            <w:tcW w:w="1559" w:type="dxa"/>
          </w:tcPr>
          <w:p w14:paraId="6AB9C6BB" w14:textId="679E237D"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7409E5D2" w14:textId="5B938AB7"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 xml:space="preserve">Susceptibility inferred from </w:t>
            </w:r>
            <w:r>
              <w:rPr>
                <w:rFonts w:cs="Times New Roman"/>
                <w:sz w:val="16"/>
                <w:szCs w:val="16"/>
              </w:rPr>
              <w:t>ampicillin</w:t>
            </w:r>
            <w:r w:rsidRPr="00C33BE8">
              <w:rPr>
                <w:rFonts w:cs="Times New Roman"/>
                <w:sz w:val="16"/>
                <w:szCs w:val="16"/>
              </w:rPr>
              <w:t>.</w:t>
            </w:r>
          </w:p>
        </w:tc>
      </w:tr>
      <w:tr w:rsidR="008D3FA2" w14:paraId="19251A20"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40445670" w14:textId="64AF9EC3" w:rsidR="008D3FA2" w:rsidRPr="00A542CF" w:rsidRDefault="008D3FA2" w:rsidP="008D3FA2">
            <w:pPr>
              <w:jc w:val="center"/>
              <w:rPr>
                <w:rFonts w:cs="Times New Roman"/>
                <w:sz w:val="18"/>
                <w:szCs w:val="18"/>
              </w:rPr>
            </w:pPr>
            <w:r>
              <w:rPr>
                <w:rFonts w:cs="Times New Roman"/>
                <w:sz w:val="18"/>
                <w:szCs w:val="18"/>
              </w:rPr>
              <w:t>Piperacillin-Tazobactam</w:t>
            </w:r>
            <w:r>
              <w:rPr>
                <w:rFonts w:cs="Times New Roman"/>
                <w:sz w:val="18"/>
                <w:szCs w:val="18"/>
              </w:rPr>
              <w:br/>
              <w:t>(TZP)</w:t>
            </w:r>
          </w:p>
        </w:tc>
        <w:tc>
          <w:tcPr>
            <w:tcW w:w="1560" w:type="dxa"/>
          </w:tcPr>
          <w:p w14:paraId="18B4DEBB" w14:textId="572B650B"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&gt;8 mg/L</w:t>
            </w:r>
          </w:p>
        </w:tc>
        <w:tc>
          <w:tcPr>
            <w:tcW w:w="1417" w:type="dxa"/>
          </w:tcPr>
          <w:p w14:paraId="6DD16FD1" w14:textId="7B822A16"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&gt;16 mg/L</w:t>
            </w:r>
          </w:p>
        </w:tc>
        <w:tc>
          <w:tcPr>
            <w:tcW w:w="1701" w:type="dxa"/>
          </w:tcPr>
          <w:p w14:paraId="16BB947F" w14:textId="0BFEC0EA"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559" w:type="dxa"/>
          </w:tcPr>
          <w:p w14:paraId="353C9172" w14:textId="3DB1A647"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6FA49CED" w14:textId="22D69E39"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8D3FA2" w14:paraId="1059B5A4"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3F67F200" w14:textId="77777777" w:rsidR="008D3FA2" w:rsidRPr="00A542CF" w:rsidRDefault="008D3FA2" w:rsidP="008D3FA2">
            <w:pPr>
              <w:jc w:val="center"/>
              <w:rPr>
                <w:rFonts w:cs="Times New Roman"/>
                <w:sz w:val="18"/>
                <w:szCs w:val="18"/>
              </w:rPr>
            </w:pPr>
          </w:p>
        </w:tc>
        <w:tc>
          <w:tcPr>
            <w:tcW w:w="1560" w:type="dxa"/>
          </w:tcPr>
          <w:p w14:paraId="11BBC292" w14:textId="14C044F4"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 Tazobactam fixed at 4 mg/L, MIC measured in [piperacillin].</w:t>
            </w:r>
          </w:p>
        </w:tc>
        <w:tc>
          <w:tcPr>
            <w:tcW w:w="1417" w:type="dxa"/>
          </w:tcPr>
          <w:p w14:paraId="6B2402F9" w14:textId="7A489F6B"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&gt;0.001 mg/L: susceptible, increased exposure. Tazobactam fixed at 4 mg/L, MIC </w:t>
            </w:r>
            <w:r w:rsidRPr="00DB3F97">
              <w:rPr>
                <w:rFonts w:cs="Times New Roman"/>
                <w:sz w:val="16"/>
                <w:szCs w:val="16"/>
              </w:rPr>
              <w:lastRenderedPageBreak/>
              <w:t>measured in [piperacillin].</w:t>
            </w:r>
          </w:p>
        </w:tc>
        <w:tc>
          <w:tcPr>
            <w:tcW w:w="1701" w:type="dxa"/>
          </w:tcPr>
          <w:p w14:paraId="5F93038A" w14:textId="3D51C4C9"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lastRenderedPageBreak/>
              <w:t>Susceptibility inferred from cefoxitin. Strains resistant to penicillin G but susceptible to cefoxitin are susceptible to lactamase inhibitors</w:t>
            </w:r>
          </w:p>
        </w:tc>
        <w:tc>
          <w:tcPr>
            <w:tcW w:w="1559" w:type="dxa"/>
          </w:tcPr>
          <w:p w14:paraId="25FBB35B" w14:textId="6344BF44"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441C64F4" w14:textId="3F185931"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 xml:space="preserve">Susceptibility inferred from </w:t>
            </w:r>
            <w:r>
              <w:rPr>
                <w:rFonts w:cs="Times New Roman"/>
                <w:sz w:val="16"/>
                <w:szCs w:val="16"/>
              </w:rPr>
              <w:t>ampicillin</w:t>
            </w:r>
            <w:r w:rsidRPr="00C33BE8">
              <w:rPr>
                <w:rFonts w:cs="Times New Roman"/>
                <w:sz w:val="16"/>
                <w:szCs w:val="16"/>
              </w:rPr>
              <w:t>.</w:t>
            </w:r>
          </w:p>
        </w:tc>
      </w:tr>
      <w:tr w:rsidR="001963DF" w14:paraId="27638727"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7ED62AD7" w14:textId="2C8F73F7" w:rsidR="001963DF" w:rsidRPr="00A542CF" w:rsidRDefault="001963DF" w:rsidP="001963DF">
            <w:pPr>
              <w:jc w:val="center"/>
              <w:rPr>
                <w:rFonts w:cs="Times New Roman"/>
                <w:sz w:val="18"/>
                <w:szCs w:val="18"/>
              </w:rPr>
            </w:pPr>
            <w:r>
              <w:rPr>
                <w:rFonts w:cs="Times New Roman"/>
                <w:sz w:val="18"/>
                <w:szCs w:val="18"/>
              </w:rPr>
              <w:t>Meropenem</w:t>
            </w:r>
            <w:r>
              <w:rPr>
                <w:rFonts w:cs="Times New Roman"/>
                <w:sz w:val="18"/>
                <w:szCs w:val="18"/>
              </w:rPr>
              <w:br/>
              <w:t>(MEM)</w:t>
            </w:r>
          </w:p>
        </w:tc>
        <w:tc>
          <w:tcPr>
            <w:tcW w:w="1560" w:type="dxa"/>
          </w:tcPr>
          <w:p w14:paraId="793684B8" w14:textId="1B64C005"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&gt;8 mg/L</w:t>
            </w:r>
          </w:p>
        </w:tc>
        <w:tc>
          <w:tcPr>
            <w:tcW w:w="1417" w:type="dxa"/>
          </w:tcPr>
          <w:p w14:paraId="3B8E888C" w14:textId="768F3423"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&gt;8 mg/L</w:t>
            </w:r>
          </w:p>
        </w:tc>
        <w:tc>
          <w:tcPr>
            <w:tcW w:w="1701" w:type="dxa"/>
          </w:tcPr>
          <w:p w14:paraId="66192685" w14:textId="7D2ADFC1"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559" w:type="dxa"/>
          </w:tcPr>
          <w:p w14:paraId="6DE796FA" w14:textId="3A0BE56D"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6897ECC7" w14:textId="1189D604"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1963DF" w14:paraId="2893DC5D"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3044BC7C" w14:textId="77777777" w:rsidR="001963DF" w:rsidRPr="00A542CF" w:rsidRDefault="001963DF" w:rsidP="001963DF">
            <w:pPr>
              <w:jc w:val="center"/>
              <w:rPr>
                <w:rFonts w:cs="Times New Roman"/>
                <w:sz w:val="18"/>
                <w:szCs w:val="18"/>
              </w:rPr>
            </w:pPr>
          </w:p>
        </w:tc>
        <w:tc>
          <w:tcPr>
            <w:tcW w:w="1560" w:type="dxa"/>
          </w:tcPr>
          <w:p w14:paraId="57FFA84D" w14:textId="0EF1A691"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&gt;2 mg/L: susceptible, increased exposure.</w:t>
            </w:r>
          </w:p>
        </w:tc>
        <w:tc>
          <w:tcPr>
            <w:tcW w:w="1417" w:type="dxa"/>
          </w:tcPr>
          <w:p w14:paraId="05E88837" w14:textId="0771B2C8"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&gt;2 mg/L: susceptible, increased exposure. </w:t>
            </w:r>
          </w:p>
        </w:tc>
        <w:tc>
          <w:tcPr>
            <w:tcW w:w="1701" w:type="dxa"/>
          </w:tcPr>
          <w:p w14:paraId="44BE4B38" w14:textId="35BB98D6"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Susceptibility inferred from cefoxitin.</w:t>
            </w:r>
          </w:p>
        </w:tc>
        <w:tc>
          <w:tcPr>
            <w:tcW w:w="1559" w:type="dxa"/>
          </w:tcPr>
          <w:p w14:paraId="535887BF" w14:textId="756D629B" w:rsidR="001963DF" w:rsidRPr="00DB3F97" w:rsidRDefault="001963DF"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065C9384" w14:textId="4EFE7D8D" w:rsidR="001963DF" w:rsidRPr="00DB3F97" w:rsidRDefault="008D3FA2" w:rsidP="001963DF">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w:t>
            </w:r>
          </w:p>
        </w:tc>
      </w:tr>
      <w:tr w:rsidR="008D3FA2" w14:paraId="004103C1"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258E9F33" w14:textId="013B5F75" w:rsidR="008D3FA2" w:rsidRPr="00A542CF" w:rsidRDefault="008D3FA2" w:rsidP="008D3FA2">
            <w:pPr>
              <w:jc w:val="center"/>
              <w:rPr>
                <w:rFonts w:cs="Times New Roman"/>
                <w:sz w:val="18"/>
                <w:szCs w:val="18"/>
              </w:rPr>
            </w:pPr>
            <w:r>
              <w:rPr>
                <w:rFonts w:cs="Times New Roman"/>
                <w:sz w:val="18"/>
                <w:szCs w:val="18"/>
              </w:rPr>
              <w:t>Imipenem</w:t>
            </w:r>
            <w:r>
              <w:rPr>
                <w:rFonts w:cs="Times New Roman"/>
                <w:sz w:val="18"/>
                <w:szCs w:val="18"/>
              </w:rPr>
              <w:br/>
              <w:t>(IMI)</w:t>
            </w:r>
          </w:p>
        </w:tc>
        <w:tc>
          <w:tcPr>
            <w:tcW w:w="1560" w:type="dxa"/>
          </w:tcPr>
          <w:p w14:paraId="6B7E2351" w14:textId="1E53647D"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p>
        </w:tc>
        <w:tc>
          <w:tcPr>
            <w:tcW w:w="1417" w:type="dxa"/>
          </w:tcPr>
          <w:p w14:paraId="611DD8AE" w14:textId="3829ECE0"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p>
        </w:tc>
        <w:tc>
          <w:tcPr>
            <w:tcW w:w="1701" w:type="dxa"/>
          </w:tcPr>
          <w:p w14:paraId="510E6799" w14:textId="32FF9F7F"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559" w:type="dxa"/>
          </w:tcPr>
          <w:p w14:paraId="30A93100" w14:textId="3BBA61E6"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65C98D5D" w14:textId="0462C0D5"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&gt;4 mg/L</w:t>
            </w:r>
          </w:p>
        </w:tc>
      </w:tr>
      <w:tr w:rsidR="008D3FA2" w14:paraId="1A2E4102"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5939A3DB" w14:textId="77777777" w:rsidR="008D3FA2" w:rsidRPr="00A542CF" w:rsidRDefault="008D3FA2" w:rsidP="008D3FA2">
            <w:pPr>
              <w:jc w:val="center"/>
              <w:rPr>
                <w:rFonts w:cs="Times New Roman"/>
                <w:sz w:val="18"/>
                <w:szCs w:val="18"/>
              </w:rPr>
            </w:pPr>
          </w:p>
        </w:tc>
        <w:tc>
          <w:tcPr>
            <w:tcW w:w="1560" w:type="dxa"/>
          </w:tcPr>
          <w:p w14:paraId="134FF0DD" w14:textId="119B984A"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&gt;2 mg/L: susceptible, increased exposure. For </w:t>
            </w:r>
            <w:r w:rsidRPr="00DB3F97">
              <w:rPr>
                <w:rFonts w:cs="Times New Roman"/>
                <w:i/>
                <w:iCs/>
                <w:sz w:val="16"/>
                <w:szCs w:val="16"/>
              </w:rPr>
              <w:t>M. morganii</w:t>
            </w:r>
            <w:r w:rsidRPr="00DB3F97">
              <w:rPr>
                <w:rFonts w:cs="Times New Roman"/>
                <w:sz w:val="16"/>
                <w:szCs w:val="16"/>
              </w:rPr>
              <w:t xml:space="preserve">, </w:t>
            </w:r>
            <w:r w:rsidRPr="00DB3F97">
              <w:rPr>
                <w:rFonts w:cs="Times New Roman"/>
                <w:i/>
                <w:iCs/>
                <w:sz w:val="16"/>
                <w:szCs w:val="16"/>
              </w:rPr>
              <w:t>Proteus</w:t>
            </w:r>
            <w:r w:rsidRPr="00DB3F97">
              <w:rPr>
                <w:rFonts w:cs="Times New Roman"/>
                <w:sz w:val="16"/>
                <w:szCs w:val="16"/>
              </w:rPr>
              <w:t xml:space="preserve"> spp. and </w:t>
            </w:r>
            <w:r w:rsidRPr="00DB3F97">
              <w:rPr>
                <w:rFonts w:cs="Times New Roman"/>
                <w:i/>
                <w:iCs/>
                <w:sz w:val="16"/>
                <w:szCs w:val="16"/>
              </w:rPr>
              <w:t>Providencia</w:t>
            </w:r>
            <w:r w:rsidRPr="00DB3F97">
              <w:rPr>
                <w:rFonts w:cs="Times New Roman"/>
                <w:sz w:val="16"/>
                <w:szCs w:val="16"/>
              </w:rPr>
              <w:t xml:space="preserve"> spp., if &gt;0.001 mg/L: susceptible, increased exposure.</w:t>
            </w:r>
          </w:p>
        </w:tc>
        <w:tc>
          <w:tcPr>
            <w:tcW w:w="1417" w:type="dxa"/>
          </w:tcPr>
          <w:p w14:paraId="7CD80A26" w14:textId="018A19D8"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&gt;0.001 mg/L: susceptible, increased exposure. </w:t>
            </w:r>
          </w:p>
        </w:tc>
        <w:tc>
          <w:tcPr>
            <w:tcW w:w="1701" w:type="dxa"/>
          </w:tcPr>
          <w:p w14:paraId="070A5908" w14:textId="13969ED6"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Susceptibility inferred from cefoxitin.</w:t>
            </w:r>
          </w:p>
        </w:tc>
        <w:tc>
          <w:tcPr>
            <w:tcW w:w="1559" w:type="dxa"/>
          </w:tcPr>
          <w:p w14:paraId="330639E2" w14:textId="784A803B"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10E772DD" w14:textId="5B8C65F9"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 xml:space="preserve">If &gt;0.001 mg/L: susceptible, increased exposure. </w:t>
            </w:r>
          </w:p>
        </w:tc>
      </w:tr>
      <w:tr w:rsidR="008D3FA2" w14:paraId="0836C805"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1934204B" w14:textId="724E41BD" w:rsidR="008D3FA2" w:rsidRPr="00A542CF" w:rsidRDefault="008D3FA2" w:rsidP="008D3FA2">
            <w:pPr>
              <w:jc w:val="center"/>
              <w:rPr>
                <w:rFonts w:cs="Times New Roman"/>
                <w:sz w:val="18"/>
                <w:szCs w:val="18"/>
              </w:rPr>
            </w:pPr>
            <w:r>
              <w:rPr>
                <w:rFonts w:cs="Times New Roman"/>
                <w:sz w:val="18"/>
                <w:szCs w:val="18"/>
              </w:rPr>
              <w:t xml:space="preserve">Tigecycline </w:t>
            </w:r>
            <w:r>
              <w:rPr>
                <w:rFonts w:cs="Times New Roman"/>
                <w:sz w:val="18"/>
                <w:szCs w:val="18"/>
              </w:rPr>
              <w:br/>
              <w:t>(TGC)</w:t>
            </w:r>
          </w:p>
        </w:tc>
        <w:tc>
          <w:tcPr>
            <w:tcW w:w="1560" w:type="dxa"/>
          </w:tcPr>
          <w:p w14:paraId="7FC7937E" w14:textId="23B1C8A3"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&gt;0.5 mg/L</w:t>
            </w:r>
          </w:p>
        </w:tc>
        <w:tc>
          <w:tcPr>
            <w:tcW w:w="1417" w:type="dxa"/>
          </w:tcPr>
          <w:p w14:paraId="26723619" w14:textId="66444013"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06921129" w14:textId="555100A7"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&gt;0.5 mg/L</w:t>
            </w:r>
          </w:p>
        </w:tc>
        <w:tc>
          <w:tcPr>
            <w:tcW w:w="1559" w:type="dxa"/>
          </w:tcPr>
          <w:p w14:paraId="2CA90E97" w14:textId="6DB04539"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6CA16F46" w14:textId="79595EFA"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&gt;0.</w:t>
            </w:r>
            <w:r>
              <w:rPr>
                <w:rFonts w:cs="Times New Roman"/>
                <w:sz w:val="16"/>
                <w:szCs w:val="16"/>
              </w:rPr>
              <w:t>25</w:t>
            </w:r>
            <w:r w:rsidRPr="00C33BE8">
              <w:rPr>
                <w:rFonts w:cs="Times New Roman"/>
                <w:sz w:val="16"/>
                <w:szCs w:val="16"/>
              </w:rPr>
              <w:t xml:space="preserve"> mg/L</w:t>
            </w:r>
          </w:p>
        </w:tc>
      </w:tr>
      <w:tr w:rsidR="008D3FA2" w14:paraId="7BC97A68"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38A41766" w14:textId="77777777" w:rsidR="008D3FA2" w:rsidRPr="00A542CF" w:rsidRDefault="008D3FA2" w:rsidP="008D3FA2">
            <w:pPr>
              <w:jc w:val="center"/>
              <w:rPr>
                <w:rFonts w:cs="Times New Roman"/>
                <w:sz w:val="18"/>
                <w:szCs w:val="18"/>
              </w:rPr>
            </w:pPr>
          </w:p>
        </w:tc>
        <w:tc>
          <w:tcPr>
            <w:tcW w:w="1560" w:type="dxa"/>
          </w:tcPr>
          <w:p w14:paraId="0A2264A6" w14:textId="7DC3B126"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not resistant: susceptible. For BMD, MH media must be prepared fresh on day of use. TGC activity insufficient against </w:t>
            </w:r>
            <w:r w:rsidRPr="00DB3F97">
              <w:rPr>
                <w:rFonts w:cs="Times New Roman"/>
                <w:i/>
                <w:iCs/>
                <w:sz w:val="16"/>
                <w:szCs w:val="16"/>
              </w:rPr>
              <w:t>M. morganii</w:t>
            </w:r>
            <w:r w:rsidRPr="00DB3F97">
              <w:rPr>
                <w:rFonts w:cs="Times New Roman"/>
                <w:sz w:val="16"/>
                <w:szCs w:val="16"/>
              </w:rPr>
              <w:t xml:space="preserve">, </w:t>
            </w:r>
            <w:r w:rsidRPr="00DB3F97">
              <w:rPr>
                <w:rFonts w:cs="Times New Roman"/>
                <w:i/>
                <w:iCs/>
                <w:sz w:val="16"/>
                <w:szCs w:val="16"/>
              </w:rPr>
              <w:t>Proteus</w:t>
            </w:r>
            <w:r w:rsidRPr="00DB3F97">
              <w:rPr>
                <w:rFonts w:cs="Times New Roman"/>
                <w:sz w:val="16"/>
                <w:szCs w:val="16"/>
              </w:rPr>
              <w:t xml:space="preserve"> spp. and </w:t>
            </w:r>
            <w:r w:rsidRPr="00DB3F97">
              <w:rPr>
                <w:rFonts w:cs="Times New Roman"/>
                <w:i/>
                <w:iCs/>
                <w:sz w:val="16"/>
                <w:szCs w:val="16"/>
              </w:rPr>
              <w:t>Providencia</w:t>
            </w:r>
            <w:r w:rsidRPr="00DB3F97">
              <w:rPr>
                <w:rFonts w:cs="Times New Roman"/>
                <w:sz w:val="16"/>
                <w:szCs w:val="16"/>
              </w:rPr>
              <w:t xml:space="preserve"> spp.</w:t>
            </w:r>
          </w:p>
        </w:tc>
        <w:tc>
          <w:tcPr>
            <w:tcW w:w="1417" w:type="dxa"/>
          </w:tcPr>
          <w:p w14:paraId="647BD772" w14:textId="635B0C84"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7E051185" w14:textId="2CF78B52"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If not resistant: susceptible. For BMD, MH media must be prepared fresh on day of use. Resistant isolates are rare or not yet reported.</w:t>
            </w:r>
          </w:p>
        </w:tc>
        <w:tc>
          <w:tcPr>
            <w:tcW w:w="1559" w:type="dxa"/>
          </w:tcPr>
          <w:p w14:paraId="237E04BE" w14:textId="1E5C96E4"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3488B661" w14:textId="2075AFA7"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If not resistant: susceptible. For BMD, MH media must be prepared fresh on day of use. Resistant isolates are rare or not yet reported.</w:t>
            </w:r>
          </w:p>
        </w:tc>
      </w:tr>
      <w:tr w:rsidR="008D3FA2" w14:paraId="1D08CC2D"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6E387D10" w14:textId="2A154D27" w:rsidR="008D3FA2" w:rsidRPr="00A542CF" w:rsidRDefault="008D3FA2" w:rsidP="008D3FA2">
            <w:pPr>
              <w:jc w:val="center"/>
              <w:rPr>
                <w:rFonts w:cs="Times New Roman"/>
                <w:sz w:val="18"/>
                <w:szCs w:val="18"/>
              </w:rPr>
            </w:pPr>
            <w:r>
              <w:rPr>
                <w:rFonts w:cs="Times New Roman"/>
                <w:sz w:val="18"/>
                <w:szCs w:val="18"/>
              </w:rPr>
              <w:t xml:space="preserve">Ciprofloxacin </w:t>
            </w:r>
            <w:r>
              <w:rPr>
                <w:rFonts w:cs="Times New Roman"/>
                <w:sz w:val="18"/>
                <w:szCs w:val="18"/>
              </w:rPr>
              <w:br/>
              <w:t>(CIP)</w:t>
            </w:r>
          </w:p>
        </w:tc>
        <w:tc>
          <w:tcPr>
            <w:tcW w:w="1560" w:type="dxa"/>
          </w:tcPr>
          <w:p w14:paraId="0822C487" w14:textId="716F4CD0"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&gt;0.5 mg/L</w:t>
            </w:r>
          </w:p>
        </w:tc>
        <w:tc>
          <w:tcPr>
            <w:tcW w:w="1417" w:type="dxa"/>
          </w:tcPr>
          <w:p w14:paraId="38DA304E" w14:textId="1822BBD8"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&gt;0.5 mg/L</w:t>
            </w:r>
          </w:p>
        </w:tc>
        <w:tc>
          <w:tcPr>
            <w:tcW w:w="1701" w:type="dxa"/>
          </w:tcPr>
          <w:p w14:paraId="257C0232" w14:textId="2335672A"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&gt;1 mg/L</w:t>
            </w:r>
          </w:p>
        </w:tc>
        <w:tc>
          <w:tcPr>
            <w:tcW w:w="1559" w:type="dxa"/>
          </w:tcPr>
          <w:p w14:paraId="216CF42F" w14:textId="56FCE553"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&gt;1 mg/L</w:t>
            </w:r>
          </w:p>
        </w:tc>
        <w:tc>
          <w:tcPr>
            <w:tcW w:w="1424" w:type="dxa"/>
          </w:tcPr>
          <w:p w14:paraId="6BE07581" w14:textId="05B0A8C0"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&gt;</w:t>
            </w:r>
            <w:r>
              <w:rPr>
                <w:rFonts w:cs="Times New Roman"/>
                <w:sz w:val="16"/>
                <w:szCs w:val="16"/>
              </w:rPr>
              <w:t>4</w:t>
            </w:r>
            <w:r w:rsidRPr="00C33BE8">
              <w:rPr>
                <w:rFonts w:cs="Times New Roman"/>
                <w:sz w:val="16"/>
                <w:szCs w:val="16"/>
              </w:rPr>
              <w:t xml:space="preserve"> mg/L</w:t>
            </w:r>
          </w:p>
        </w:tc>
      </w:tr>
      <w:tr w:rsidR="008D3FA2" w14:paraId="0B7A40D9"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758DACFE" w14:textId="77777777" w:rsidR="008D3FA2" w:rsidRPr="00A542CF" w:rsidRDefault="008D3FA2" w:rsidP="008D3FA2">
            <w:pPr>
              <w:jc w:val="center"/>
              <w:rPr>
                <w:rFonts w:cs="Times New Roman"/>
                <w:sz w:val="18"/>
                <w:szCs w:val="18"/>
              </w:rPr>
            </w:pPr>
          </w:p>
        </w:tc>
        <w:tc>
          <w:tcPr>
            <w:tcW w:w="1560" w:type="dxa"/>
          </w:tcPr>
          <w:p w14:paraId="57327386" w14:textId="5AE68967"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&gt;0.25 mg/L: susceptible, increased exposure. </w:t>
            </w:r>
          </w:p>
        </w:tc>
        <w:tc>
          <w:tcPr>
            <w:tcW w:w="1417" w:type="dxa"/>
          </w:tcPr>
          <w:p w14:paraId="4586C135" w14:textId="688D7C52"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&gt;0.001 mg/L: susceptible, increased exposure. </w:t>
            </w:r>
          </w:p>
        </w:tc>
        <w:tc>
          <w:tcPr>
            <w:tcW w:w="1701" w:type="dxa"/>
          </w:tcPr>
          <w:p w14:paraId="5DAEECD0" w14:textId="36FAE9D4"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&gt;0.001 mg/L: susceptible, increased exposure. </w:t>
            </w:r>
          </w:p>
        </w:tc>
        <w:tc>
          <w:tcPr>
            <w:tcW w:w="1559" w:type="dxa"/>
          </w:tcPr>
          <w:p w14:paraId="1ABFCA3F" w14:textId="3EF68734"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&gt;0.001 mg/L: susceptible, increased exposure. </w:t>
            </w:r>
          </w:p>
        </w:tc>
        <w:tc>
          <w:tcPr>
            <w:tcW w:w="1424" w:type="dxa"/>
          </w:tcPr>
          <w:p w14:paraId="4ABE8ED4" w14:textId="0F1B3504"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D3FA2">
              <w:rPr>
                <w:rFonts w:cs="Times New Roman"/>
                <w:sz w:val="16"/>
                <w:szCs w:val="16"/>
              </w:rPr>
              <w:t>If not resistant: susceptible</w:t>
            </w:r>
            <w:r>
              <w:rPr>
                <w:rFonts w:cs="Times New Roman"/>
                <w:sz w:val="16"/>
                <w:szCs w:val="16"/>
              </w:rPr>
              <w:t>.</w:t>
            </w:r>
          </w:p>
        </w:tc>
      </w:tr>
      <w:tr w:rsidR="008D3FA2" w14:paraId="1A08C7C2"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5555349A" w14:textId="0BB3311C" w:rsidR="008D3FA2" w:rsidRPr="00A542CF" w:rsidRDefault="008D3FA2" w:rsidP="008D3FA2">
            <w:pPr>
              <w:jc w:val="center"/>
              <w:rPr>
                <w:rFonts w:cs="Times New Roman"/>
                <w:sz w:val="18"/>
                <w:szCs w:val="18"/>
              </w:rPr>
            </w:pPr>
            <w:r>
              <w:rPr>
                <w:rFonts w:cs="Times New Roman"/>
                <w:sz w:val="18"/>
                <w:szCs w:val="18"/>
              </w:rPr>
              <w:t>Aztreonam</w:t>
            </w:r>
            <w:r>
              <w:rPr>
                <w:rFonts w:cs="Times New Roman"/>
                <w:sz w:val="18"/>
                <w:szCs w:val="18"/>
              </w:rPr>
              <w:br/>
              <w:t>(ATM)</w:t>
            </w:r>
          </w:p>
        </w:tc>
        <w:tc>
          <w:tcPr>
            <w:tcW w:w="1560" w:type="dxa"/>
          </w:tcPr>
          <w:p w14:paraId="40CFCAAB" w14:textId="05143265"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p>
        </w:tc>
        <w:tc>
          <w:tcPr>
            <w:tcW w:w="1417" w:type="dxa"/>
          </w:tcPr>
          <w:p w14:paraId="7E9EC9F9" w14:textId="7E67C47E"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&gt;16 mg/L</w:t>
            </w:r>
          </w:p>
        </w:tc>
        <w:tc>
          <w:tcPr>
            <w:tcW w:w="1701" w:type="dxa"/>
          </w:tcPr>
          <w:p w14:paraId="2CB75D14" w14:textId="30CBCD39"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559" w:type="dxa"/>
          </w:tcPr>
          <w:p w14:paraId="117A996B" w14:textId="0161957D"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275C467C" w14:textId="4A5FC561"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8D3FA2" w14:paraId="560FDCC9"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5DE4269B" w14:textId="77777777" w:rsidR="008D3FA2" w:rsidRPr="00A542CF" w:rsidRDefault="008D3FA2" w:rsidP="008D3FA2">
            <w:pPr>
              <w:jc w:val="center"/>
              <w:rPr>
                <w:rFonts w:cs="Times New Roman"/>
                <w:sz w:val="18"/>
                <w:szCs w:val="18"/>
              </w:rPr>
            </w:pPr>
          </w:p>
        </w:tc>
        <w:tc>
          <w:tcPr>
            <w:tcW w:w="1560" w:type="dxa"/>
          </w:tcPr>
          <w:p w14:paraId="14A9ECF1" w14:textId="00E69617"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&gt;1 mg/L: susceptible, increased exposure.</w:t>
            </w:r>
          </w:p>
        </w:tc>
        <w:tc>
          <w:tcPr>
            <w:tcW w:w="1417" w:type="dxa"/>
          </w:tcPr>
          <w:p w14:paraId="55F38ADA" w14:textId="02503965"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&gt;0.001 mg/L: susceptible, increased exposure. </w:t>
            </w:r>
          </w:p>
        </w:tc>
        <w:tc>
          <w:tcPr>
            <w:tcW w:w="1701" w:type="dxa"/>
          </w:tcPr>
          <w:p w14:paraId="7B22BAF6" w14:textId="158CCA98"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559" w:type="dxa"/>
          </w:tcPr>
          <w:p w14:paraId="7E6B738A" w14:textId="17B07D28"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7B3C5EDA" w14:textId="5723F43A"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w:t>
            </w:r>
          </w:p>
        </w:tc>
      </w:tr>
      <w:tr w:rsidR="008D3FA2" w14:paraId="261A721B"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2BDCEC4D" w14:textId="55FDAA89" w:rsidR="008D3FA2" w:rsidRPr="00A542CF" w:rsidRDefault="008D3FA2" w:rsidP="008D3FA2">
            <w:pPr>
              <w:jc w:val="center"/>
              <w:rPr>
                <w:rFonts w:cs="Times New Roman"/>
                <w:sz w:val="18"/>
                <w:szCs w:val="18"/>
              </w:rPr>
            </w:pPr>
            <w:r>
              <w:rPr>
                <w:rFonts w:cs="Times New Roman"/>
                <w:sz w:val="18"/>
                <w:szCs w:val="18"/>
              </w:rPr>
              <w:t>Ceftazidime</w:t>
            </w:r>
            <w:r>
              <w:rPr>
                <w:rFonts w:cs="Times New Roman"/>
                <w:sz w:val="18"/>
                <w:szCs w:val="18"/>
              </w:rPr>
              <w:br/>
              <w:t>(CAZ)</w:t>
            </w:r>
          </w:p>
        </w:tc>
        <w:tc>
          <w:tcPr>
            <w:tcW w:w="1560" w:type="dxa"/>
          </w:tcPr>
          <w:p w14:paraId="556208F5" w14:textId="14B802A0"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p>
        </w:tc>
        <w:tc>
          <w:tcPr>
            <w:tcW w:w="1417" w:type="dxa"/>
          </w:tcPr>
          <w:p w14:paraId="2CFE87AE" w14:textId="4355F031"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&gt;8 mg/L</w:t>
            </w:r>
          </w:p>
        </w:tc>
        <w:tc>
          <w:tcPr>
            <w:tcW w:w="1701" w:type="dxa"/>
          </w:tcPr>
          <w:p w14:paraId="3BA7EE89" w14:textId="418A30C1"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559" w:type="dxa"/>
          </w:tcPr>
          <w:p w14:paraId="3476CCD2" w14:textId="1DCDAEBA"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4C9C5FF7" w14:textId="563C065E"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8D3FA2" w14:paraId="6BD99788"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5F983472" w14:textId="77777777" w:rsidR="008D3FA2" w:rsidRPr="00A542CF" w:rsidRDefault="008D3FA2" w:rsidP="008D3FA2">
            <w:pPr>
              <w:jc w:val="center"/>
              <w:rPr>
                <w:rFonts w:cs="Times New Roman"/>
                <w:sz w:val="18"/>
                <w:szCs w:val="18"/>
              </w:rPr>
            </w:pPr>
          </w:p>
        </w:tc>
        <w:tc>
          <w:tcPr>
            <w:tcW w:w="1560" w:type="dxa"/>
          </w:tcPr>
          <w:p w14:paraId="6D20F3EB" w14:textId="043A6412"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&gt;1 mg/L: susceptible, increased exposure.</w:t>
            </w:r>
          </w:p>
        </w:tc>
        <w:tc>
          <w:tcPr>
            <w:tcW w:w="1417" w:type="dxa"/>
          </w:tcPr>
          <w:p w14:paraId="243A7DE7" w14:textId="54A7ED1B"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&gt;0.001 mg/L: susceptible, increased exposure. </w:t>
            </w:r>
          </w:p>
        </w:tc>
        <w:tc>
          <w:tcPr>
            <w:tcW w:w="1701" w:type="dxa"/>
          </w:tcPr>
          <w:p w14:paraId="72FCC063" w14:textId="6D7D36B3"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559" w:type="dxa"/>
          </w:tcPr>
          <w:p w14:paraId="656D7C04" w14:textId="76B4E31E"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343B8E94" w14:textId="57CD2D46"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w:t>
            </w:r>
          </w:p>
        </w:tc>
      </w:tr>
      <w:tr w:rsidR="008D3FA2" w14:paraId="1C4979AA"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4FDE1C9E" w14:textId="0A820390" w:rsidR="008D3FA2" w:rsidRPr="00A542CF" w:rsidRDefault="008D3FA2" w:rsidP="008D3FA2">
            <w:pPr>
              <w:jc w:val="center"/>
              <w:rPr>
                <w:rFonts w:cs="Times New Roman"/>
                <w:sz w:val="18"/>
                <w:szCs w:val="18"/>
              </w:rPr>
            </w:pPr>
            <w:r>
              <w:rPr>
                <w:rFonts w:cs="Times New Roman"/>
                <w:sz w:val="18"/>
                <w:szCs w:val="18"/>
              </w:rPr>
              <w:t xml:space="preserve">Vancomycin </w:t>
            </w:r>
            <w:r>
              <w:rPr>
                <w:rFonts w:cs="Times New Roman"/>
                <w:sz w:val="18"/>
                <w:szCs w:val="18"/>
              </w:rPr>
              <w:br/>
              <w:t>(VAN)</w:t>
            </w:r>
          </w:p>
        </w:tc>
        <w:tc>
          <w:tcPr>
            <w:tcW w:w="1560" w:type="dxa"/>
          </w:tcPr>
          <w:p w14:paraId="16FCA647" w14:textId="28B5DC39"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17" w:type="dxa"/>
          </w:tcPr>
          <w:p w14:paraId="7583B334" w14:textId="44198B5D"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587EC1AF" w14:textId="098E399F"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r w:rsidRPr="00DB3F97">
              <w:rPr>
                <w:rFonts w:cs="Times New Roman"/>
                <w:sz w:val="16"/>
                <w:szCs w:val="16"/>
              </w:rPr>
              <w:br/>
              <w:t>(&gt;2 mg/L)</w:t>
            </w:r>
          </w:p>
        </w:tc>
        <w:tc>
          <w:tcPr>
            <w:tcW w:w="1559" w:type="dxa"/>
          </w:tcPr>
          <w:p w14:paraId="11D930B7" w14:textId="09CC6C80"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&gt;2 mg/L</w:t>
            </w:r>
          </w:p>
        </w:tc>
        <w:tc>
          <w:tcPr>
            <w:tcW w:w="1424" w:type="dxa"/>
          </w:tcPr>
          <w:p w14:paraId="542EA3A9" w14:textId="0234748F"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&gt;</w:t>
            </w:r>
            <w:r>
              <w:rPr>
                <w:rFonts w:cs="Times New Roman"/>
                <w:sz w:val="16"/>
                <w:szCs w:val="16"/>
              </w:rPr>
              <w:t>4</w:t>
            </w:r>
            <w:r w:rsidRPr="00C33BE8">
              <w:rPr>
                <w:rFonts w:cs="Times New Roman"/>
                <w:sz w:val="16"/>
                <w:szCs w:val="16"/>
              </w:rPr>
              <w:t xml:space="preserve"> mg/L</w:t>
            </w:r>
          </w:p>
        </w:tc>
      </w:tr>
      <w:tr w:rsidR="008D3FA2" w14:paraId="67671A55"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49CD3E7B" w14:textId="77777777" w:rsidR="008D3FA2" w:rsidRPr="00A542CF" w:rsidRDefault="008D3FA2" w:rsidP="008D3FA2">
            <w:pPr>
              <w:jc w:val="center"/>
              <w:rPr>
                <w:rFonts w:cs="Times New Roman"/>
                <w:sz w:val="18"/>
                <w:szCs w:val="18"/>
              </w:rPr>
            </w:pPr>
          </w:p>
        </w:tc>
        <w:tc>
          <w:tcPr>
            <w:tcW w:w="1560" w:type="dxa"/>
          </w:tcPr>
          <w:p w14:paraId="61E2D8B6" w14:textId="63CE4ADA"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17" w:type="dxa"/>
          </w:tcPr>
          <w:p w14:paraId="56A0AAC3" w14:textId="23044EEC"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6CC3E336" w14:textId="4DD4203A"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not resistant: susceptible. Resistance rare or not yet reported. If </w:t>
            </w:r>
            <w:r w:rsidRPr="00DB3F97">
              <w:rPr>
                <w:rFonts w:cs="Times New Roman"/>
                <w:i/>
                <w:iCs/>
                <w:sz w:val="16"/>
                <w:szCs w:val="16"/>
              </w:rPr>
              <w:t>S. aureus</w:t>
            </w:r>
            <w:r w:rsidRPr="00DB3F97">
              <w:rPr>
                <w:rFonts w:cs="Times New Roman"/>
                <w:sz w:val="16"/>
                <w:szCs w:val="16"/>
              </w:rPr>
              <w:t>: resistance at &gt;2 mg/L, if at exactly 2 mg/L: potential impaired clinical response.</w:t>
            </w:r>
          </w:p>
        </w:tc>
        <w:tc>
          <w:tcPr>
            <w:tcW w:w="1559" w:type="dxa"/>
          </w:tcPr>
          <w:p w14:paraId="31F08FCB" w14:textId="3F68C573"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424" w:type="dxa"/>
          </w:tcPr>
          <w:p w14:paraId="74C93E47" w14:textId="7963739C" w:rsidR="008D3FA2" w:rsidRPr="00DB3F97" w:rsidRDefault="008D3FA2" w:rsidP="008D3FA2">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D3FA2">
              <w:rPr>
                <w:rFonts w:cs="Times New Roman"/>
                <w:sz w:val="16"/>
                <w:szCs w:val="16"/>
              </w:rPr>
              <w:t>If not resistant: susceptible</w:t>
            </w:r>
            <w:r>
              <w:rPr>
                <w:rFonts w:cs="Times New Roman"/>
                <w:sz w:val="16"/>
                <w:szCs w:val="16"/>
              </w:rPr>
              <w:t>. Recommended to test with disk diffusion</w:t>
            </w:r>
            <w:r w:rsidR="00521C30">
              <w:rPr>
                <w:rFonts w:cs="Times New Roman"/>
                <w:sz w:val="16"/>
                <w:szCs w:val="16"/>
              </w:rPr>
              <w:t xml:space="preserve"> (&lt;12 mm = resistant)</w:t>
            </w:r>
            <w:r>
              <w:rPr>
                <w:rFonts w:cs="Times New Roman"/>
                <w:sz w:val="16"/>
                <w:szCs w:val="16"/>
              </w:rPr>
              <w:t xml:space="preserve">. </w:t>
            </w:r>
            <w:r w:rsidR="00521C30">
              <w:rPr>
                <w:rFonts w:cs="Times New Roman"/>
                <w:sz w:val="16"/>
                <w:szCs w:val="16"/>
              </w:rPr>
              <w:t>Examine in transmitted light, fuzzy edges are resistant even if diameter is &gt;12 mm. Disk diffusion must be run at least 24 hours.</w:t>
            </w:r>
          </w:p>
        </w:tc>
      </w:tr>
      <w:tr w:rsidR="00521C30" w14:paraId="7AF8136C"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133165D1" w14:textId="57FAD728" w:rsidR="00521C30" w:rsidRPr="00A542CF" w:rsidRDefault="00521C30" w:rsidP="00521C30">
            <w:pPr>
              <w:jc w:val="center"/>
              <w:rPr>
                <w:rFonts w:cs="Times New Roman"/>
                <w:sz w:val="18"/>
                <w:szCs w:val="18"/>
              </w:rPr>
            </w:pPr>
            <w:r>
              <w:rPr>
                <w:rFonts w:cs="Times New Roman"/>
                <w:sz w:val="18"/>
                <w:szCs w:val="18"/>
              </w:rPr>
              <w:t>Clindamycin</w:t>
            </w:r>
            <w:r>
              <w:rPr>
                <w:rFonts w:cs="Times New Roman"/>
                <w:sz w:val="18"/>
                <w:szCs w:val="18"/>
              </w:rPr>
              <w:br/>
              <w:t>(CLI)</w:t>
            </w:r>
          </w:p>
        </w:tc>
        <w:tc>
          <w:tcPr>
            <w:tcW w:w="1560" w:type="dxa"/>
          </w:tcPr>
          <w:p w14:paraId="691BB726" w14:textId="1BD5B71C"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17" w:type="dxa"/>
          </w:tcPr>
          <w:p w14:paraId="674E1DCB" w14:textId="775468EE"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3AD9F1A7" w14:textId="7C114D54"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&gt;0.25 mg/L</w:t>
            </w:r>
          </w:p>
        </w:tc>
        <w:tc>
          <w:tcPr>
            <w:tcW w:w="1559" w:type="dxa"/>
          </w:tcPr>
          <w:p w14:paraId="561865A3" w14:textId="09499BE7"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&gt;0.5 mg/L</w:t>
            </w:r>
          </w:p>
        </w:tc>
        <w:tc>
          <w:tcPr>
            <w:tcW w:w="1424" w:type="dxa"/>
          </w:tcPr>
          <w:p w14:paraId="0100137B" w14:textId="58AD805B"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521C30" w14:paraId="21EAA1BC"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1A0E09DA" w14:textId="77777777" w:rsidR="00521C30" w:rsidRPr="00A542CF" w:rsidRDefault="00521C30" w:rsidP="00521C30">
            <w:pPr>
              <w:jc w:val="center"/>
              <w:rPr>
                <w:rFonts w:cs="Times New Roman"/>
                <w:sz w:val="18"/>
                <w:szCs w:val="18"/>
              </w:rPr>
            </w:pPr>
          </w:p>
        </w:tc>
        <w:tc>
          <w:tcPr>
            <w:tcW w:w="1560" w:type="dxa"/>
          </w:tcPr>
          <w:p w14:paraId="279CB9B4" w14:textId="1DEF54D3"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17" w:type="dxa"/>
          </w:tcPr>
          <w:p w14:paraId="428CE922" w14:textId="7C4A7150"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32D8A6C7" w14:textId="6789DBFA"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559" w:type="dxa"/>
          </w:tcPr>
          <w:p w14:paraId="3C82E993" w14:textId="6648E9D3"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424" w:type="dxa"/>
          </w:tcPr>
          <w:p w14:paraId="0547789C" w14:textId="132207B1"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w:t>
            </w:r>
          </w:p>
        </w:tc>
      </w:tr>
      <w:tr w:rsidR="00521C30" w14:paraId="3DE633EC"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3B2DB3D0" w14:textId="66CC4F0A" w:rsidR="00521C30" w:rsidRPr="00A542CF" w:rsidRDefault="00521C30" w:rsidP="00521C30">
            <w:pPr>
              <w:jc w:val="center"/>
              <w:rPr>
                <w:rFonts w:cs="Times New Roman"/>
                <w:sz w:val="18"/>
                <w:szCs w:val="18"/>
              </w:rPr>
            </w:pPr>
            <w:r>
              <w:rPr>
                <w:rFonts w:cs="Times New Roman"/>
                <w:sz w:val="18"/>
                <w:szCs w:val="18"/>
              </w:rPr>
              <w:t>Linezolid</w:t>
            </w:r>
            <w:r>
              <w:rPr>
                <w:rFonts w:cs="Times New Roman"/>
                <w:sz w:val="18"/>
                <w:szCs w:val="18"/>
              </w:rPr>
              <w:br/>
              <w:t>(LZD)</w:t>
            </w:r>
          </w:p>
        </w:tc>
        <w:tc>
          <w:tcPr>
            <w:tcW w:w="1560" w:type="dxa"/>
          </w:tcPr>
          <w:p w14:paraId="635818C3" w14:textId="3DB3AEAB"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17" w:type="dxa"/>
          </w:tcPr>
          <w:p w14:paraId="45BAE7C0" w14:textId="4EE9F7D5"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2E5994B5" w14:textId="2FC46661"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&gt;4 mg/L</w:t>
            </w:r>
          </w:p>
        </w:tc>
        <w:tc>
          <w:tcPr>
            <w:tcW w:w="1559" w:type="dxa"/>
          </w:tcPr>
          <w:p w14:paraId="3DAAA312" w14:textId="1C6B7081"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&gt;2 mg/L</w:t>
            </w:r>
          </w:p>
        </w:tc>
        <w:tc>
          <w:tcPr>
            <w:tcW w:w="1424" w:type="dxa"/>
          </w:tcPr>
          <w:p w14:paraId="563EAFAC" w14:textId="186AC1B2"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&gt;</w:t>
            </w:r>
            <w:r>
              <w:rPr>
                <w:rFonts w:cs="Times New Roman"/>
                <w:sz w:val="16"/>
                <w:szCs w:val="16"/>
              </w:rPr>
              <w:t>4</w:t>
            </w:r>
            <w:r w:rsidRPr="00C33BE8">
              <w:rPr>
                <w:rFonts w:cs="Times New Roman"/>
                <w:sz w:val="16"/>
                <w:szCs w:val="16"/>
              </w:rPr>
              <w:t xml:space="preserve"> mg/L</w:t>
            </w:r>
          </w:p>
        </w:tc>
      </w:tr>
      <w:tr w:rsidR="00521C30" w14:paraId="44A667AD"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4362C7CA" w14:textId="77777777" w:rsidR="00521C30" w:rsidRPr="00A542CF" w:rsidRDefault="00521C30" w:rsidP="00521C30">
            <w:pPr>
              <w:jc w:val="center"/>
              <w:rPr>
                <w:rFonts w:cs="Times New Roman"/>
                <w:sz w:val="18"/>
                <w:szCs w:val="18"/>
              </w:rPr>
            </w:pPr>
          </w:p>
        </w:tc>
        <w:tc>
          <w:tcPr>
            <w:tcW w:w="1560" w:type="dxa"/>
          </w:tcPr>
          <w:p w14:paraId="3F976F2B" w14:textId="1A85B836"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17" w:type="dxa"/>
          </w:tcPr>
          <w:p w14:paraId="2F9095D8" w14:textId="00D58445"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58D15569" w14:textId="1C98538F"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559" w:type="dxa"/>
          </w:tcPr>
          <w:p w14:paraId="71C68418" w14:textId="60C7CD8B"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424" w:type="dxa"/>
          </w:tcPr>
          <w:p w14:paraId="67C67C96" w14:textId="5FF7C1F7"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D3FA2">
              <w:rPr>
                <w:rFonts w:cs="Times New Roman"/>
                <w:sz w:val="16"/>
                <w:szCs w:val="16"/>
              </w:rPr>
              <w:t>If not resistant: susceptible</w:t>
            </w:r>
            <w:r>
              <w:rPr>
                <w:rFonts w:cs="Times New Roman"/>
                <w:sz w:val="16"/>
                <w:szCs w:val="16"/>
              </w:rPr>
              <w:t>.</w:t>
            </w:r>
          </w:p>
        </w:tc>
      </w:tr>
      <w:tr w:rsidR="00521C30" w14:paraId="48D0E8D8"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5D812D11" w14:textId="3F369D8A" w:rsidR="00521C30" w:rsidRPr="00A542CF" w:rsidRDefault="00521C30" w:rsidP="00521C30">
            <w:pPr>
              <w:jc w:val="center"/>
              <w:rPr>
                <w:rFonts w:cs="Times New Roman"/>
                <w:sz w:val="18"/>
                <w:szCs w:val="18"/>
              </w:rPr>
            </w:pPr>
            <w:r>
              <w:rPr>
                <w:rFonts w:cs="Times New Roman"/>
                <w:sz w:val="18"/>
                <w:szCs w:val="18"/>
              </w:rPr>
              <w:t xml:space="preserve">Penicillin G /benzylpenicillin </w:t>
            </w:r>
            <w:r>
              <w:rPr>
                <w:rFonts w:cs="Times New Roman"/>
                <w:sz w:val="18"/>
                <w:szCs w:val="18"/>
              </w:rPr>
              <w:br/>
              <w:t>(BENPEN)</w:t>
            </w:r>
          </w:p>
        </w:tc>
        <w:tc>
          <w:tcPr>
            <w:tcW w:w="1560" w:type="dxa"/>
          </w:tcPr>
          <w:p w14:paraId="3FAADF89" w14:textId="4A82CEDE"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17" w:type="dxa"/>
          </w:tcPr>
          <w:p w14:paraId="194E5600" w14:textId="1A3FEF09"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6D45FF8F" w14:textId="37E3383E"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&gt;0.125 mg/L</w:t>
            </w:r>
          </w:p>
        </w:tc>
        <w:tc>
          <w:tcPr>
            <w:tcW w:w="1559" w:type="dxa"/>
          </w:tcPr>
          <w:p w14:paraId="316A0EAE" w14:textId="5407F9F3"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&gt;0.125 mg/L</w:t>
            </w:r>
          </w:p>
        </w:tc>
        <w:tc>
          <w:tcPr>
            <w:tcW w:w="1424" w:type="dxa"/>
          </w:tcPr>
          <w:p w14:paraId="4CC1FB42" w14:textId="17C7AA4A"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521C30" w14:paraId="23694CA1"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11818674" w14:textId="77777777" w:rsidR="00521C30" w:rsidRPr="00A542CF" w:rsidRDefault="00521C30" w:rsidP="00521C30">
            <w:pPr>
              <w:jc w:val="center"/>
              <w:rPr>
                <w:rFonts w:cs="Times New Roman"/>
                <w:sz w:val="18"/>
                <w:szCs w:val="18"/>
              </w:rPr>
            </w:pPr>
          </w:p>
        </w:tc>
        <w:tc>
          <w:tcPr>
            <w:tcW w:w="1560" w:type="dxa"/>
          </w:tcPr>
          <w:p w14:paraId="310FDDC4" w14:textId="1B686B31"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17" w:type="dxa"/>
          </w:tcPr>
          <w:p w14:paraId="48BB88EF" w14:textId="21C1E6F1"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5D8125C5" w14:textId="424085B7"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not resistant: susceptible. Isolates that test resistant to penicillin G in </w:t>
            </w:r>
            <w:r w:rsidRPr="00DB3F97">
              <w:rPr>
                <w:rFonts w:cs="Times New Roman"/>
                <w:i/>
                <w:iCs/>
                <w:sz w:val="16"/>
                <w:szCs w:val="16"/>
              </w:rPr>
              <w:t>S. aureus</w:t>
            </w:r>
            <w:r w:rsidRPr="00DB3F97">
              <w:rPr>
                <w:rFonts w:cs="Times New Roman"/>
                <w:sz w:val="16"/>
                <w:szCs w:val="16"/>
              </w:rPr>
              <w:t xml:space="preserve"> and </w:t>
            </w:r>
            <w:r w:rsidRPr="00DB3F97">
              <w:rPr>
                <w:rFonts w:cs="Times New Roman"/>
                <w:i/>
                <w:iCs/>
                <w:sz w:val="16"/>
                <w:szCs w:val="16"/>
              </w:rPr>
              <w:t xml:space="preserve">S. </w:t>
            </w:r>
            <w:proofErr w:type="spellStart"/>
            <w:r w:rsidRPr="00DB3F97">
              <w:rPr>
                <w:rFonts w:cs="Times New Roman"/>
                <w:i/>
                <w:iCs/>
                <w:sz w:val="16"/>
                <w:szCs w:val="16"/>
              </w:rPr>
              <w:t>lugdunensis</w:t>
            </w:r>
            <w:proofErr w:type="spellEnd"/>
            <w:r w:rsidRPr="00DB3F97">
              <w:rPr>
                <w:rFonts w:cs="Times New Roman"/>
                <w:sz w:val="16"/>
                <w:szCs w:val="16"/>
              </w:rPr>
              <w:t xml:space="preserve"> are penicillinase producers and resistant to all </w:t>
            </w:r>
            <w:proofErr w:type="spellStart"/>
            <w:r w:rsidRPr="00DB3F97">
              <w:rPr>
                <w:rFonts w:cs="Times New Roman"/>
                <w:sz w:val="16"/>
                <w:szCs w:val="16"/>
              </w:rPr>
              <w:t>penicillins</w:t>
            </w:r>
            <w:proofErr w:type="spellEnd"/>
            <w:r w:rsidRPr="00DB3F97">
              <w:rPr>
                <w:rFonts w:cs="Times New Roman"/>
                <w:sz w:val="16"/>
                <w:szCs w:val="16"/>
              </w:rPr>
              <w:t>. No reliable detection of penicillinases in other staphylococci currently exist.</w:t>
            </w:r>
          </w:p>
        </w:tc>
        <w:tc>
          <w:tcPr>
            <w:tcW w:w="1559" w:type="dxa"/>
          </w:tcPr>
          <w:p w14:paraId="3E92D474" w14:textId="3A6B71E1"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If not resistant: susceptible.</w:t>
            </w:r>
          </w:p>
        </w:tc>
        <w:tc>
          <w:tcPr>
            <w:tcW w:w="1424" w:type="dxa"/>
          </w:tcPr>
          <w:p w14:paraId="21ED3079" w14:textId="61DC88AF"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w:t>
            </w:r>
          </w:p>
        </w:tc>
      </w:tr>
      <w:tr w:rsidR="00521C30" w14:paraId="37A233EF"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73DFF92E" w14:textId="7DB367DF" w:rsidR="00521C30" w:rsidRPr="00A542CF" w:rsidRDefault="00521C30" w:rsidP="00521C30">
            <w:pPr>
              <w:jc w:val="center"/>
              <w:rPr>
                <w:rFonts w:cs="Times New Roman"/>
                <w:sz w:val="18"/>
                <w:szCs w:val="18"/>
              </w:rPr>
            </w:pPr>
            <w:r>
              <w:rPr>
                <w:rFonts w:cs="Times New Roman"/>
                <w:sz w:val="18"/>
                <w:szCs w:val="18"/>
              </w:rPr>
              <w:t>Cefoxitin</w:t>
            </w:r>
            <w:r>
              <w:rPr>
                <w:rFonts w:cs="Times New Roman"/>
                <w:sz w:val="18"/>
                <w:szCs w:val="18"/>
              </w:rPr>
              <w:br/>
              <w:t>(FOX)</w:t>
            </w:r>
          </w:p>
        </w:tc>
        <w:tc>
          <w:tcPr>
            <w:tcW w:w="1560" w:type="dxa"/>
          </w:tcPr>
          <w:p w14:paraId="72674A07" w14:textId="794E4052"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17" w:type="dxa"/>
          </w:tcPr>
          <w:p w14:paraId="7F8FD32B" w14:textId="26C57326"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4BA516BA" w14:textId="358E4253"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&gt;4 mg/L </w:t>
            </w:r>
            <w:r w:rsidRPr="00DB3F97">
              <w:rPr>
                <w:rFonts w:cs="Times New Roman"/>
                <w:sz w:val="16"/>
                <w:szCs w:val="16"/>
              </w:rPr>
              <w:br/>
              <w:t>(&gt;8 mg/L)</w:t>
            </w:r>
          </w:p>
        </w:tc>
        <w:tc>
          <w:tcPr>
            <w:tcW w:w="1559" w:type="dxa"/>
          </w:tcPr>
          <w:p w14:paraId="1765AC06" w14:textId="3B19F444"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32851C7A" w14:textId="09BA69D9"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521C30" w14:paraId="0670D2B0"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64AF39D4" w14:textId="77777777" w:rsidR="00521C30" w:rsidRPr="00A542CF" w:rsidRDefault="00521C30" w:rsidP="00521C30">
            <w:pPr>
              <w:jc w:val="center"/>
              <w:rPr>
                <w:rFonts w:cs="Times New Roman"/>
                <w:sz w:val="18"/>
                <w:szCs w:val="18"/>
              </w:rPr>
            </w:pPr>
          </w:p>
        </w:tc>
        <w:tc>
          <w:tcPr>
            <w:tcW w:w="1560" w:type="dxa"/>
          </w:tcPr>
          <w:p w14:paraId="314A6A56" w14:textId="75A6E116"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17" w:type="dxa"/>
          </w:tcPr>
          <w:p w14:paraId="0EDE2370" w14:textId="7FDF2E7D"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7B022A05" w14:textId="5C50C8D8"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not resistant: susceptible. All relevant beta-lactam resistance can be inferred with FOX (also methicillin). </w:t>
            </w:r>
            <w:r w:rsidRPr="00DB3F97">
              <w:rPr>
                <w:rFonts w:cs="Times New Roman"/>
                <w:i/>
                <w:iCs/>
                <w:sz w:val="16"/>
                <w:szCs w:val="16"/>
              </w:rPr>
              <w:t>S. aureus</w:t>
            </w:r>
            <w:r w:rsidRPr="00DB3F97">
              <w:rPr>
                <w:rFonts w:cs="Times New Roman"/>
                <w:sz w:val="16"/>
                <w:szCs w:val="16"/>
              </w:rPr>
              <w:t xml:space="preserve"> and </w:t>
            </w:r>
            <w:r w:rsidRPr="00DB3F97">
              <w:rPr>
                <w:rFonts w:cs="Times New Roman"/>
                <w:i/>
                <w:iCs/>
                <w:sz w:val="16"/>
                <w:szCs w:val="16"/>
              </w:rPr>
              <w:t xml:space="preserve">S. </w:t>
            </w:r>
            <w:proofErr w:type="spellStart"/>
            <w:r w:rsidRPr="00DB3F97">
              <w:rPr>
                <w:rFonts w:cs="Times New Roman"/>
                <w:i/>
                <w:iCs/>
                <w:sz w:val="16"/>
                <w:szCs w:val="16"/>
              </w:rPr>
              <w:t>lugdunensis</w:t>
            </w:r>
            <w:proofErr w:type="spellEnd"/>
            <w:r w:rsidRPr="00DB3F97">
              <w:rPr>
                <w:rFonts w:cs="Times New Roman"/>
                <w:sz w:val="16"/>
                <w:szCs w:val="16"/>
              </w:rPr>
              <w:t xml:space="preserve"> are resistant when &gt;4 mg/L, </w:t>
            </w:r>
            <w:r w:rsidRPr="00DB3F97">
              <w:rPr>
                <w:rFonts w:cs="Times New Roman"/>
                <w:i/>
                <w:iCs/>
                <w:sz w:val="16"/>
                <w:szCs w:val="16"/>
              </w:rPr>
              <w:t>S. saprophyticus</w:t>
            </w:r>
            <w:r w:rsidRPr="00DB3F97">
              <w:rPr>
                <w:rFonts w:cs="Times New Roman"/>
                <w:sz w:val="16"/>
                <w:szCs w:val="16"/>
              </w:rPr>
              <w:t xml:space="preserve"> when &gt;8 mg/L. When screening for methicillin resistance, disk diffusion best predicts resistance.</w:t>
            </w:r>
          </w:p>
        </w:tc>
        <w:tc>
          <w:tcPr>
            <w:tcW w:w="1559" w:type="dxa"/>
          </w:tcPr>
          <w:p w14:paraId="1D12F3B6" w14:textId="6DBCA9AB"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7B1C4430" w14:textId="4F7B6D44"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w:t>
            </w:r>
          </w:p>
        </w:tc>
      </w:tr>
      <w:tr w:rsidR="00521C30" w14:paraId="380F248A"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0181293A" w14:textId="68ADCB56" w:rsidR="00521C30" w:rsidRPr="00A542CF" w:rsidRDefault="00521C30" w:rsidP="00521C30">
            <w:pPr>
              <w:jc w:val="center"/>
              <w:rPr>
                <w:rFonts w:cs="Times New Roman"/>
                <w:sz w:val="18"/>
                <w:szCs w:val="18"/>
              </w:rPr>
            </w:pPr>
            <w:r>
              <w:rPr>
                <w:rFonts w:cs="Times New Roman"/>
                <w:bCs w:val="0"/>
                <w:sz w:val="18"/>
                <w:szCs w:val="18"/>
              </w:rPr>
              <w:t>Erythromycin (ERY)</w:t>
            </w:r>
          </w:p>
        </w:tc>
        <w:tc>
          <w:tcPr>
            <w:tcW w:w="1560" w:type="dxa"/>
          </w:tcPr>
          <w:p w14:paraId="53174FFD" w14:textId="30163B42"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17" w:type="dxa"/>
          </w:tcPr>
          <w:p w14:paraId="40648669" w14:textId="30076404"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6B8545DB" w14:textId="1CE6296F"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&gt;2 mg/L</w:t>
            </w:r>
          </w:p>
        </w:tc>
        <w:tc>
          <w:tcPr>
            <w:tcW w:w="1559" w:type="dxa"/>
          </w:tcPr>
          <w:p w14:paraId="72D5C8FC" w14:textId="2BCC8B02"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0E8C5114" w14:textId="10144EA6"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521C30" w14:paraId="2EE4A512"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37F9856B" w14:textId="77777777" w:rsidR="00521C30" w:rsidRPr="00A542CF" w:rsidRDefault="00521C30" w:rsidP="00521C30">
            <w:pPr>
              <w:jc w:val="center"/>
              <w:rPr>
                <w:rFonts w:cs="Times New Roman"/>
                <w:sz w:val="18"/>
                <w:szCs w:val="18"/>
              </w:rPr>
            </w:pPr>
          </w:p>
        </w:tc>
        <w:tc>
          <w:tcPr>
            <w:tcW w:w="1560" w:type="dxa"/>
          </w:tcPr>
          <w:p w14:paraId="7A80380D" w14:textId="00413978"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17" w:type="dxa"/>
          </w:tcPr>
          <w:p w14:paraId="23F3574A" w14:textId="2694AD38"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4968826E" w14:textId="045C86A7"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&gt;1 mg/L: susceptible, increased exposure. Strains susceptible to ERY are also susceptible to AZM, clarithromycin and roxithromycin. ERY-resistant strains should be tested for susceptibility to individual reagent. </w:t>
            </w:r>
          </w:p>
        </w:tc>
        <w:tc>
          <w:tcPr>
            <w:tcW w:w="1559" w:type="dxa"/>
          </w:tcPr>
          <w:p w14:paraId="496099EA" w14:textId="60FD905C"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19FD8BB0" w14:textId="761A00C8"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w:t>
            </w:r>
          </w:p>
        </w:tc>
      </w:tr>
      <w:tr w:rsidR="00521C30" w14:paraId="42A1EB00"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val="restart"/>
          </w:tcPr>
          <w:p w14:paraId="6D7E1A9A" w14:textId="6EEDDF77" w:rsidR="00521C30" w:rsidRPr="00A542CF" w:rsidRDefault="00521C30" w:rsidP="00521C30">
            <w:pPr>
              <w:jc w:val="center"/>
              <w:rPr>
                <w:rFonts w:cs="Times New Roman"/>
                <w:sz w:val="18"/>
                <w:szCs w:val="18"/>
              </w:rPr>
            </w:pPr>
            <w:r>
              <w:rPr>
                <w:rFonts w:cs="Times New Roman"/>
                <w:sz w:val="18"/>
                <w:szCs w:val="18"/>
              </w:rPr>
              <w:t>Azithromycin</w:t>
            </w:r>
            <w:r>
              <w:rPr>
                <w:rFonts w:cs="Times New Roman"/>
                <w:sz w:val="18"/>
                <w:szCs w:val="18"/>
              </w:rPr>
              <w:br/>
              <w:t>(AZM)</w:t>
            </w:r>
          </w:p>
        </w:tc>
        <w:tc>
          <w:tcPr>
            <w:tcW w:w="1560" w:type="dxa"/>
          </w:tcPr>
          <w:p w14:paraId="19CF88FF" w14:textId="36A2C554"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17" w:type="dxa"/>
          </w:tcPr>
          <w:p w14:paraId="49C76CA3" w14:textId="30C606ED"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701" w:type="dxa"/>
          </w:tcPr>
          <w:p w14:paraId="029F866E" w14:textId="232F8A0C"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&gt;2 mg/L</w:t>
            </w:r>
          </w:p>
        </w:tc>
        <w:tc>
          <w:tcPr>
            <w:tcW w:w="1559" w:type="dxa"/>
          </w:tcPr>
          <w:p w14:paraId="3CF4DBF0" w14:textId="11D67B88"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NA</w:t>
            </w:r>
          </w:p>
        </w:tc>
        <w:tc>
          <w:tcPr>
            <w:tcW w:w="1424" w:type="dxa"/>
          </w:tcPr>
          <w:p w14:paraId="18A665F3" w14:textId="7323BE4A"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NA</w:t>
            </w:r>
          </w:p>
        </w:tc>
      </w:tr>
      <w:tr w:rsidR="00521C30" w14:paraId="13995A40" w14:textId="77777777" w:rsidTr="00DB3F97">
        <w:tc>
          <w:tcPr>
            <w:cnfStyle w:val="001000000000" w:firstRow="0" w:lastRow="0" w:firstColumn="1" w:lastColumn="0" w:oddVBand="0" w:evenVBand="0" w:oddHBand="0" w:evenHBand="0" w:firstRowFirstColumn="0" w:firstRowLastColumn="0" w:lastRowFirstColumn="0" w:lastRowLastColumn="0"/>
            <w:tcW w:w="1696" w:type="dxa"/>
            <w:vMerge/>
          </w:tcPr>
          <w:p w14:paraId="58C14307" w14:textId="77777777" w:rsidR="00521C30" w:rsidRPr="00A542CF" w:rsidRDefault="00521C30" w:rsidP="00521C30">
            <w:pPr>
              <w:jc w:val="center"/>
              <w:rPr>
                <w:rFonts w:cs="Times New Roman"/>
                <w:sz w:val="18"/>
                <w:szCs w:val="18"/>
              </w:rPr>
            </w:pPr>
          </w:p>
        </w:tc>
        <w:tc>
          <w:tcPr>
            <w:tcW w:w="1560" w:type="dxa"/>
          </w:tcPr>
          <w:p w14:paraId="09355031" w14:textId="1D78ECFA"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17" w:type="dxa"/>
          </w:tcPr>
          <w:p w14:paraId="5D5229D0" w14:textId="380473D0"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701" w:type="dxa"/>
          </w:tcPr>
          <w:p w14:paraId="341AEB60" w14:textId="1BDBC76E"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 xml:space="preserve">If not resistant: susceptible. </w:t>
            </w:r>
          </w:p>
        </w:tc>
        <w:tc>
          <w:tcPr>
            <w:tcW w:w="1559" w:type="dxa"/>
          </w:tcPr>
          <w:p w14:paraId="07C4A16A" w14:textId="6C4DCE5F"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B3F97">
              <w:rPr>
                <w:rFonts w:cs="Times New Roman"/>
                <w:sz w:val="16"/>
                <w:szCs w:val="16"/>
              </w:rPr>
              <w:t>-</w:t>
            </w:r>
          </w:p>
        </w:tc>
        <w:tc>
          <w:tcPr>
            <w:tcW w:w="1424" w:type="dxa"/>
          </w:tcPr>
          <w:p w14:paraId="1D710353" w14:textId="3D482481" w:rsidR="00521C30" w:rsidRPr="00DB3F97" w:rsidRDefault="00521C30" w:rsidP="00521C30">
            <w:pPr>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C33BE8">
              <w:rPr>
                <w:rFonts w:cs="Times New Roman"/>
                <w:sz w:val="16"/>
                <w:szCs w:val="16"/>
              </w:rPr>
              <w:t>-</w:t>
            </w:r>
          </w:p>
        </w:tc>
      </w:tr>
    </w:tbl>
    <w:p w14:paraId="38A6530C" w14:textId="278484AA" w:rsidR="00990B09" w:rsidRDefault="00990B09" w:rsidP="00402D5A">
      <w:pPr>
        <w:jc w:val="both"/>
        <w:rPr>
          <w:b/>
          <w:bCs/>
          <w:sz w:val="20"/>
          <w:szCs w:val="20"/>
        </w:rPr>
      </w:pPr>
    </w:p>
    <w:p w14:paraId="37248138" w14:textId="44C4DA78" w:rsidR="00FE1996" w:rsidRPr="00F862F5" w:rsidRDefault="00FE1996" w:rsidP="00402D5A">
      <w:pPr>
        <w:jc w:val="both"/>
        <w:rPr>
          <w:b/>
          <w:bCs/>
          <w:szCs w:val="24"/>
        </w:rPr>
      </w:pPr>
      <w:r w:rsidRPr="00F862F5">
        <w:rPr>
          <w:b/>
          <w:bCs/>
          <w:szCs w:val="24"/>
        </w:rPr>
        <w:t>Supplementary References</w:t>
      </w:r>
    </w:p>
    <w:p w14:paraId="00191316" w14:textId="572822F3" w:rsidR="001740D7" w:rsidRPr="001740D7" w:rsidRDefault="00FE1996" w:rsidP="001740D7">
      <w:pPr>
        <w:widowControl w:val="0"/>
        <w:autoSpaceDE w:val="0"/>
        <w:autoSpaceDN w:val="0"/>
        <w:adjustRightInd w:val="0"/>
        <w:ind w:left="640" w:hanging="640"/>
        <w:rPr>
          <w:rFonts w:cs="Times New Roman"/>
          <w:noProof/>
          <w:lang w:val="en-GB"/>
        </w:rPr>
      </w:pPr>
      <w:r w:rsidRPr="00F862F5">
        <w:rPr>
          <w:b/>
          <w:bCs/>
          <w:szCs w:val="24"/>
        </w:rPr>
        <w:fldChar w:fldCharType="begin" w:fldLock="1"/>
      </w:r>
      <w:r w:rsidRPr="001B17E4">
        <w:rPr>
          <w:b/>
          <w:bCs/>
          <w:szCs w:val="24"/>
        </w:rPr>
        <w:instrText xml:space="preserve">ADDIN Mendeley Bibliography CSL_BIBLIOGRAPHY </w:instrText>
      </w:r>
      <w:r w:rsidRPr="00F862F5">
        <w:rPr>
          <w:b/>
          <w:bCs/>
          <w:szCs w:val="24"/>
        </w:rPr>
        <w:fldChar w:fldCharType="separate"/>
      </w:r>
      <w:r w:rsidR="001740D7" w:rsidRPr="001740D7">
        <w:rPr>
          <w:rFonts w:cs="Times New Roman"/>
          <w:noProof/>
          <w:lang w:val="en-GB"/>
        </w:rPr>
        <w:t xml:space="preserve">1. </w:t>
      </w:r>
      <w:r w:rsidR="001740D7" w:rsidRPr="001740D7">
        <w:rPr>
          <w:rFonts w:cs="Times New Roman"/>
          <w:noProof/>
          <w:lang w:val="en-GB"/>
        </w:rPr>
        <w:tab/>
        <w:t>Larsen M V., Cosentino S, Lukjancenko O, Saputra D, Rasmussen S, Hasman H, et al. Benchmarking of methods for genomic taxonomy. J Clin Microbiol [Internet]. 2014 [cited 2022 May 30];52(5):1529–39. Available from: https://pubmed.ncbi.nlm.nih.gov/24574292/</w:t>
      </w:r>
    </w:p>
    <w:p w14:paraId="5CFDDCA7" w14:textId="77777777" w:rsidR="001740D7" w:rsidRPr="001740D7" w:rsidRDefault="001740D7" w:rsidP="001740D7">
      <w:pPr>
        <w:widowControl w:val="0"/>
        <w:autoSpaceDE w:val="0"/>
        <w:autoSpaceDN w:val="0"/>
        <w:adjustRightInd w:val="0"/>
        <w:ind w:left="640" w:hanging="640"/>
        <w:rPr>
          <w:rFonts w:cs="Times New Roman"/>
          <w:noProof/>
          <w:lang w:val="en-GB"/>
        </w:rPr>
      </w:pPr>
      <w:r w:rsidRPr="001740D7">
        <w:rPr>
          <w:rFonts w:cs="Times New Roman"/>
          <w:noProof/>
          <w:lang w:val="en-GB"/>
        </w:rPr>
        <w:t xml:space="preserve">2. </w:t>
      </w:r>
      <w:r w:rsidRPr="001740D7">
        <w:rPr>
          <w:rFonts w:cs="Times New Roman"/>
          <w:noProof/>
          <w:lang w:val="en-GB"/>
        </w:rPr>
        <w:tab/>
        <w:t>Thrane SW, Taylor VL, Lund O, Lam JS, Jelsbak L. Application of Whole-Genome Sequencing Data for O-Specific Antigen Analysis and In Silico Serotyping of Pseudomonas aeruginosa Isolates. J Clin Microbiol [Internet]. 2016 Jul 1 [cited 2022 May 30];54(7):1782–8. Available from: https://pubmed.ncbi.nlm.nih.gov/27098958/</w:t>
      </w:r>
    </w:p>
    <w:p w14:paraId="1206CC36" w14:textId="77777777" w:rsidR="001740D7" w:rsidRPr="001740D7" w:rsidRDefault="001740D7" w:rsidP="001740D7">
      <w:pPr>
        <w:widowControl w:val="0"/>
        <w:autoSpaceDE w:val="0"/>
        <w:autoSpaceDN w:val="0"/>
        <w:adjustRightInd w:val="0"/>
        <w:ind w:left="640" w:hanging="640"/>
        <w:rPr>
          <w:rFonts w:cs="Times New Roman"/>
          <w:noProof/>
          <w:lang w:val="en-GB"/>
        </w:rPr>
      </w:pPr>
      <w:r w:rsidRPr="001740D7">
        <w:rPr>
          <w:rFonts w:cs="Times New Roman"/>
          <w:noProof/>
          <w:lang w:val="en-GB"/>
        </w:rPr>
        <w:t xml:space="preserve">3. </w:t>
      </w:r>
      <w:r w:rsidRPr="001740D7">
        <w:rPr>
          <w:rFonts w:cs="Times New Roman"/>
          <w:noProof/>
          <w:lang w:val="en-GB"/>
        </w:rPr>
        <w:tab/>
        <w:t>Joensen KG, Tetzschner AMM, Iguchi A, Aarestrup FM, Scheutz F. Rapid and Easy In Silico Serotyping of Escherichia coli Isolates by Use of Whole-Genome Sequencing Data. J Clin Microbiol [Internet]. 2015 Aug 1 [cited 2022 May 30];53(8):2410–26. Available from: https://pubmed.ncbi.nlm.nih.gov/25972421/</w:t>
      </w:r>
    </w:p>
    <w:p w14:paraId="29D4F70E" w14:textId="77777777" w:rsidR="001740D7" w:rsidRPr="001740D7" w:rsidRDefault="001740D7" w:rsidP="001740D7">
      <w:pPr>
        <w:widowControl w:val="0"/>
        <w:autoSpaceDE w:val="0"/>
        <w:autoSpaceDN w:val="0"/>
        <w:adjustRightInd w:val="0"/>
        <w:ind w:left="640" w:hanging="640"/>
        <w:rPr>
          <w:rFonts w:cs="Times New Roman"/>
          <w:noProof/>
          <w:lang w:val="en-GB"/>
        </w:rPr>
      </w:pPr>
      <w:r w:rsidRPr="001B17E4">
        <w:rPr>
          <w:rFonts w:cs="Times New Roman"/>
          <w:noProof/>
          <w:lang w:val="sv-SE"/>
        </w:rPr>
        <w:t xml:space="preserve">4. </w:t>
      </w:r>
      <w:r w:rsidRPr="001B17E4">
        <w:rPr>
          <w:rFonts w:cs="Times New Roman"/>
          <w:noProof/>
          <w:lang w:val="sv-SE"/>
        </w:rPr>
        <w:tab/>
        <w:t xml:space="preserve">Bartels MD, Petersen A, Worning P, Nielsen JB, Larner-Svensson H, Johansen HK, et al. </w:t>
      </w:r>
      <w:r w:rsidRPr="001740D7">
        <w:rPr>
          <w:rFonts w:cs="Times New Roman"/>
          <w:noProof/>
          <w:lang w:val="en-GB"/>
        </w:rPr>
        <w:t>Comparing Whole-Genome Sequencing with Sanger Sequencing for spa Typing of Methicillin-Resistant Staphylococcus aureus. J Clin Microbiol [Internet]. 2014 Dec 1 [cited 2022 May 30];52(12):4305. Available from: /pmc/articles/PMC4313303/</w:t>
      </w:r>
    </w:p>
    <w:p w14:paraId="6A1699D8" w14:textId="77777777" w:rsidR="001740D7" w:rsidRPr="001740D7" w:rsidRDefault="001740D7" w:rsidP="001740D7">
      <w:pPr>
        <w:widowControl w:val="0"/>
        <w:autoSpaceDE w:val="0"/>
        <w:autoSpaceDN w:val="0"/>
        <w:adjustRightInd w:val="0"/>
        <w:ind w:left="640" w:hanging="640"/>
        <w:rPr>
          <w:rFonts w:cs="Times New Roman"/>
          <w:noProof/>
          <w:lang w:val="en-GB"/>
        </w:rPr>
      </w:pPr>
      <w:r w:rsidRPr="001B17E4">
        <w:rPr>
          <w:rFonts w:cs="Times New Roman"/>
          <w:noProof/>
          <w:lang w:val="sv-SE"/>
        </w:rPr>
        <w:t xml:space="preserve">5. </w:t>
      </w:r>
      <w:r w:rsidRPr="001B17E4">
        <w:rPr>
          <w:rFonts w:cs="Times New Roman"/>
          <w:noProof/>
          <w:lang w:val="sv-SE"/>
        </w:rPr>
        <w:tab/>
        <w:t xml:space="preserve">Karlsson PA, Tano E, Jernberg C, Hickman RA, Guy L, Järhult JD, et al. </w:t>
      </w:r>
      <w:r w:rsidRPr="001740D7">
        <w:rPr>
          <w:rFonts w:cs="Times New Roman"/>
          <w:noProof/>
          <w:lang w:val="en-GB"/>
        </w:rPr>
        <w:t>Molecular Characterization of Multidrug-Resistant Yersinia enterocolitica From Foodborne Outbreaks in Sweden. Front Microbiol [Internet]. 2021 May 13 [cited 2022 May 30];12. Available from: https://pubmed.ncbi.nlm.nih.gov/34054769/</w:t>
      </w:r>
    </w:p>
    <w:p w14:paraId="0018D16F" w14:textId="77777777" w:rsidR="001740D7" w:rsidRPr="001740D7" w:rsidRDefault="001740D7" w:rsidP="001740D7">
      <w:pPr>
        <w:widowControl w:val="0"/>
        <w:autoSpaceDE w:val="0"/>
        <w:autoSpaceDN w:val="0"/>
        <w:adjustRightInd w:val="0"/>
        <w:ind w:left="640" w:hanging="640"/>
        <w:rPr>
          <w:rFonts w:cs="Times New Roman"/>
          <w:noProof/>
          <w:lang w:val="en-GB"/>
        </w:rPr>
      </w:pPr>
      <w:r w:rsidRPr="001740D7">
        <w:rPr>
          <w:rFonts w:cs="Times New Roman"/>
          <w:noProof/>
          <w:lang w:val="en-GB"/>
        </w:rPr>
        <w:t xml:space="preserve">6. </w:t>
      </w:r>
      <w:r w:rsidRPr="001740D7">
        <w:rPr>
          <w:rFonts w:cs="Times New Roman"/>
          <w:noProof/>
          <w:lang w:val="en-GB"/>
        </w:rPr>
        <w:tab/>
        <w:t>Karlsson PA, Hechard T, Jernberg C, Wang H. Complete Genome Assembly of Multidrug-Resistant Yersinia enterocolitica Y72, Isolated in Sweden. Microbiol Resour Announc [Internet]. 2021 May 13 [cited 2022 May 30];10(19). Available from: https://pubmed.ncbi.nlm.nih.gov/33986087/</w:t>
      </w:r>
    </w:p>
    <w:p w14:paraId="53273A42" w14:textId="77777777" w:rsidR="001740D7" w:rsidRPr="001740D7" w:rsidRDefault="001740D7" w:rsidP="001740D7">
      <w:pPr>
        <w:widowControl w:val="0"/>
        <w:autoSpaceDE w:val="0"/>
        <w:autoSpaceDN w:val="0"/>
        <w:adjustRightInd w:val="0"/>
        <w:ind w:left="640" w:hanging="640"/>
        <w:rPr>
          <w:rFonts w:cs="Times New Roman"/>
          <w:noProof/>
          <w:lang w:val="en-GB"/>
        </w:rPr>
      </w:pPr>
      <w:r w:rsidRPr="001740D7">
        <w:rPr>
          <w:rFonts w:cs="Times New Roman"/>
          <w:noProof/>
          <w:lang w:val="en-GB"/>
        </w:rPr>
        <w:t xml:space="preserve">7. </w:t>
      </w:r>
      <w:r w:rsidRPr="001740D7">
        <w:rPr>
          <w:rFonts w:cs="Times New Roman"/>
          <w:noProof/>
          <w:lang w:val="en-GB"/>
        </w:rPr>
        <w:tab/>
        <w:t xml:space="preserve">European centre for disease prevention and control. Surveillance of healthcare-associated infections and prevention indicators in European intensive care units - HAI-Net ICU protocol version 2.2. Eur Cent Dis Prev Control [Internet]. 2017 [cited 2022 Sep 13];1–50. Available </w:t>
      </w:r>
      <w:r w:rsidRPr="001740D7">
        <w:rPr>
          <w:rFonts w:cs="Times New Roman"/>
          <w:noProof/>
          <w:lang w:val="en-GB"/>
        </w:rPr>
        <w:lastRenderedPageBreak/>
        <w:t>from: www.ecdc.europa.eu</w:t>
      </w:r>
    </w:p>
    <w:p w14:paraId="22F2D2E4" w14:textId="77777777" w:rsidR="001740D7" w:rsidRPr="001740D7" w:rsidRDefault="001740D7" w:rsidP="001740D7">
      <w:pPr>
        <w:widowControl w:val="0"/>
        <w:autoSpaceDE w:val="0"/>
        <w:autoSpaceDN w:val="0"/>
        <w:adjustRightInd w:val="0"/>
        <w:ind w:left="640" w:hanging="640"/>
        <w:rPr>
          <w:rFonts w:cs="Times New Roman"/>
          <w:noProof/>
        </w:rPr>
      </w:pPr>
      <w:r w:rsidRPr="001B17E4">
        <w:rPr>
          <w:rFonts w:cs="Times New Roman"/>
          <w:noProof/>
          <w:lang w:val="sv-SE"/>
        </w:rPr>
        <w:t xml:space="preserve">8. </w:t>
      </w:r>
      <w:r w:rsidRPr="001B17E4">
        <w:rPr>
          <w:rFonts w:cs="Times New Roman"/>
          <w:noProof/>
          <w:lang w:val="sv-SE"/>
        </w:rPr>
        <w:tab/>
        <w:t xml:space="preserve">Läkemedelsverket. Läkemedelsbehandling av urinvägsinfektioner i öppenvård – behandlingsrekommendation. In: Information från Läkemedelsverket nr 5 2017 [Internet]. Uppsala: Läkemedelsverket; 2017 [cited 2022 Sep 13]. p. 16. </w:t>
      </w:r>
      <w:r w:rsidRPr="001740D7">
        <w:rPr>
          <w:rFonts w:cs="Times New Roman"/>
          <w:noProof/>
          <w:lang w:val="en-GB"/>
        </w:rPr>
        <w:t>Available from: https://www.lakemedelsverket.se</w:t>
      </w:r>
    </w:p>
    <w:p w14:paraId="01839185" w14:textId="58913EEE" w:rsidR="00FE1996" w:rsidRPr="005D2C3F" w:rsidRDefault="00FE1996" w:rsidP="001740D7">
      <w:pPr>
        <w:widowControl w:val="0"/>
        <w:autoSpaceDE w:val="0"/>
        <w:autoSpaceDN w:val="0"/>
        <w:adjustRightInd w:val="0"/>
        <w:rPr>
          <w:b/>
          <w:bCs/>
          <w:sz w:val="20"/>
          <w:szCs w:val="20"/>
        </w:rPr>
      </w:pPr>
      <w:r w:rsidRPr="00F862F5">
        <w:rPr>
          <w:b/>
          <w:bCs/>
          <w:szCs w:val="24"/>
        </w:rPr>
        <w:fldChar w:fldCharType="end"/>
      </w:r>
    </w:p>
    <w:sectPr w:rsidR="00FE1996" w:rsidRPr="005D2C3F" w:rsidSect="001740D7">
      <w:headerReference w:type="even" r:id="rId11"/>
      <w:footerReference w:type="even" r:id="rId12"/>
      <w:footerReference w:type="default" r:id="rId13"/>
      <w:headerReference w:type="first" r:id="rId14"/>
      <w:pgSz w:w="12240" w:h="15840"/>
      <w:pgMar w:top="1138" w:right="1181" w:bottom="1138" w:left="1282" w:header="283" w:footer="51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E6D88" w14:textId="77777777" w:rsidR="003F5215" w:rsidRDefault="003F5215" w:rsidP="00117666">
      <w:pPr>
        <w:spacing w:after="0"/>
      </w:pPr>
      <w:r>
        <w:separator/>
      </w:r>
    </w:p>
  </w:endnote>
  <w:endnote w:type="continuationSeparator" w:id="0">
    <w:p w14:paraId="1D080DBC" w14:textId="77777777" w:rsidR="003F5215" w:rsidRDefault="003F5215"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D3D87" w14:textId="1D1A7D15" w:rsidR="00CE3788" w:rsidRPr="00577C4C" w:rsidRDefault="00CE3788">
    <w:pPr>
      <w:pStyle w:val="Footer"/>
      <w:rPr>
        <w:color w:val="C00000"/>
        <w:szCs w:val="24"/>
      </w:rPr>
    </w:pPr>
    <w:r>
      <w:rPr>
        <w:noProof/>
        <w:lang w:val="sv-SE" w:eastAsia="sv-SE"/>
      </w:rPr>
      <mc:AlternateContent>
        <mc:Choice Requires="wps">
          <w:drawing>
            <wp:anchor distT="0" distB="0" distL="114300" distR="114300" simplePos="0" relativeHeight="251665408" behindDoc="0" locked="0" layoutInCell="1" allowOverlap="1" wp14:anchorId="51D4B8BD" wp14:editId="1C3D5F5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214951C5" w14:textId="7E625859" w:rsidR="00CE3788" w:rsidRPr="00577C4C" w:rsidRDefault="00CE3788">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5C1A52" w:rsidRPr="005C1A52">
                            <w:rPr>
                              <w:noProof/>
                              <w:color w:val="000000" w:themeColor="text1"/>
                              <w:sz w:val="22"/>
                              <w:szCs w:val="40"/>
                            </w:rPr>
                            <w:t>14</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1D4B8BD" id="_x0000_t202" coordsize="21600,21600" o:spt="202" path="m,l,21600r21600,l21600,xe">
              <v:stroke joinstyle="miter"/>
              <v:path gradientshapeok="t" o:connecttype="rect"/>
            </v:shapetype>
            <v:shape id="Text Box 1" o:spid="_x0000_s1026" type="#_x0000_t202" style="position:absolute;margin-left:67.6pt;margin-top:0;width:118.8pt;height:31.15pt;z-index:251665408;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" filled="f" stroked="f" strokeweight=".5pt">
              <v:textbox style="mso-fit-shape-to-text:t">
                <w:txbxContent>
                  <w:p w14:paraId="214951C5" w14:textId="7E625859" w:rsidR="00CE3788" w:rsidRPr="00577C4C" w:rsidRDefault="00CE3788">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5C1A52" w:rsidRPr="005C1A52">
                      <w:rPr>
                        <w:noProof/>
                        <w:color w:val="000000" w:themeColor="text1"/>
                        <w:sz w:val="22"/>
                        <w:szCs w:val="40"/>
                      </w:rPr>
                      <w:t>14</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0BFF2" w14:textId="77777777" w:rsidR="00CE3788" w:rsidRPr="00577C4C" w:rsidRDefault="00CE3788">
    <w:pPr>
      <w:pStyle w:val="Footer"/>
      <w:rPr>
        <w:b/>
        <w:sz w:val="20"/>
        <w:szCs w:val="24"/>
      </w:rPr>
    </w:pPr>
    <w:r>
      <w:rPr>
        <w:noProof/>
        <w:lang w:val="sv-SE" w:eastAsia="sv-SE"/>
      </w:rPr>
      <mc:AlternateContent>
        <mc:Choice Requires="wps">
          <w:drawing>
            <wp:anchor distT="0" distB="0" distL="114300" distR="114300" simplePos="0" relativeHeight="251646976" behindDoc="0" locked="0" layoutInCell="1" allowOverlap="1" wp14:anchorId="2C4AF3B6" wp14:editId="527467EE">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74D070C5" w14:textId="54353842" w:rsidR="00CE3788" w:rsidRPr="00577C4C" w:rsidRDefault="00CE3788">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5C1A52" w:rsidRPr="005C1A52">
                            <w:rPr>
                              <w:noProof/>
                              <w:color w:val="000000" w:themeColor="text1"/>
                              <w:sz w:val="22"/>
                              <w:szCs w:val="40"/>
                            </w:rPr>
                            <w:t>17</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C4AF3B6"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" filled="f" stroked="f" strokeweight=".5pt">
              <v:textbox style="mso-fit-shape-to-text:t">
                <w:txbxContent>
                  <w:p w14:paraId="74D070C5" w14:textId="54353842" w:rsidR="00CE3788" w:rsidRPr="00577C4C" w:rsidRDefault="00CE3788">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5C1A52" w:rsidRPr="005C1A52">
                      <w:rPr>
                        <w:noProof/>
                        <w:color w:val="000000" w:themeColor="text1"/>
                        <w:sz w:val="22"/>
                        <w:szCs w:val="40"/>
                      </w:rPr>
                      <w:t>17</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CD861" w14:textId="77777777" w:rsidR="003F5215" w:rsidRDefault="003F5215" w:rsidP="00117666">
      <w:pPr>
        <w:spacing w:after="0"/>
      </w:pPr>
      <w:r>
        <w:separator/>
      </w:r>
    </w:p>
  </w:footnote>
  <w:footnote w:type="continuationSeparator" w:id="0">
    <w:p w14:paraId="2947D937" w14:textId="77777777" w:rsidR="003F5215" w:rsidRDefault="003F5215"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13A34" w14:textId="141140C8" w:rsidR="00CE3788" w:rsidRPr="00D27BA3" w:rsidRDefault="00CE3788" w:rsidP="00A53000">
    <w:pPr>
      <w:pStyle w:val="Header"/>
      <w:rPr>
        <w:lang w:val="sv-SE"/>
      </w:rPr>
    </w:pPr>
    <w:r w:rsidRPr="007E3148">
      <w:ptab w:relativeTo="margin" w:alignment="center" w:leader="none"/>
    </w:r>
    <w:r w:rsidRPr="007E3148">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1D6DA" w14:textId="0068515B" w:rsidR="00CE3788" w:rsidRPr="008F16D8" w:rsidRDefault="00CE3788" w:rsidP="008F16D8">
    <w:pPr>
      <w:spacing w:before="0" w:after="0"/>
      <w:rPr>
        <w:rFonts w:eastAsia="Times New Roman" w:cs="Times New Roman"/>
        <w:szCs w:val="24"/>
        <w:lang w:eastAsia="en-GB"/>
      </w:rPr>
    </w:pPr>
  </w:p>
  <w:p w14:paraId="6A2F27F1" w14:textId="3FC1C01C" w:rsidR="00CE3788" w:rsidRDefault="00CE3788" w:rsidP="00A53000">
    <w:pPr>
      <w:pStyle w:val="Heade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44328928"/>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DE4156"/>
    <w:multiLevelType w:val="multilevel"/>
    <w:tmpl w:val="960A7DB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A6A7E06"/>
    <w:multiLevelType w:val="hybridMultilevel"/>
    <w:tmpl w:val="AF5AAE14"/>
    <w:lvl w:ilvl="0" w:tplc="5FD268E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8A03CD"/>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EC0601A"/>
    <w:multiLevelType w:val="multilevel"/>
    <w:tmpl w:val="C6A8CCEA"/>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6"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4B73141"/>
    <w:multiLevelType w:val="multilevel"/>
    <w:tmpl w:val="5D2CF1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B0E7A3A"/>
    <w:multiLevelType w:val="hybridMultilevel"/>
    <w:tmpl w:val="7892E8FC"/>
    <w:lvl w:ilvl="0" w:tplc="9FCE1316">
      <w:numFmt w:val="bullet"/>
      <w:lvlText w:val=""/>
      <w:lvlJc w:val="left"/>
      <w:pPr>
        <w:ind w:left="720" w:hanging="360"/>
      </w:pPr>
      <w:rPr>
        <w:rFonts w:ascii="Wingdings" w:eastAsiaTheme="minorHAns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0060E08"/>
    <w:multiLevelType w:val="hybridMultilevel"/>
    <w:tmpl w:val="DD78BE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02A7CAC"/>
    <w:multiLevelType w:val="multilevel"/>
    <w:tmpl w:val="C6A8CCEA"/>
    <w:numStyleLink w:val="Headings"/>
  </w:abstractNum>
  <w:abstractNum w:abstractNumId="11" w15:restartNumberingAfterBreak="0">
    <w:nsid w:val="36D30736"/>
    <w:multiLevelType w:val="hybridMultilevel"/>
    <w:tmpl w:val="BC1E7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817787E"/>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AE92CDE"/>
    <w:multiLevelType w:val="hybridMultilevel"/>
    <w:tmpl w:val="294E0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C1539C0"/>
    <w:multiLevelType w:val="hybridMultilevel"/>
    <w:tmpl w:val="675E09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8E502C"/>
    <w:multiLevelType w:val="hybridMultilevel"/>
    <w:tmpl w:val="C2165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4216449"/>
    <w:multiLevelType w:val="hybridMultilevel"/>
    <w:tmpl w:val="60E244E0"/>
    <w:lvl w:ilvl="0" w:tplc="BB925A66">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4FD4EDD"/>
    <w:multiLevelType w:val="multilevel"/>
    <w:tmpl w:val="5D2CF1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AD64644"/>
    <w:multiLevelType w:val="hybridMultilevel"/>
    <w:tmpl w:val="D6E0D3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B69390E"/>
    <w:multiLevelType w:val="multilevel"/>
    <w:tmpl w:val="0D3E7D10"/>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D8113DE"/>
    <w:multiLevelType w:val="multilevel"/>
    <w:tmpl w:val="ADB20CA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ECE0D13"/>
    <w:multiLevelType w:val="multilevel"/>
    <w:tmpl w:val="994A3DC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F5D5F89"/>
    <w:multiLevelType w:val="hybridMultilevel"/>
    <w:tmpl w:val="B58654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253143A"/>
    <w:multiLevelType w:val="multilevel"/>
    <w:tmpl w:val="5D2CF14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3454A86"/>
    <w:multiLevelType w:val="hybridMultilevel"/>
    <w:tmpl w:val="3102A8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2290D83"/>
    <w:multiLevelType w:val="hybridMultilevel"/>
    <w:tmpl w:val="D1E4BA92"/>
    <w:lvl w:ilvl="0" w:tplc="E9807BE6">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A07E46"/>
    <w:multiLevelType w:val="multilevel"/>
    <w:tmpl w:val="5D2CF1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27829F8"/>
    <w:multiLevelType w:val="multilevel"/>
    <w:tmpl w:val="5D2CF1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4924612"/>
    <w:multiLevelType w:val="hybridMultilevel"/>
    <w:tmpl w:val="860C1BB4"/>
    <w:lvl w:ilvl="0" w:tplc="0DDAE7B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DBC6F29"/>
    <w:multiLevelType w:val="multilevel"/>
    <w:tmpl w:val="C6A8CCEA"/>
    <w:numStyleLink w:val="Headings"/>
  </w:abstractNum>
  <w:abstractNum w:abstractNumId="32" w15:restartNumberingAfterBreak="0">
    <w:nsid w:val="7E170A98"/>
    <w:multiLevelType w:val="multilevel"/>
    <w:tmpl w:val="5D2CF1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F983756"/>
    <w:multiLevelType w:val="multilevel"/>
    <w:tmpl w:val="F300CE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290981527">
    <w:abstractNumId w:val="0"/>
  </w:num>
  <w:num w:numId="2" w16cid:durableId="1014763382">
    <w:abstractNumId w:val="25"/>
  </w:num>
  <w:num w:numId="3" w16cid:durableId="1552574027">
    <w:abstractNumId w:val="1"/>
  </w:num>
  <w:num w:numId="4" w16cid:durableId="1854487305">
    <w:abstractNumId w:val="27"/>
  </w:num>
  <w:num w:numId="5" w16cid:durableId="3062011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05375345">
    <w:abstractNumId w:val="15"/>
  </w:num>
  <w:num w:numId="7" w16cid:durableId="1739329960">
    <w:abstractNumId w:val="13"/>
  </w:num>
  <w:num w:numId="8" w16cid:durableId="1166749023">
    <w:abstractNumId w:val="11"/>
  </w:num>
  <w:num w:numId="9" w16cid:durableId="1514346454">
    <w:abstractNumId w:val="14"/>
  </w:num>
  <w:num w:numId="10" w16cid:durableId="1245724411">
    <w:abstractNumId w:val="12"/>
  </w:num>
  <w:num w:numId="11" w16cid:durableId="1377467259">
    <w:abstractNumId w:val="4"/>
  </w:num>
  <w:num w:numId="12" w16cid:durableId="622930461">
    <w:abstractNumId w:val="33"/>
  </w:num>
  <w:num w:numId="13" w16cid:durableId="611743502">
    <w:abstractNumId w:val="20"/>
  </w:num>
  <w:num w:numId="14" w16cid:durableId="1305114464">
    <w:abstractNumId w:val="6"/>
  </w:num>
  <w:num w:numId="15" w16cid:durableId="1387529469">
    <w:abstractNumId w:val="16"/>
  </w:num>
  <w:num w:numId="16" w16cid:durableId="710149264">
    <w:abstractNumId w:val="26"/>
  </w:num>
  <w:num w:numId="17" w16cid:durableId="734812672">
    <w:abstractNumId w:val="5"/>
    <w:lvlOverride w:ilvl="0">
      <w:lvl w:ilvl="0">
        <w:start w:val="1"/>
        <w:numFmt w:val="decimal"/>
        <w:pStyle w:val="Heading1"/>
        <w:lvlText w:val="%1"/>
        <w:lvlJc w:val="left"/>
        <w:pPr>
          <w:tabs>
            <w:tab w:val="num" w:pos="567"/>
          </w:tabs>
          <w:ind w:left="567" w:hanging="567"/>
        </w:pPr>
        <w:rPr>
          <w:rFonts w:hint="default"/>
        </w:rPr>
      </w:lvl>
    </w:lvlOverride>
    <w:lvlOverride w:ilvl="1">
      <w:lvl w:ilvl="1">
        <w:start w:val="1"/>
        <w:numFmt w:val="decimal"/>
        <w:pStyle w:val="Heading2"/>
        <w:lvlText w:val="%1.%2"/>
        <w:lvlJc w:val="left"/>
        <w:pPr>
          <w:tabs>
            <w:tab w:val="num" w:pos="567"/>
          </w:tabs>
          <w:ind w:left="567" w:hanging="567"/>
        </w:pPr>
        <w:rPr>
          <w:rFonts w:hint="default"/>
        </w:rPr>
      </w:lvl>
    </w:lvlOverride>
  </w:num>
  <w:num w:numId="18" w16cid:durableId="16582236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602765206">
    <w:abstractNumId w:val="10"/>
  </w:num>
  <w:num w:numId="20" w16cid:durableId="761727392">
    <w:abstractNumId w:val="31"/>
  </w:num>
  <w:num w:numId="21" w16cid:durableId="933443709">
    <w:abstractNumId w:val="5"/>
  </w:num>
  <w:num w:numId="22" w16cid:durableId="346446985">
    <w:abstractNumId w:val="5"/>
    <w:lvlOverride w:ilvl="0">
      <w:startOverride w:val="1"/>
      <w:lvl w:ilvl="0">
        <w:start w:val="1"/>
        <w:numFmt w:val="decimal"/>
        <w:pStyle w:val="Heading1"/>
        <w:lvlText w:val="%1"/>
        <w:lvlJc w:val="left"/>
        <w:pPr>
          <w:tabs>
            <w:tab w:val="num" w:pos="567"/>
          </w:tabs>
          <w:ind w:left="567" w:hanging="567"/>
        </w:pPr>
      </w:lvl>
    </w:lvlOverride>
    <w:lvlOverride w:ilvl="1">
      <w:startOverride w:val="1"/>
      <w:lvl w:ilvl="1">
        <w:start w:val="1"/>
        <w:numFmt w:val="decimal"/>
        <w:pStyle w:val="Heading2"/>
        <w:lvlText w:val="%1.%2"/>
        <w:lvlJc w:val="left"/>
        <w:pPr>
          <w:tabs>
            <w:tab w:val="num" w:pos="567"/>
          </w:tabs>
          <w:ind w:left="567" w:hanging="567"/>
        </w:pPr>
      </w:lvl>
    </w:lvlOverride>
    <w:lvlOverride w:ilvl="2">
      <w:startOverride w:val="1"/>
      <w:lvl w:ilvl="2">
        <w:start w:val="1"/>
        <w:numFmt w:val="decimal"/>
        <w:pStyle w:val="Heading3"/>
        <w:lvlText w:val=""/>
        <w:lvlJc w:val="left"/>
      </w:lvl>
    </w:lvlOverride>
    <w:lvlOverride w:ilvl="3">
      <w:startOverride w:val="1"/>
      <w:lvl w:ilvl="3">
        <w:start w:val="1"/>
        <w:numFmt w:val="decimal"/>
        <w:pStyle w:val="Heading4"/>
        <w:lvlText w:val=""/>
        <w:lvlJc w:val="left"/>
      </w:lvl>
    </w:lvlOverride>
    <w:lvlOverride w:ilvl="4">
      <w:startOverride w:val="1"/>
      <w:lvl w:ilvl="4">
        <w:start w:val="1"/>
        <w:numFmt w:val="decimal"/>
        <w:pStyle w:val="Heading5"/>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 w16cid:durableId="1315984067">
    <w:abstractNumId w:val="17"/>
  </w:num>
  <w:num w:numId="24" w16cid:durableId="836120007">
    <w:abstractNumId w:val="2"/>
  </w:num>
  <w:num w:numId="25" w16cid:durableId="72550311">
    <w:abstractNumId w:val="19"/>
  </w:num>
  <w:num w:numId="26" w16cid:durableId="1351952217">
    <w:abstractNumId w:val="21"/>
  </w:num>
  <w:num w:numId="27" w16cid:durableId="1716855534">
    <w:abstractNumId w:val="29"/>
  </w:num>
  <w:num w:numId="28" w16cid:durableId="1354989171">
    <w:abstractNumId w:val="32"/>
  </w:num>
  <w:num w:numId="29" w16cid:durableId="490101263">
    <w:abstractNumId w:val="28"/>
  </w:num>
  <w:num w:numId="30" w16cid:durableId="1627079117">
    <w:abstractNumId w:val="7"/>
  </w:num>
  <w:num w:numId="31" w16cid:durableId="1436169798">
    <w:abstractNumId w:val="23"/>
  </w:num>
  <w:num w:numId="32" w16cid:durableId="1659917109">
    <w:abstractNumId w:val="24"/>
  </w:num>
  <w:num w:numId="33" w16cid:durableId="379206191">
    <w:abstractNumId w:val="22"/>
  </w:num>
  <w:num w:numId="34" w16cid:durableId="261577068">
    <w:abstractNumId w:val="9"/>
  </w:num>
  <w:num w:numId="35" w16cid:durableId="1032655326">
    <w:abstractNumId w:val="8"/>
  </w:num>
  <w:num w:numId="36" w16cid:durableId="304437314">
    <w:abstractNumId w:val="30"/>
  </w:num>
  <w:num w:numId="37" w16cid:durableId="1184830388">
    <w:abstractNumId w:val="3"/>
  </w:num>
  <w:num w:numId="38" w16cid:durableId="81121818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proofState w:spelling="clean" w:grammar="clean"/>
  <w:attachedTemplate r:id="rId1"/>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1821"/>
    <w:rsid w:val="000074BC"/>
    <w:rsid w:val="0001182A"/>
    <w:rsid w:val="00011CE5"/>
    <w:rsid w:val="0001294F"/>
    <w:rsid w:val="00012C2B"/>
    <w:rsid w:val="00013B77"/>
    <w:rsid w:val="00016AB8"/>
    <w:rsid w:val="0002180B"/>
    <w:rsid w:val="00021F96"/>
    <w:rsid w:val="00023C11"/>
    <w:rsid w:val="000268A4"/>
    <w:rsid w:val="00031BED"/>
    <w:rsid w:val="00031ECF"/>
    <w:rsid w:val="00034304"/>
    <w:rsid w:val="00035434"/>
    <w:rsid w:val="000356E3"/>
    <w:rsid w:val="000410EE"/>
    <w:rsid w:val="0004564B"/>
    <w:rsid w:val="00045678"/>
    <w:rsid w:val="000458E4"/>
    <w:rsid w:val="00052395"/>
    <w:rsid w:val="0005270C"/>
    <w:rsid w:val="0005298D"/>
    <w:rsid w:val="000554F1"/>
    <w:rsid w:val="00055C92"/>
    <w:rsid w:val="00061BB2"/>
    <w:rsid w:val="00063D84"/>
    <w:rsid w:val="0006636D"/>
    <w:rsid w:val="00066C62"/>
    <w:rsid w:val="00071AFB"/>
    <w:rsid w:val="0007693B"/>
    <w:rsid w:val="0007762D"/>
    <w:rsid w:val="00077B9D"/>
    <w:rsid w:val="00077D53"/>
    <w:rsid w:val="00080859"/>
    <w:rsid w:val="00080AD5"/>
    <w:rsid w:val="000810C1"/>
    <w:rsid w:val="00081394"/>
    <w:rsid w:val="00090D40"/>
    <w:rsid w:val="00092E32"/>
    <w:rsid w:val="00092ED6"/>
    <w:rsid w:val="000931D4"/>
    <w:rsid w:val="00093217"/>
    <w:rsid w:val="00093FA5"/>
    <w:rsid w:val="0009421A"/>
    <w:rsid w:val="00094C94"/>
    <w:rsid w:val="000954BA"/>
    <w:rsid w:val="000955A5"/>
    <w:rsid w:val="00096E8F"/>
    <w:rsid w:val="000972D3"/>
    <w:rsid w:val="000A32DB"/>
    <w:rsid w:val="000A3980"/>
    <w:rsid w:val="000A3EA4"/>
    <w:rsid w:val="000A64B4"/>
    <w:rsid w:val="000B245A"/>
    <w:rsid w:val="000B245B"/>
    <w:rsid w:val="000B34BD"/>
    <w:rsid w:val="000B3F1F"/>
    <w:rsid w:val="000B5DE2"/>
    <w:rsid w:val="000B678D"/>
    <w:rsid w:val="000B7590"/>
    <w:rsid w:val="000C4E80"/>
    <w:rsid w:val="000C5105"/>
    <w:rsid w:val="000C6F68"/>
    <w:rsid w:val="000C7009"/>
    <w:rsid w:val="000C7D4C"/>
    <w:rsid w:val="000C7E2A"/>
    <w:rsid w:val="000C7FFC"/>
    <w:rsid w:val="000E0413"/>
    <w:rsid w:val="000E1E99"/>
    <w:rsid w:val="000E35A2"/>
    <w:rsid w:val="000E5806"/>
    <w:rsid w:val="000E6E0B"/>
    <w:rsid w:val="000E72AD"/>
    <w:rsid w:val="000F15A6"/>
    <w:rsid w:val="000F1A16"/>
    <w:rsid w:val="000F4CFB"/>
    <w:rsid w:val="000F4E7B"/>
    <w:rsid w:val="000F4FA4"/>
    <w:rsid w:val="000F5332"/>
    <w:rsid w:val="000F5361"/>
    <w:rsid w:val="000F5840"/>
    <w:rsid w:val="000F78D6"/>
    <w:rsid w:val="000F7BF5"/>
    <w:rsid w:val="00100835"/>
    <w:rsid w:val="0010358B"/>
    <w:rsid w:val="00104424"/>
    <w:rsid w:val="00107988"/>
    <w:rsid w:val="001103B4"/>
    <w:rsid w:val="00117666"/>
    <w:rsid w:val="00120DAB"/>
    <w:rsid w:val="00121059"/>
    <w:rsid w:val="001223A7"/>
    <w:rsid w:val="00123E70"/>
    <w:rsid w:val="00125B92"/>
    <w:rsid w:val="00126075"/>
    <w:rsid w:val="00126919"/>
    <w:rsid w:val="00131AB6"/>
    <w:rsid w:val="00132323"/>
    <w:rsid w:val="001325A6"/>
    <w:rsid w:val="00134256"/>
    <w:rsid w:val="00134B43"/>
    <w:rsid w:val="00134FBD"/>
    <w:rsid w:val="001400CF"/>
    <w:rsid w:val="00142120"/>
    <w:rsid w:val="00144EB5"/>
    <w:rsid w:val="00147395"/>
    <w:rsid w:val="00147999"/>
    <w:rsid w:val="001479B6"/>
    <w:rsid w:val="00147E86"/>
    <w:rsid w:val="0015045E"/>
    <w:rsid w:val="0015118A"/>
    <w:rsid w:val="00151978"/>
    <w:rsid w:val="001552C9"/>
    <w:rsid w:val="001572C5"/>
    <w:rsid w:val="001603FF"/>
    <w:rsid w:val="00163FE8"/>
    <w:rsid w:val="001658E1"/>
    <w:rsid w:val="00170407"/>
    <w:rsid w:val="0017049C"/>
    <w:rsid w:val="00171FEC"/>
    <w:rsid w:val="001740D7"/>
    <w:rsid w:val="0017434F"/>
    <w:rsid w:val="00174967"/>
    <w:rsid w:val="0017508E"/>
    <w:rsid w:val="00176214"/>
    <w:rsid w:val="00177D84"/>
    <w:rsid w:val="0018164D"/>
    <w:rsid w:val="00182119"/>
    <w:rsid w:val="00184924"/>
    <w:rsid w:val="00190620"/>
    <w:rsid w:val="001926B2"/>
    <w:rsid w:val="0019427B"/>
    <w:rsid w:val="001949E3"/>
    <w:rsid w:val="0019588C"/>
    <w:rsid w:val="001961EB"/>
    <w:rsid w:val="001963DF"/>
    <w:rsid w:val="001964EF"/>
    <w:rsid w:val="0019735A"/>
    <w:rsid w:val="001977B9"/>
    <w:rsid w:val="001A58A5"/>
    <w:rsid w:val="001A5C21"/>
    <w:rsid w:val="001B17E4"/>
    <w:rsid w:val="001B1A2C"/>
    <w:rsid w:val="001B3886"/>
    <w:rsid w:val="001B3D6F"/>
    <w:rsid w:val="001B6EB7"/>
    <w:rsid w:val="001B6F6A"/>
    <w:rsid w:val="001B7B1A"/>
    <w:rsid w:val="001C0272"/>
    <w:rsid w:val="001C1197"/>
    <w:rsid w:val="001C2116"/>
    <w:rsid w:val="001C466A"/>
    <w:rsid w:val="001C527B"/>
    <w:rsid w:val="001D3A6A"/>
    <w:rsid w:val="001D5193"/>
    <w:rsid w:val="001D5C23"/>
    <w:rsid w:val="001D7A14"/>
    <w:rsid w:val="001E16FD"/>
    <w:rsid w:val="001E4185"/>
    <w:rsid w:val="001E53EF"/>
    <w:rsid w:val="001E5788"/>
    <w:rsid w:val="001E5855"/>
    <w:rsid w:val="001E5DDC"/>
    <w:rsid w:val="001F21F0"/>
    <w:rsid w:val="001F4C07"/>
    <w:rsid w:val="001F578D"/>
    <w:rsid w:val="002008CE"/>
    <w:rsid w:val="00201366"/>
    <w:rsid w:val="00202C90"/>
    <w:rsid w:val="00203F79"/>
    <w:rsid w:val="002054CE"/>
    <w:rsid w:val="002054F1"/>
    <w:rsid w:val="00207043"/>
    <w:rsid w:val="002100EA"/>
    <w:rsid w:val="00210FFC"/>
    <w:rsid w:val="00216E2B"/>
    <w:rsid w:val="002176BF"/>
    <w:rsid w:val="00217CA4"/>
    <w:rsid w:val="00220AEA"/>
    <w:rsid w:val="00222430"/>
    <w:rsid w:val="00223740"/>
    <w:rsid w:val="00223EC6"/>
    <w:rsid w:val="002256DD"/>
    <w:rsid w:val="00226954"/>
    <w:rsid w:val="002315C3"/>
    <w:rsid w:val="002321B6"/>
    <w:rsid w:val="0023553B"/>
    <w:rsid w:val="0024232D"/>
    <w:rsid w:val="00245A3F"/>
    <w:rsid w:val="002502F2"/>
    <w:rsid w:val="002508C3"/>
    <w:rsid w:val="00252B00"/>
    <w:rsid w:val="00253549"/>
    <w:rsid w:val="00256921"/>
    <w:rsid w:val="00257142"/>
    <w:rsid w:val="0025736B"/>
    <w:rsid w:val="002629A3"/>
    <w:rsid w:val="002641E1"/>
    <w:rsid w:val="00265660"/>
    <w:rsid w:val="00267D18"/>
    <w:rsid w:val="002715C3"/>
    <w:rsid w:val="002720CA"/>
    <w:rsid w:val="00273CED"/>
    <w:rsid w:val="002752C0"/>
    <w:rsid w:val="00281215"/>
    <w:rsid w:val="00282DA5"/>
    <w:rsid w:val="0028498A"/>
    <w:rsid w:val="002857FF"/>
    <w:rsid w:val="002868E2"/>
    <w:rsid w:val="002869C3"/>
    <w:rsid w:val="0028738E"/>
    <w:rsid w:val="002914C6"/>
    <w:rsid w:val="002936E4"/>
    <w:rsid w:val="00294E44"/>
    <w:rsid w:val="002959FD"/>
    <w:rsid w:val="00296B88"/>
    <w:rsid w:val="00297080"/>
    <w:rsid w:val="0029735F"/>
    <w:rsid w:val="002A1493"/>
    <w:rsid w:val="002A34BD"/>
    <w:rsid w:val="002A371B"/>
    <w:rsid w:val="002A41E5"/>
    <w:rsid w:val="002A6128"/>
    <w:rsid w:val="002A75E1"/>
    <w:rsid w:val="002A7882"/>
    <w:rsid w:val="002B0EC7"/>
    <w:rsid w:val="002B3AC2"/>
    <w:rsid w:val="002B4C8C"/>
    <w:rsid w:val="002C1965"/>
    <w:rsid w:val="002C4720"/>
    <w:rsid w:val="002C51CD"/>
    <w:rsid w:val="002C74CA"/>
    <w:rsid w:val="002D26EC"/>
    <w:rsid w:val="002D3ABB"/>
    <w:rsid w:val="002D6237"/>
    <w:rsid w:val="002D6828"/>
    <w:rsid w:val="002D685E"/>
    <w:rsid w:val="002D720B"/>
    <w:rsid w:val="002D7902"/>
    <w:rsid w:val="002E1308"/>
    <w:rsid w:val="002E497C"/>
    <w:rsid w:val="002E610A"/>
    <w:rsid w:val="002E7431"/>
    <w:rsid w:val="002F24BE"/>
    <w:rsid w:val="002F301E"/>
    <w:rsid w:val="002F6003"/>
    <w:rsid w:val="002F662A"/>
    <w:rsid w:val="002F6B02"/>
    <w:rsid w:val="002F744D"/>
    <w:rsid w:val="00303DE6"/>
    <w:rsid w:val="00305407"/>
    <w:rsid w:val="00305A7C"/>
    <w:rsid w:val="00307B62"/>
    <w:rsid w:val="00310124"/>
    <w:rsid w:val="00310157"/>
    <w:rsid w:val="003101F9"/>
    <w:rsid w:val="00311AC6"/>
    <w:rsid w:val="0031643E"/>
    <w:rsid w:val="00316DB2"/>
    <w:rsid w:val="0032129B"/>
    <w:rsid w:val="003238F2"/>
    <w:rsid w:val="00326C6A"/>
    <w:rsid w:val="00327AF1"/>
    <w:rsid w:val="00330D3E"/>
    <w:rsid w:val="00331855"/>
    <w:rsid w:val="00331D49"/>
    <w:rsid w:val="00337CB9"/>
    <w:rsid w:val="00342EB2"/>
    <w:rsid w:val="0034398A"/>
    <w:rsid w:val="00347320"/>
    <w:rsid w:val="003504FC"/>
    <w:rsid w:val="00350B95"/>
    <w:rsid w:val="003544FB"/>
    <w:rsid w:val="003550E0"/>
    <w:rsid w:val="00357146"/>
    <w:rsid w:val="00361385"/>
    <w:rsid w:val="00361BFB"/>
    <w:rsid w:val="00361DC4"/>
    <w:rsid w:val="00365D63"/>
    <w:rsid w:val="00366232"/>
    <w:rsid w:val="003672BA"/>
    <w:rsid w:val="0036793B"/>
    <w:rsid w:val="003716AE"/>
    <w:rsid w:val="00372458"/>
    <w:rsid w:val="00372682"/>
    <w:rsid w:val="0037404C"/>
    <w:rsid w:val="00375533"/>
    <w:rsid w:val="00376CC5"/>
    <w:rsid w:val="0037781C"/>
    <w:rsid w:val="00381D34"/>
    <w:rsid w:val="00384D0C"/>
    <w:rsid w:val="0038502F"/>
    <w:rsid w:val="00387703"/>
    <w:rsid w:val="00387F29"/>
    <w:rsid w:val="00390255"/>
    <w:rsid w:val="00390570"/>
    <w:rsid w:val="00391ED4"/>
    <w:rsid w:val="003938B3"/>
    <w:rsid w:val="0039421C"/>
    <w:rsid w:val="00394A6E"/>
    <w:rsid w:val="00395343"/>
    <w:rsid w:val="00395C0C"/>
    <w:rsid w:val="0039693B"/>
    <w:rsid w:val="003972BC"/>
    <w:rsid w:val="003A387F"/>
    <w:rsid w:val="003A5490"/>
    <w:rsid w:val="003A628E"/>
    <w:rsid w:val="003A6A9A"/>
    <w:rsid w:val="003A767A"/>
    <w:rsid w:val="003B1F59"/>
    <w:rsid w:val="003B2B94"/>
    <w:rsid w:val="003C0F15"/>
    <w:rsid w:val="003C4D3B"/>
    <w:rsid w:val="003C53F4"/>
    <w:rsid w:val="003C7631"/>
    <w:rsid w:val="003D0C1F"/>
    <w:rsid w:val="003D173F"/>
    <w:rsid w:val="003D20F4"/>
    <w:rsid w:val="003D2F2D"/>
    <w:rsid w:val="003E087D"/>
    <w:rsid w:val="003E140B"/>
    <w:rsid w:val="003E3715"/>
    <w:rsid w:val="003E5415"/>
    <w:rsid w:val="003E5E89"/>
    <w:rsid w:val="003F0F56"/>
    <w:rsid w:val="003F28CB"/>
    <w:rsid w:val="003F2CA7"/>
    <w:rsid w:val="003F4556"/>
    <w:rsid w:val="003F5215"/>
    <w:rsid w:val="003F6357"/>
    <w:rsid w:val="003F6E77"/>
    <w:rsid w:val="00401590"/>
    <w:rsid w:val="00401799"/>
    <w:rsid w:val="00402546"/>
    <w:rsid w:val="00402D5A"/>
    <w:rsid w:val="0040374C"/>
    <w:rsid w:val="004038E6"/>
    <w:rsid w:val="00404718"/>
    <w:rsid w:val="004077EA"/>
    <w:rsid w:val="00410E72"/>
    <w:rsid w:val="00411301"/>
    <w:rsid w:val="0041558B"/>
    <w:rsid w:val="00416B2B"/>
    <w:rsid w:val="004174E3"/>
    <w:rsid w:val="0042030A"/>
    <w:rsid w:val="00422C94"/>
    <w:rsid w:val="004246E5"/>
    <w:rsid w:val="00424DBD"/>
    <w:rsid w:val="00425031"/>
    <w:rsid w:val="004254F6"/>
    <w:rsid w:val="004257E4"/>
    <w:rsid w:val="00425C91"/>
    <w:rsid w:val="004262F0"/>
    <w:rsid w:val="00430B21"/>
    <w:rsid w:val="00430CEB"/>
    <w:rsid w:val="00431486"/>
    <w:rsid w:val="00431CAF"/>
    <w:rsid w:val="004325C2"/>
    <w:rsid w:val="004338AC"/>
    <w:rsid w:val="0043515F"/>
    <w:rsid w:val="0043533C"/>
    <w:rsid w:val="00440A42"/>
    <w:rsid w:val="00441AB0"/>
    <w:rsid w:val="0044243D"/>
    <w:rsid w:val="00442CF7"/>
    <w:rsid w:val="00443737"/>
    <w:rsid w:val="004438D9"/>
    <w:rsid w:val="004438E4"/>
    <w:rsid w:val="00445594"/>
    <w:rsid w:val="00447044"/>
    <w:rsid w:val="004478D5"/>
    <w:rsid w:val="004537D7"/>
    <w:rsid w:val="00455B5A"/>
    <w:rsid w:val="00455C07"/>
    <w:rsid w:val="004561C1"/>
    <w:rsid w:val="00456BF9"/>
    <w:rsid w:val="00456E2D"/>
    <w:rsid w:val="004609B7"/>
    <w:rsid w:val="004623FE"/>
    <w:rsid w:val="00462EBF"/>
    <w:rsid w:val="004635AA"/>
    <w:rsid w:val="00463E3D"/>
    <w:rsid w:val="004645AE"/>
    <w:rsid w:val="00465410"/>
    <w:rsid w:val="0046628C"/>
    <w:rsid w:val="004717B6"/>
    <w:rsid w:val="0047194E"/>
    <w:rsid w:val="004727D9"/>
    <w:rsid w:val="00474CA0"/>
    <w:rsid w:val="0047746E"/>
    <w:rsid w:val="00477A89"/>
    <w:rsid w:val="00480783"/>
    <w:rsid w:val="00481AB4"/>
    <w:rsid w:val="004840A3"/>
    <w:rsid w:val="00484B49"/>
    <w:rsid w:val="004864ED"/>
    <w:rsid w:val="00487C43"/>
    <w:rsid w:val="004901A2"/>
    <w:rsid w:val="00490A4F"/>
    <w:rsid w:val="00493786"/>
    <w:rsid w:val="00493A2B"/>
    <w:rsid w:val="00493CB8"/>
    <w:rsid w:val="0049739E"/>
    <w:rsid w:val="004A0BB0"/>
    <w:rsid w:val="004A2DDB"/>
    <w:rsid w:val="004A2E2F"/>
    <w:rsid w:val="004A69E5"/>
    <w:rsid w:val="004B1AFC"/>
    <w:rsid w:val="004B6C01"/>
    <w:rsid w:val="004B730B"/>
    <w:rsid w:val="004B7695"/>
    <w:rsid w:val="004B7AD6"/>
    <w:rsid w:val="004C0E88"/>
    <w:rsid w:val="004C1503"/>
    <w:rsid w:val="004C2A56"/>
    <w:rsid w:val="004C41FB"/>
    <w:rsid w:val="004C43E6"/>
    <w:rsid w:val="004C51CB"/>
    <w:rsid w:val="004D0D20"/>
    <w:rsid w:val="004D3E33"/>
    <w:rsid w:val="004D53B3"/>
    <w:rsid w:val="004D5BBD"/>
    <w:rsid w:val="004D5BCC"/>
    <w:rsid w:val="004D6694"/>
    <w:rsid w:val="004E0A07"/>
    <w:rsid w:val="004E1DED"/>
    <w:rsid w:val="004E2191"/>
    <w:rsid w:val="004E25C7"/>
    <w:rsid w:val="004E6914"/>
    <w:rsid w:val="004F2103"/>
    <w:rsid w:val="004F317E"/>
    <w:rsid w:val="004F38DB"/>
    <w:rsid w:val="004F3DAC"/>
    <w:rsid w:val="004F44F5"/>
    <w:rsid w:val="004F6FED"/>
    <w:rsid w:val="00500395"/>
    <w:rsid w:val="00500A15"/>
    <w:rsid w:val="0050716C"/>
    <w:rsid w:val="00511B71"/>
    <w:rsid w:val="00513024"/>
    <w:rsid w:val="005156CF"/>
    <w:rsid w:val="00521C30"/>
    <w:rsid w:val="00523E81"/>
    <w:rsid w:val="00524E19"/>
    <w:rsid w:val="005250F2"/>
    <w:rsid w:val="00526289"/>
    <w:rsid w:val="0052758E"/>
    <w:rsid w:val="005277A9"/>
    <w:rsid w:val="00532A3C"/>
    <w:rsid w:val="00537AE3"/>
    <w:rsid w:val="00543C40"/>
    <w:rsid w:val="005458A5"/>
    <w:rsid w:val="0054666E"/>
    <w:rsid w:val="00546D69"/>
    <w:rsid w:val="00550447"/>
    <w:rsid w:val="00555427"/>
    <w:rsid w:val="00555C8F"/>
    <w:rsid w:val="0056107E"/>
    <w:rsid w:val="00561E56"/>
    <w:rsid w:val="00563E6B"/>
    <w:rsid w:val="00564EFA"/>
    <w:rsid w:val="005652DA"/>
    <w:rsid w:val="00567086"/>
    <w:rsid w:val="00567B2C"/>
    <w:rsid w:val="00574A7C"/>
    <w:rsid w:val="00575711"/>
    <w:rsid w:val="005845A5"/>
    <w:rsid w:val="005860BD"/>
    <w:rsid w:val="005867AC"/>
    <w:rsid w:val="0058786D"/>
    <w:rsid w:val="0059521D"/>
    <w:rsid w:val="0059549F"/>
    <w:rsid w:val="005974DD"/>
    <w:rsid w:val="00597A87"/>
    <w:rsid w:val="005A0160"/>
    <w:rsid w:val="005A01B4"/>
    <w:rsid w:val="005A0B73"/>
    <w:rsid w:val="005A1D84"/>
    <w:rsid w:val="005A350E"/>
    <w:rsid w:val="005A3B65"/>
    <w:rsid w:val="005A409C"/>
    <w:rsid w:val="005A70EA"/>
    <w:rsid w:val="005B04ED"/>
    <w:rsid w:val="005B0C98"/>
    <w:rsid w:val="005B1CCB"/>
    <w:rsid w:val="005B4F46"/>
    <w:rsid w:val="005B6EE5"/>
    <w:rsid w:val="005C1150"/>
    <w:rsid w:val="005C1A52"/>
    <w:rsid w:val="005C3963"/>
    <w:rsid w:val="005C5D0C"/>
    <w:rsid w:val="005C632A"/>
    <w:rsid w:val="005C666B"/>
    <w:rsid w:val="005C768D"/>
    <w:rsid w:val="005C78AB"/>
    <w:rsid w:val="005C7A35"/>
    <w:rsid w:val="005C7E22"/>
    <w:rsid w:val="005D1840"/>
    <w:rsid w:val="005D19CB"/>
    <w:rsid w:val="005D2894"/>
    <w:rsid w:val="005D2C3F"/>
    <w:rsid w:val="005D2E4B"/>
    <w:rsid w:val="005D35E4"/>
    <w:rsid w:val="005D6E07"/>
    <w:rsid w:val="005D7343"/>
    <w:rsid w:val="005D7910"/>
    <w:rsid w:val="005D796C"/>
    <w:rsid w:val="005E2EBC"/>
    <w:rsid w:val="005E3195"/>
    <w:rsid w:val="005E59F5"/>
    <w:rsid w:val="005E64D3"/>
    <w:rsid w:val="005F44D5"/>
    <w:rsid w:val="005F676A"/>
    <w:rsid w:val="005F6BFE"/>
    <w:rsid w:val="005F70C0"/>
    <w:rsid w:val="005F72EC"/>
    <w:rsid w:val="005F7B51"/>
    <w:rsid w:val="00605B14"/>
    <w:rsid w:val="00606587"/>
    <w:rsid w:val="00606F58"/>
    <w:rsid w:val="006072F5"/>
    <w:rsid w:val="0061040A"/>
    <w:rsid w:val="00612B93"/>
    <w:rsid w:val="006137B2"/>
    <w:rsid w:val="00617A32"/>
    <w:rsid w:val="00617B15"/>
    <w:rsid w:val="00620087"/>
    <w:rsid w:val="0062154F"/>
    <w:rsid w:val="006216F7"/>
    <w:rsid w:val="00622B92"/>
    <w:rsid w:val="00622DA4"/>
    <w:rsid w:val="00622FA9"/>
    <w:rsid w:val="00623CCD"/>
    <w:rsid w:val="00624FB4"/>
    <w:rsid w:val="006261F6"/>
    <w:rsid w:val="00627684"/>
    <w:rsid w:val="006313D6"/>
    <w:rsid w:val="00631A8C"/>
    <w:rsid w:val="00631C3D"/>
    <w:rsid w:val="00633BA4"/>
    <w:rsid w:val="00636EB9"/>
    <w:rsid w:val="00640603"/>
    <w:rsid w:val="00640E7B"/>
    <w:rsid w:val="00641DB2"/>
    <w:rsid w:val="00643ED5"/>
    <w:rsid w:val="00646D40"/>
    <w:rsid w:val="00646F7B"/>
    <w:rsid w:val="00651CA2"/>
    <w:rsid w:val="00653D60"/>
    <w:rsid w:val="00654226"/>
    <w:rsid w:val="00655657"/>
    <w:rsid w:val="00660D05"/>
    <w:rsid w:val="006643F7"/>
    <w:rsid w:val="006656E4"/>
    <w:rsid w:val="00671B06"/>
    <w:rsid w:val="00671D9A"/>
    <w:rsid w:val="006729E2"/>
    <w:rsid w:val="00673952"/>
    <w:rsid w:val="00673BC0"/>
    <w:rsid w:val="00675B1D"/>
    <w:rsid w:val="00676A0D"/>
    <w:rsid w:val="00677797"/>
    <w:rsid w:val="00680613"/>
    <w:rsid w:val="00680BA4"/>
    <w:rsid w:val="00681821"/>
    <w:rsid w:val="00686C9D"/>
    <w:rsid w:val="00687C0B"/>
    <w:rsid w:val="00691288"/>
    <w:rsid w:val="0069247B"/>
    <w:rsid w:val="00692B59"/>
    <w:rsid w:val="0069328D"/>
    <w:rsid w:val="006935CC"/>
    <w:rsid w:val="00694962"/>
    <w:rsid w:val="00695B32"/>
    <w:rsid w:val="00696782"/>
    <w:rsid w:val="00697739"/>
    <w:rsid w:val="006A3BCD"/>
    <w:rsid w:val="006A485D"/>
    <w:rsid w:val="006A6666"/>
    <w:rsid w:val="006A6AD0"/>
    <w:rsid w:val="006B1693"/>
    <w:rsid w:val="006B259F"/>
    <w:rsid w:val="006B2D5B"/>
    <w:rsid w:val="006B6668"/>
    <w:rsid w:val="006B6F8E"/>
    <w:rsid w:val="006B7D14"/>
    <w:rsid w:val="006C10F8"/>
    <w:rsid w:val="006C228A"/>
    <w:rsid w:val="006C2609"/>
    <w:rsid w:val="006C3358"/>
    <w:rsid w:val="006C4B42"/>
    <w:rsid w:val="006C4E83"/>
    <w:rsid w:val="006C5D04"/>
    <w:rsid w:val="006C7569"/>
    <w:rsid w:val="006C7587"/>
    <w:rsid w:val="006D2659"/>
    <w:rsid w:val="006D41E2"/>
    <w:rsid w:val="006D4DBC"/>
    <w:rsid w:val="006D5B93"/>
    <w:rsid w:val="006D6095"/>
    <w:rsid w:val="006D6F61"/>
    <w:rsid w:val="006D74C4"/>
    <w:rsid w:val="006D783F"/>
    <w:rsid w:val="006E13AB"/>
    <w:rsid w:val="006E1B9F"/>
    <w:rsid w:val="006F31F4"/>
    <w:rsid w:val="006F557E"/>
    <w:rsid w:val="006F763F"/>
    <w:rsid w:val="007005AB"/>
    <w:rsid w:val="0070616D"/>
    <w:rsid w:val="00707F8F"/>
    <w:rsid w:val="007110E4"/>
    <w:rsid w:val="00711287"/>
    <w:rsid w:val="00711766"/>
    <w:rsid w:val="00711B27"/>
    <w:rsid w:val="00711C12"/>
    <w:rsid w:val="007121D1"/>
    <w:rsid w:val="00724DE4"/>
    <w:rsid w:val="007252C8"/>
    <w:rsid w:val="00725A7D"/>
    <w:rsid w:val="00725C11"/>
    <w:rsid w:val="00726E6D"/>
    <w:rsid w:val="0073085C"/>
    <w:rsid w:val="007310DB"/>
    <w:rsid w:val="00731730"/>
    <w:rsid w:val="00733784"/>
    <w:rsid w:val="007347D8"/>
    <w:rsid w:val="00737EEC"/>
    <w:rsid w:val="00740030"/>
    <w:rsid w:val="00742184"/>
    <w:rsid w:val="00743327"/>
    <w:rsid w:val="007458DE"/>
    <w:rsid w:val="00746505"/>
    <w:rsid w:val="007472B2"/>
    <w:rsid w:val="007503AA"/>
    <w:rsid w:val="0075268F"/>
    <w:rsid w:val="00755BF3"/>
    <w:rsid w:val="00760617"/>
    <w:rsid w:val="00760E8E"/>
    <w:rsid w:val="00761E27"/>
    <w:rsid w:val="00763DF9"/>
    <w:rsid w:val="007653EB"/>
    <w:rsid w:val="007665E2"/>
    <w:rsid w:val="00766B74"/>
    <w:rsid w:val="00771DC2"/>
    <w:rsid w:val="00772DDC"/>
    <w:rsid w:val="00774BFB"/>
    <w:rsid w:val="00775F10"/>
    <w:rsid w:val="00776AEB"/>
    <w:rsid w:val="007806D6"/>
    <w:rsid w:val="007847E9"/>
    <w:rsid w:val="0078482A"/>
    <w:rsid w:val="007862A1"/>
    <w:rsid w:val="007867B2"/>
    <w:rsid w:val="00786F95"/>
    <w:rsid w:val="007902EC"/>
    <w:rsid w:val="00790BB3"/>
    <w:rsid w:val="00792043"/>
    <w:rsid w:val="00792887"/>
    <w:rsid w:val="00794AAD"/>
    <w:rsid w:val="00795537"/>
    <w:rsid w:val="00795D7B"/>
    <w:rsid w:val="00795FD0"/>
    <w:rsid w:val="0079753F"/>
    <w:rsid w:val="00797EDD"/>
    <w:rsid w:val="00797FFA"/>
    <w:rsid w:val="007A3D5B"/>
    <w:rsid w:val="007A42E2"/>
    <w:rsid w:val="007A4B2A"/>
    <w:rsid w:val="007A65B0"/>
    <w:rsid w:val="007A6EC2"/>
    <w:rsid w:val="007A7AAF"/>
    <w:rsid w:val="007B0322"/>
    <w:rsid w:val="007B1109"/>
    <w:rsid w:val="007B2D17"/>
    <w:rsid w:val="007B5347"/>
    <w:rsid w:val="007B786A"/>
    <w:rsid w:val="007C078C"/>
    <w:rsid w:val="007C0ACB"/>
    <w:rsid w:val="007C0E3F"/>
    <w:rsid w:val="007C1E65"/>
    <w:rsid w:val="007C206C"/>
    <w:rsid w:val="007C2AD2"/>
    <w:rsid w:val="007C2F2D"/>
    <w:rsid w:val="007C3D68"/>
    <w:rsid w:val="007C5729"/>
    <w:rsid w:val="007C77C7"/>
    <w:rsid w:val="007D0926"/>
    <w:rsid w:val="007D157C"/>
    <w:rsid w:val="007D249D"/>
    <w:rsid w:val="007D3021"/>
    <w:rsid w:val="007D52DE"/>
    <w:rsid w:val="007D6E10"/>
    <w:rsid w:val="007E103B"/>
    <w:rsid w:val="007E1698"/>
    <w:rsid w:val="007E2665"/>
    <w:rsid w:val="007E5627"/>
    <w:rsid w:val="007E6036"/>
    <w:rsid w:val="007F1C98"/>
    <w:rsid w:val="007F2987"/>
    <w:rsid w:val="007F2EC0"/>
    <w:rsid w:val="007F6827"/>
    <w:rsid w:val="008007B9"/>
    <w:rsid w:val="00802371"/>
    <w:rsid w:val="00804314"/>
    <w:rsid w:val="008045C3"/>
    <w:rsid w:val="008075E6"/>
    <w:rsid w:val="008078E9"/>
    <w:rsid w:val="00807E52"/>
    <w:rsid w:val="00811147"/>
    <w:rsid w:val="008111E4"/>
    <w:rsid w:val="0081301C"/>
    <w:rsid w:val="008141B8"/>
    <w:rsid w:val="00815E8E"/>
    <w:rsid w:val="00817DD6"/>
    <w:rsid w:val="0082553F"/>
    <w:rsid w:val="00826D04"/>
    <w:rsid w:val="0082789C"/>
    <w:rsid w:val="00832AEE"/>
    <w:rsid w:val="00832EC4"/>
    <w:rsid w:val="008330B7"/>
    <w:rsid w:val="00834715"/>
    <w:rsid w:val="00835C12"/>
    <w:rsid w:val="008367D6"/>
    <w:rsid w:val="008417F7"/>
    <w:rsid w:val="00844706"/>
    <w:rsid w:val="00845233"/>
    <w:rsid w:val="00847AE4"/>
    <w:rsid w:val="00850832"/>
    <w:rsid w:val="00850D5C"/>
    <w:rsid w:val="00851DFE"/>
    <w:rsid w:val="0085219B"/>
    <w:rsid w:val="008564F6"/>
    <w:rsid w:val="00856B37"/>
    <w:rsid w:val="008629A9"/>
    <w:rsid w:val="00865D18"/>
    <w:rsid w:val="00865FF9"/>
    <w:rsid w:val="0086678A"/>
    <w:rsid w:val="00873457"/>
    <w:rsid w:val="00877567"/>
    <w:rsid w:val="00877BC1"/>
    <w:rsid w:val="00877E64"/>
    <w:rsid w:val="00881AFC"/>
    <w:rsid w:val="0088434B"/>
    <w:rsid w:val="0088513A"/>
    <w:rsid w:val="00885732"/>
    <w:rsid w:val="00885A7B"/>
    <w:rsid w:val="00887CD2"/>
    <w:rsid w:val="00887F85"/>
    <w:rsid w:val="00890DFB"/>
    <w:rsid w:val="00891949"/>
    <w:rsid w:val="00892E72"/>
    <w:rsid w:val="00893C19"/>
    <w:rsid w:val="0089425E"/>
    <w:rsid w:val="008944DA"/>
    <w:rsid w:val="00895050"/>
    <w:rsid w:val="00895EEE"/>
    <w:rsid w:val="008A0710"/>
    <w:rsid w:val="008A2A64"/>
    <w:rsid w:val="008A2D61"/>
    <w:rsid w:val="008A782E"/>
    <w:rsid w:val="008B0D66"/>
    <w:rsid w:val="008B3837"/>
    <w:rsid w:val="008B3A81"/>
    <w:rsid w:val="008B3EB1"/>
    <w:rsid w:val="008B4923"/>
    <w:rsid w:val="008B67CC"/>
    <w:rsid w:val="008C0739"/>
    <w:rsid w:val="008C0F07"/>
    <w:rsid w:val="008C11D1"/>
    <w:rsid w:val="008C1C80"/>
    <w:rsid w:val="008C3372"/>
    <w:rsid w:val="008C5433"/>
    <w:rsid w:val="008C6D3A"/>
    <w:rsid w:val="008C6E0C"/>
    <w:rsid w:val="008C6FE8"/>
    <w:rsid w:val="008D1AD2"/>
    <w:rsid w:val="008D22F0"/>
    <w:rsid w:val="008D2DB5"/>
    <w:rsid w:val="008D3182"/>
    <w:rsid w:val="008D3FA2"/>
    <w:rsid w:val="008D512B"/>
    <w:rsid w:val="008D6C8D"/>
    <w:rsid w:val="008D7627"/>
    <w:rsid w:val="008E00FB"/>
    <w:rsid w:val="008E1A53"/>
    <w:rsid w:val="008E250C"/>
    <w:rsid w:val="008E2B54"/>
    <w:rsid w:val="008E3A27"/>
    <w:rsid w:val="008E4404"/>
    <w:rsid w:val="008E4A5A"/>
    <w:rsid w:val="008E58C7"/>
    <w:rsid w:val="008E7019"/>
    <w:rsid w:val="008E788E"/>
    <w:rsid w:val="008F135C"/>
    <w:rsid w:val="008F16D8"/>
    <w:rsid w:val="008F4C94"/>
    <w:rsid w:val="008F5019"/>
    <w:rsid w:val="008F5021"/>
    <w:rsid w:val="008F5743"/>
    <w:rsid w:val="008F5CCD"/>
    <w:rsid w:val="008F6294"/>
    <w:rsid w:val="008F7C4E"/>
    <w:rsid w:val="00901704"/>
    <w:rsid w:val="00901E59"/>
    <w:rsid w:val="00905D07"/>
    <w:rsid w:val="00906092"/>
    <w:rsid w:val="0090637B"/>
    <w:rsid w:val="00912BCA"/>
    <w:rsid w:val="0091395E"/>
    <w:rsid w:val="00913D3A"/>
    <w:rsid w:val="00915984"/>
    <w:rsid w:val="00920C4A"/>
    <w:rsid w:val="00920C91"/>
    <w:rsid w:val="009233C0"/>
    <w:rsid w:val="009240F0"/>
    <w:rsid w:val="00926D50"/>
    <w:rsid w:val="00927B31"/>
    <w:rsid w:val="00927DB6"/>
    <w:rsid w:val="00943573"/>
    <w:rsid w:val="0094688D"/>
    <w:rsid w:val="00946A22"/>
    <w:rsid w:val="0095060A"/>
    <w:rsid w:val="0095173D"/>
    <w:rsid w:val="0095175D"/>
    <w:rsid w:val="009565C5"/>
    <w:rsid w:val="00956E91"/>
    <w:rsid w:val="00957696"/>
    <w:rsid w:val="00960B3C"/>
    <w:rsid w:val="00962E91"/>
    <w:rsid w:val="00965BA4"/>
    <w:rsid w:val="00965C0F"/>
    <w:rsid w:val="00966F78"/>
    <w:rsid w:val="00971B61"/>
    <w:rsid w:val="00972AF7"/>
    <w:rsid w:val="00976D72"/>
    <w:rsid w:val="00980C31"/>
    <w:rsid w:val="00982CAF"/>
    <w:rsid w:val="00983DD7"/>
    <w:rsid w:val="00986AEB"/>
    <w:rsid w:val="00990B09"/>
    <w:rsid w:val="00992C79"/>
    <w:rsid w:val="00993CC7"/>
    <w:rsid w:val="0099402D"/>
    <w:rsid w:val="0099509A"/>
    <w:rsid w:val="009955FF"/>
    <w:rsid w:val="00996D4D"/>
    <w:rsid w:val="009A0451"/>
    <w:rsid w:val="009A3772"/>
    <w:rsid w:val="009A3E8E"/>
    <w:rsid w:val="009A52F7"/>
    <w:rsid w:val="009A6351"/>
    <w:rsid w:val="009B061C"/>
    <w:rsid w:val="009B36C6"/>
    <w:rsid w:val="009B56C0"/>
    <w:rsid w:val="009B6079"/>
    <w:rsid w:val="009B7AB8"/>
    <w:rsid w:val="009C06C8"/>
    <w:rsid w:val="009C0BE4"/>
    <w:rsid w:val="009C5FC1"/>
    <w:rsid w:val="009C735C"/>
    <w:rsid w:val="009C764D"/>
    <w:rsid w:val="009D0F46"/>
    <w:rsid w:val="009D259D"/>
    <w:rsid w:val="009D535F"/>
    <w:rsid w:val="009D68F4"/>
    <w:rsid w:val="009D7B85"/>
    <w:rsid w:val="009E1197"/>
    <w:rsid w:val="009E153A"/>
    <w:rsid w:val="009E28E7"/>
    <w:rsid w:val="009E63B3"/>
    <w:rsid w:val="009E6D2A"/>
    <w:rsid w:val="009E7228"/>
    <w:rsid w:val="009E7F15"/>
    <w:rsid w:val="009F0684"/>
    <w:rsid w:val="009F17F2"/>
    <w:rsid w:val="009F1FF4"/>
    <w:rsid w:val="009F36DD"/>
    <w:rsid w:val="009F5A97"/>
    <w:rsid w:val="009F7164"/>
    <w:rsid w:val="00A00A1F"/>
    <w:rsid w:val="00A0123B"/>
    <w:rsid w:val="00A01336"/>
    <w:rsid w:val="00A02C13"/>
    <w:rsid w:val="00A033B7"/>
    <w:rsid w:val="00A04311"/>
    <w:rsid w:val="00A05111"/>
    <w:rsid w:val="00A05460"/>
    <w:rsid w:val="00A1125F"/>
    <w:rsid w:val="00A13021"/>
    <w:rsid w:val="00A1379A"/>
    <w:rsid w:val="00A14AC0"/>
    <w:rsid w:val="00A16A36"/>
    <w:rsid w:val="00A174FA"/>
    <w:rsid w:val="00A20054"/>
    <w:rsid w:val="00A22DE8"/>
    <w:rsid w:val="00A24527"/>
    <w:rsid w:val="00A24D5C"/>
    <w:rsid w:val="00A259B9"/>
    <w:rsid w:val="00A26CA7"/>
    <w:rsid w:val="00A277CC"/>
    <w:rsid w:val="00A27817"/>
    <w:rsid w:val="00A307D1"/>
    <w:rsid w:val="00A370B7"/>
    <w:rsid w:val="00A372E9"/>
    <w:rsid w:val="00A50D9D"/>
    <w:rsid w:val="00A511CE"/>
    <w:rsid w:val="00A5152E"/>
    <w:rsid w:val="00A52188"/>
    <w:rsid w:val="00A521AC"/>
    <w:rsid w:val="00A53000"/>
    <w:rsid w:val="00A53178"/>
    <w:rsid w:val="00A53AF7"/>
    <w:rsid w:val="00A541EE"/>
    <w:rsid w:val="00A542CF"/>
    <w:rsid w:val="00A545C6"/>
    <w:rsid w:val="00A62C6A"/>
    <w:rsid w:val="00A652D0"/>
    <w:rsid w:val="00A65767"/>
    <w:rsid w:val="00A703A2"/>
    <w:rsid w:val="00A716AC"/>
    <w:rsid w:val="00A72E94"/>
    <w:rsid w:val="00A75F87"/>
    <w:rsid w:val="00A7600B"/>
    <w:rsid w:val="00A8080F"/>
    <w:rsid w:val="00A849BF"/>
    <w:rsid w:val="00A8586B"/>
    <w:rsid w:val="00A8616B"/>
    <w:rsid w:val="00A87299"/>
    <w:rsid w:val="00A915FD"/>
    <w:rsid w:val="00A95372"/>
    <w:rsid w:val="00A95D8B"/>
    <w:rsid w:val="00A960D9"/>
    <w:rsid w:val="00A96171"/>
    <w:rsid w:val="00AA03D6"/>
    <w:rsid w:val="00AA1C66"/>
    <w:rsid w:val="00AA3754"/>
    <w:rsid w:val="00AB16DF"/>
    <w:rsid w:val="00AB58BB"/>
    <w:rsid w:val="00AB67C9"/>
    <w:rsid w:val="00AC0270"/>
    <w:rsid w:val="00AC1CF6"/>
    <w:rsid w:val="00AC213F"/>
    <w:rsid w:val="00AC3EA3"/>
    <w:rsid w:val="00AC4A91"/>
    <w:rsid w:val="00AC5CC1"/>
    <w:rsid w:val="00AC7423"/>
    <w:rsid w:val="00AC792D"/>
    <w:rsid w:val="00AD0830"/>
    <w:rsid w:val="00AD123D"/>
    <w:rsid w:val="00AD220E"/>
    <w:rsid w:val="00AD3A42"/>
    <w:rsid w:val="00AD6256"/>
    <w:rsid w:val="00AE25E4"/>
    <w:rsid w:val="00AE3050"/>
    <w:rsid w:val="00AE3F4A"/>
    <w:rsid w:val="00AE778F"/>
    <w:rsid w:val="00AF042E"/>
    <w:rsid w:val="00AF0D43"/>
    <w:rsid w:val="00AF1A8B"/>
    <w:rsid w:val="00AF2395"/>
    <w:rsid w:val="00AF3DD4"/>
    <w:rsid w:val="00AF4275"/>
    <w:rsid w:val="00AF469B"/>
    <w:rsid w:val="00AF4F6D"/>
    <w:rsid w:val="00B0088D"/>
    <w:rsid w:val="00B00D00"/>
    <w:rsid w:val="00B016B1"/>
    <w:rsid w:val="00B02B9F"/>
    <w:rsid w:val="00B03983"/>
    <w:rsid w:val="00B03FED"/>
    <w:rsid w:val="00B043B4"/>
    <w:rsid w:val="00B04482"/>
    <w:rsid w:val="00B0553F"/>
    <w:rsid w:val="00B05B6A"/>
    <w:rsid w:val="00B133EA"/>
    <w:rsid w:val="00B137E6"/>
    <w:rsid w:val="00B1389D"/>
    <w:rsid w:val="00B13B0A"/>
    <w:rsid w:val="00B213BA"/>
    <w:rsid w:val="00B251AD"/>
    <w:rsid w:val="00B264C4"/>
    <w:rsid w:val="00B27D60"/>
    <w:rsid w:val="00B30785"/>
    <w:rsid w:val="00B31778"/>
    <w:rsid w:val="00B32F53"/>
    <w:rsid w:val="00B33F99"/>
    <w:rsid w:val="00B35DC3"/>
    <w:rsid w:val="00B41C5F"/>
    <w:rsid w:val="00B443D0"/>
    <w:rsid w:val="00B4619B"/>
    <w:rsid w:val="00B50881"/>
    <w:rsid w:val="00B5166D"/>
    <w:rsid w:val="00B51890"/>
    <w:rsid w:val="00B53BE3"/>
    <w:rsid w:val="00B572E1"/>
    <w:rsid w:val="00B643CE"/>
    <w:rsid w:val="00B657B8"/>
    <w:rsid w:val="00B66EFF"/>
    <w:rsid w:val="00B67E9F"/>
    <w:rsid w:val="00B704C0"/>
    <w:rsid w:val="00B70CAB"/>
    <w:rsid w:val="00B7303F"/>
    <w:rsid w:val="00B74636"/>
    <w:rsid w:val="00B75C7D"/>
    <w:rsid w:val="00B764EE"/>
    <w:rsid w:val="00B8062B"/>
    <w:rsid w:val="00B8093A"/>
    <w:rsid w:val="00B8093E"/>
    <w:rsid w:val="00B83080"/>
    <w:rsid w:val="00B83EBF"/>
    <w:rsid w:val="00B84920"/>
    <w:rsid w:val="00B8556A"/>
    <w:rsid w:val="00B86A7C"/>
    <w:rsid w:val="00B92C29"/>
    <w:rsid w:val="00B932D9"/>
    <w:rsid w:val="00B93BA8"/>
    <w:rsid w:val="00B95A97"/>
    <w:rsid w:val="00B96FE2"/>
    <w:rsid w:val="00BA0254"/>
    <w:rsid w:val="00BA1E25"/>
    <w:rsid w:val="00BA6010"/>
    <w:rsid w:val="00BB0349"/>
    <w:rsid w:val="00BB08D5"/>
    <w:rsid w:val="00BB4E4E"/>
    <w:rsid w:val="00BB629D"/>
    <w:rsid w:val="00BC1484"/>
    <w:rsid w:val="00BC32D3"/>
    <w:rsid w:val="00BC4DEC"/>
    <w:rsid w:val="00BD0817"/>
    <w:rsid w:val="00BD2F7D"/>
    <w:rsid w:val="00BD3E7C"/>
    <w:rsid w:val="00BD493F"/>
    <w:rsid w:val="00BD54A8"/>
    <w:rsid w:val="00BD5EF5"/>
    <w:rsid w:val="00BD6B99"/>
    <w:rsid w:val="00BD7454"/>
    <w:rsid w:val="00BD76C6"/>
    <w:rsid w:val="00BD7C0E"/>
    <w:rsid w:val="00BE1794"/>
    <w:rsid w:val="00BE1E5F"/>
    <w:rsid w:val="00BE6A27"/>
    <w:rsid w:val="00BF1836"/>
    <w:rsid w:val="00BF6370"/>
    <w:rsid w:val="00BF70AA"/>
    <w:rsid w:val="00BF7282"/>
    <w:rsid w:val="00C01107"/>
    <w:rsid w:val="00C0111D"/>
    <w:rsid w:val="00C012A3"/>
    <w:rsid w:val="00C04E66"/>
    <w:rsid w:val="00C10CA3"/>
    <w:rsid w:val="00C1226E"/>
    <w:rsid w:val="00C1285E"/>
    <w:rsid w:val="00C129F1"/>
    <w:rsid w:val="00C12E03"/>
    <w:rsid w:val="00C146F6"/>
    <w:rsid w:val="00C14C51"/>
    <w:rsid w:val="00C15216"/>
    <w:rsid w:val="00C155D4"/>
    <w:rsid w:val="00C167A1"/>
    <w:rsid w:val="00C16F19"/>
    <w:rsid w:val="00C1721B"/>
    <w:rsid w:val="00C23AFA"/>
    <w:rsid w:val="00C23E70"/>
    <w:rsid w:val="00C25E34"/>
    <w:rsid w:val="00C2652C"/>
    <w:rsid w:val="00C3113B"/>
    <w:rsid w:val="00C35468"/>
    <w:rsid w:val="00C35771"/>
    <w:rsid w:val="00C37362"/>
    <w:rsid w:val="00C374D8"/>
    <w:rsid w:val="00C42057"/>
    <w:rsid w:val="00C4231C"/>
    <w:rsid w:val="00C426F3"/>
    <w:rsid w:val="00C42F8C"/>
    <w:rsid w:val="00C43B3C"/>
    <w:rsid w:val="00C47D16"/>
    <w:rsid w:val="00C50FA1"/>
    <w:rsid w:val="00C52710"/>
    <w:rsid w:val="00C52A7B"/>
    <w:rsid w:val="00C533E7"/>
    <w:rsid w:val="00C53B22"/>
    <w:rsid w:val="00C5666B"/>
    <w:rsid w:val="00C62A44"/>
    <w:rsid w:val="00C6324C"/>
    <w:rsid w:val="00C64D66"/>
    <w:rsid w:val="00C651A0"/>
    <w:rsid w:val="00C65374"/>
    <w:rsid w:val="00C679AA"/>
    <w:rsid w:val="00C713E5"/>
    <w:rsid w:val="00C724CF"/>
    <w:rsid w:val="00C72C31"/>
    <w:rsid w:val="00C75209"/>
    <w:rsid w:val="00C75972"/>
    <w:rsid w:val="00C77270"/>
    <w:rsid w:val="00C82792"/>
    <w:rsid w:val="00C845DA"/>
    <w:rsid w:val="00C86B03"/>
    <w:rsid w:val="00C90AC8"/>
    <w:rsid w:val="00C91042"/>
    <w:rsid w:val="00C9324C"/>
    <w:rsid w:val="00C93AF0"/>
    <w:rsid w:val="00C948FD"/>
    <w:rsid w:val="00C94BF1"/>
    <w:rsid w:val="00C94E3A"/>
    <w:rsid w:val="00C9594F"/>
    <w:rsid w:val="00CA4327"/>
    <w:rsid w:val="00CA4ED2"/>
    <w:rsid w:val="00CA5669"/>
    <w:rsid w:val="00CA5BC1"/>
    <w:rsid w:val="00CA6274"/>
    <w:rsid w:val="00CA6FB6"/>
    <w:rsid w:val="00CA7535"/>
    <w:rsid w:val="00CA765F"/>
    <w:rsid w:val="00CB43D5"/>
    <w:rsid w:val="00CB4AB7"/>
    <w:rsid w:val="00CB57A5"/>
    <w:rsid w:val="00CC051B"/>
    <w:rsid w:val="00CC1E40"/>
    <w:rsid w:val="00CC292C"/>
    <w:rsid w:val="00CC4978"/>
    <w:rsid w:val="00CC510F"/>
    <w:rsid w:val="00CC5118"/>
    <w:rsid w:val="00CC76F9"/>
    <w:rsid w:val="00CD066B"/>
    <w:rsid w:val="00CD0A86"/>
    <w:rsid w:val="00CD2522"/>
    <w:rsid w:val="00CD2FEB"/>
    <w:rsid w:val="00CD3A89"/>
    <w:rsid w:val="00CD46E2"/>
    <w:rsid w:val="00CD6D5D"/>
    <w:rsid w:val="00CD6DC4"/>
    <w:rsid w:val="00CE022F"/>
    <w:rsid w:val="00CE1301"/>
    <w:rsid w:val="00CE2360"/>
    <w:rsid w:val="00CE3788"/>
    <w:rsid w:val="00CE38DC"/>
    <w:rsid w:val="00CE3BF6"/>
    <w:rsid w:val="00CE5EB2"/>
    <w:rsid w:val="00CE6755"/>
    <w:rsid w:val="00CE72A4"/>
    <w:rsid w:val="00CE762E"/>
    <w:rsid w:val="00CF0A39"/>
    <w:rsid w:val="00CF2889"/>
    <w:rsid w:val="00CF3A79"/>
    <w:rsid w:val="00CF487B"/>
    <w:rsid w:val="00CF5142"/>
    <w:rsid w:val="00CF6425"/>
    <w:rsid w:val="00CF7361"/>
    <w:rsid w:val="00D00D0B"/>
    <w:rsid w:val="00D017C7"/>
    <w:rsid w:val="00D020DB"/>
    <w:rsid w:val="00D03C32"/>
    <w:rsid w:val="00D043B5"/>
    <w:rsid w:val="00D046C2"/>
    <w:rsid w:val="00D04B69"/>
    <w:rsid w:val="00D12188"/>
    <w:rsid w:val="00D1237B"/>
    <w:rsid w:val="00D13E86"/>
    <w:rsid w:val="00D16470"/>
    <w:rsid w:val="00D1649E"/>
    <w:rsid w:val="00D207BA"/>
    <w:rsid w:val="00D21AF9"/>
    <w:rsid w:val="00D2241F"/>
    <w:rsid w:val="00D23783"/>
    <w:rsid w:val="00D26915"/>
    <w:rsid w:val="00D27BA3"/>
    <w:rsid w:val="00D304A7"/>
    <w:rsid w:val="00D31971"/>
    <w:rsid w:val="00D31B89"/>
    <w:rsid w:val="00D341BA"/>
    <w:rsid w:val="00D34E63"/>
    <w:rsid w:val="00D3625D"/>
    <w:rsid w:val="00D3659C"/>
    <w:rsid w:val="00D40591"/>
    <w:rsid w:val="00D4423E"/>
    <w:rsid w:val="00D47DEC"/>
    <w:rsid w:val="00D51C32"/>
    <w:rsid w:val="00D5222D"/>
    <w:rsid w:val="00D537FA"/>
    <w:rsid w:val="00D5547D"/>
    <w:rsid w:val="00D57AE3"/>
    <w:rsid w:val="00D60902"/>
    <w:rsid w:val="00D64D9B"/>
    <w:rsid w:val="00D651C1"/>
    <w:rsid w:val="00D6622A"/>
    <w:rsid w:val="00D67962"/>
    <w:rsid w:val="00D73F7E"/>
    <w:rsid w:val="00D73FE5"/>
    <w:rsid w:val="00D7412A"/>
    <w:rsid w:val="00D74252"/>
    <w:rsid w:val="00D74F7E"/>
    <w:rsid w:val="00D75D57"/>
    <w:rsid w:val="00D761DD"/>
    <w:rsid w:val="00D80D99"/>
    <w:rsid w:val="00D81AD9"/>
    <w:rsid w:val="00D838C8"/>
    <w:rsid w:val="00D83DF4"/>
    <w:rsid w:val="00D85F0C"/>
    <w:rsid w:val="00D919EC"/>
    <w:rsid w:val="00D91B7F"/>
    <w:rsid w:val="00D93F5A"/>
    <w:rsid w:val="00D941F6"/>
    <w:rsid w:val="00D9503C"/>
    <w:rsid w:val="00DA02F8"/>
    <w:rsid w:val="00DA06C7"/>
    <w:rsid w:val="00DA3396"/>
    <w:rsid w:val="00DA3EDB"/>
    <w:rsid w:val="00DA61A9"/>
    <w:rsid w:val="00DA744E"/>
    <w:rsid w:val="00DA7766"/>
    <w:rsid w:val="00DA77B8"/>
    <w:rsid w:val="00DB05C8"/>
    <w:rsid w:val="00DB3263"/>
    <w:rsid w:val="00DB3F97"/>
    <w:rsid w:val="00DB4294"/>
    <w:rsid w:val="00DB6A28"/>
    <w:rsid w:val="00DB76F1"/>
    <w:rsid w:val="00DC1435"/>
    <w:rsid w:val="00DC46CF"/>
    <w:rsid w:val="00DC5310"/>
    <w:rsid w:val="00DC5C94"/>
    <w:rsid w:val="00DC645D"/>
    <w:rsid w:val="00DD73EF"/>
    <w:rsid w:val="00DD7838"/>
    <w:rsid w:val="00DE0EE1"/>
    <w:rsid w:val="00DE12C1"/>
    <w:rsid w:val="00DE23E8"/>
    <w:rsid w:val="00DF2456"/>
    <w:rsid w:val="00DF32D0"/>
    <w:rsid w:val="00DF4607"/>
    <w:rsid w:val="00DF4763"/>
    <w:rsid w:val="00DF52B7"/>
    <w:rsid w:val="00DF5ACF"/>
    <w:rsid w:val="00E00FB2"/>
    <w:rsid w:val="00E0128B"/>
    <w:rsid w:val="00E0204C"/>
    <w:rsid w:val="00E02245"/>
    <w:rsid w:val="00E0226A"/>
    <w:rsid w:val="00E0332A"/>
    <w:rsid w:val="00E03FF5"/>
    <w:rsid w:val="00E06C5E"/>
    <w:rsid w:val="00E114BB"/>
    <w:rsid w:val="00E11A86"/>
    <w:rsid w:val="00E13B37"/>
    <w:rsid w:val="00E15B61"/>
    <w:rsid w:val="00E16A70"/>
    <w:rsid w:val="00E1751F"/>
    <w:rsid w:val="00E209B2"/>
    <w:rsid w:val="00E260DA"/>
    <w:rsid w:val="00E26CFD"/>
    <w:rsid w:val="00E26FB7"/>
    <w:rsid w:val="00E274F8"/>
    <w:rsid w:val="00E30325"/>
    <w:rsid w:val="00E30DAA"/>
    <w:rsid w:val="00E33613"/>
    <w:rsid w:val="00E3385E"/>
    <w:rsid w:val="00E33F4E"/>
    <w:rsid w:val="00E34570"/>
    <w:rsid w:val="00E35FD9"/>
    <w:rsid w:val="00E36735"/>
    <w:rsid w:val="00E44ADA"/>
    <w:rsid w:val="00E50EF0"/>
    <w:rsid w:val="00E52669"/>
    <w:rsid w:val="00E533A3"/>
    <w:rsid w:val="00E534A6"/>
    <w:rsid w:val="00E5488E"/>
    <w:rsid w:val="00E55A0F"/>
    <w:rsid w:val="00E64D84"/>
    <w:rsid w:val="00E64E17"/>
    <w:rsid w:val="00E73206"/>
    <w:rsid w:val="00E73470"/>
    <w:rsid w:val="00E75314"/>
    <w:rsid w:val="00E75D61"/>
    <w:rsid w:val="00E76434"/>
    <w:rsid w:val="00E76A0E"/>
    <w:rsid w:val="00E818DC"/>
    <w:rsid w:val="00E8389F"/>
    <w:rsid w:val="00E907BB"/>
    <w:rsid w:val="00E91522"/>
    <w:rsid w:val="00E97B56"/>
    <w:rsid w:val="00EA16A4"/>
    <w:rsid w:val="00EA2DE6"/>
    <w:rsid w:val="00EA38B5"/>
    <w:rsid w:val="00EA3D3C"/>
    <w:rsid w:val="00EA649B"/>
    <w:rsid w:val="00EA6D6A"/>
    <w:rsid w:val="00EB1446"/>
    <w:rsid w:val="00EB2B19"/>
    <w:rsid w:val="00EB6B57"/>
    <w:rsid w:val="00EB7139"/>
    <w:rsid w:val="00EC2F66"/>
    <w:rsid w:val="00EC35A3"/>
    <w:rsid w:val="00EC56A3"/>
    <w:rsid w:val="00EC6FB9"/>
    <w:rsid w:val="00EC7318"/>
    <w:rsid w:val="00EC7CC3"/>
    <w:rsid w:val="00ED110A"/>
    <w:rsid w:val="00ED11C2"/>
    <w:rsid w:val="00ED173E"/>
    <w:rsid w:val="00ED3FC2"/>
    <w:rsid w:val="00ED5E7A"/>
    <w:rsid w:val="00ED603F"/>
    <w:rsid w:val="00EE0C12"/>
    <w:rsid w:val="00EE1529"/>
    <w:rsid w:val="00EE41FB"/>
    <w:rsid w:val="00EE46B9"/>
    <w:rsid w:val="00EE576F"/>
    <w:rsid w:val="00EE623E"/>
    <w:rsid w:val="00EE6BBF"/>
    <w:rsid w:val="00EF2902"/>
    <w:rsid w:val="00EF342D"/>
    <w:rsid w:val="00EF6599"/>
    <w:rsid w:val="00EF7B6A"/>
    <w:rsid w:val="00F027DE"/>
    <w:rsid w:val="00F04288"/>
    <w:rsid w:val="00F07048"/>
    <w:rsid w:val="00F1417B"/>
    <w:rsid w:val="00F150B6"/>
    <w:rsid w:val="00F15182"/>
    <w:rsid w:val="00F151A2"/>
    <w:rsid w:val="00F163E0"/>
    <w:rsid w:val="00F16ACE"/>
    <w:rsid w:val="00F22691"/>
    <w:rsid w:val="00F26ECF"/>
    <w:rsid w:val="00F301B0"/>
    <w:rsid w:val="00F30B7F"/>
    <w:rsid w:val="00F30EC3"/>
    <w:rsid w:val="00F31239"/>
    <w:rsid w:val="00F3160D"/>
    <w:rsid w:val="00F32235"/>
    <w:rsid w:val="00F33DF1"/>
    <w:rsid w:val="00F34CB8"/>
    <w:rsid w:val="00F41E36"/>
    <w:rsid w:val="00F43312"/>
    <w:rsid w:val="00F44BA3"/>
    <w:rsid w:val="00F46494"/>
    <w:rsid w:val="00F465A6"/>
    <w:rsid w:val="00F46AEE"/>
    <w:rsid w:val="00F514ED"/>
    <w:rsid w:val="00F522F7"/>
    <w:rsid w:val="00F545BD"/>
    <w:rsid w:val="00F558AB"/>
    <w:rsid w:val="00F600BE"/>
    <w:rsid w:val="00F61D89"/>
    <w:rsid w:val="00F63B76"/>
    <w:rsid w:val="00F6648B"/>
    <w:rsid w:val="00F66E37"/>
    <w:rsid w:val="00F67D2D"/>
    <w:rsid w:val="00F739BE"/>
    <w:rsid w:val="00F763D6"/>
    <w:rsid w:val="00F8445C"/>
    <w:rsid w:val="00F84A0E"/>
    <w:rsid w:val="00F862F5"/>
    <w:rsid w:val="00F8663F"/>
    <w:rsid w:val="00F866EA"/>
    <w:rsid w:val="00F86ABB"/>
    <w:rsid w:val="00F86BAB"/>
    <w:rsid w:val="00F912B3"/>
    <w:rsid w:val="00F92AAE"/>
    <w:rsid w:val="00F97478"/>
    <w:rsid w:val="00F9755D"/>
    <w:rsid w:val="00FA0072"/>
    <w:rsid w:val="00FA2ACA"/>
    <w:rsid w:val="00FA3ABC"/>
    <w:rsid w:val="00FA3FE3"/>
    <w:rsid w:val="00FA47C0"/>
    <w:rsid w:val="00FA53D3"/>
    <w:rsid w:val="00FA657F"/>
    <w:rsid w:val="00FB0FBB"/>
    <w:rsid w:val="00FB2625"/>
    <w:rsid w:val="00FB26C7"/>
    <w:rsid w:val="00FB6212"/>
    <w:rsid w:val="00FB6261"/>
    <w:rsid w:val="00FC0BD1"/>
    <w:rsid w:val="00FC1F96"/>
    <w:rsid w:val="00FC4C5C"/>
    <w:rsid w:val="00FD0129"/>
    <w:rsid w:val="00FD0907"/>
    <w:rsid w:val="00FD13B4"/>
    <w:rsid w:val="00FD140A"/>
    <w:rsid w:val="00FD1E5D"/>
    <w:rsid w:val="00FD2350"/>
    <w:rsid w:val="00FD2A2C"/>
    <w:rsid w:val="00FD2C61"/>
    <w:rsid w:val="00FD316C"/>
    <w:rsid w:val="00FD3705"/>
    <w:rsid w:val="00FD432D"/>
    <w:rsid w:val="00FD5C34"/>
    <w:rsid w:val="00FD6968"/>
    <w:rsid w:val="00FD7648"/>
    <w:rsid w:val="00FE0556"/>
    <w:rsid w:val="00FE1996"/>
    <w:rsid w:val="00FE1F89"/>
    <w:rsid w:val="00FE2CFA"/>
    <w:rsid w:val="00FF19A9"/>
    <w:rsid w:val="00FF41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BA59A7"/>
  <w15:docId w15:val="{2DAD49C9-58F5-431A-9567-1BC240860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7EEC"/>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D80D99"/>
    <w:pPr>
      <w:numPr>
        <w:numId w:val="17"/>
      </w:numPr>
      <w:spacing w:before="240"/>
      <w:contextualSpacing w:val="0"/>
      <w:outlineLvl w:val="0"/>
    </w:pPr>
    <w:rPr>
      <w:b/>
    </w:rPr>
  </w:style>
  <w:style w:type="paragraph" w:styleId="Heading2">
    <w:name w:val="heading 2"/>
    <w:basedOn w:val="Heading1"/>
    <w:next w:val="Normal"/>
    <w:link w:val="Heading2Char"/>
    <w:uiPriority w:val="2"/>
    <w:qFormat/>
    <w:rsid w:val="00D80D99"/>
    <w:pPr>
      <w:numPr>
        <w:ilvl w:val="1"/>
      </w:numPr>
      <w:spacing w:after="200"/>
      <w:outlineLvl w:val="1"/>
    </w:pPr>
  </w:style>
  <w:style w:type="paragraph" w:styleId="Heading3">
    <w:name w:val="heading 3"/>
    <w:basedOn w:val="Normal"/>
    <w:next w:val="Normal"/>
    <w:link w:val="Heading3Char"/>
    <w:uiPriority w:val="2"/>
    <w:qFormat/>
    <w:rsid w:val="00D80D99"/>
    <w:pPr>
      <w:keepNext/>
      <w:keepLines/>
      <w:numPr>
        <w:ilvl w:val="2"/>
        <w:numId w:val="17"/>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D80D99"/>
    <w:pPr>
      <w:numPr>
        <w:ilvl w:val="3"/>
      </w:numPr>
      <w:outlineLvl w:val="3"/>
    </w:pPr>
    <w:rPr>
      <w:iCs/>
    </w:rPr>
  </w:style>
  <w:style w:type="paragraph" w:styleId="Heading5">
    <w:name w:val="heading 5"/>
    <w:basedOn w:val="Heading4"/>
    <w:next w:val="Normal"/>
    <w:link w:val="Heading5Char"/>
    <w:uiPriority w:val="2"/>
    <w:qFormat/>
    <w:rsid w:val="00D80D99"/>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14739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147395"/>
    <w:rPr>
      <w:rFonts w:ascii="Times New Roman" w:eastAsia="Cambria" w:hAnsi="Times New Roman" w:cs="Times New Roman"/>
      <w:b/>
      <w:sz w:val="24"/>
      <w:szCs w:val="24"/>
    </w:rPr>
  </w:style>
  <w:style w:type="character" w:styleId="Emphasis">
    <w:name w:val="Emphasis"/>
    <w:basedOn w:val="DefaultParagraphFont"/>
    <w:uiPriority w:val="20"/>
    <w:qFormat/>
    <w:rsid w:val="00C724CF"/>
    <w:rPr>
      <w:rFonts w:ascii="Times New Roman" w:hAnsi="Times New Roman"/>
      <w:i/>
      <w:iCs/>
    </w:rPr>
  </w:style>
  <w:style w:type="paragraph" w:styleId="ListParagraph">
    <w:name w:val="List Paragraph"/>
    <w:basedOn w:val="Normal"/>
    <w:uiPriority w:val="3"/>
    <w:qFormat/>
    <w:rsid w:val="00310124"/>
    <w:pPr>
      <w:numPr>
        <w:numId w:val="14"/>
      </w:numPr>
      <w:ind w:left="1434" w:hanging="357"/>
      <w:contextualSpacing/>
    </w:pPr>
    <w:rPr>
      <w:rFonts w:eastAsia="Cambria" w:cs="Times New Roman"/>
      <w:szCs w:val="24"/>
    </w:rPr>
  </w:style>
  <w:style w:type="character" w:styleId="Strong">
    <w:name w:val="Strong"/>
    <w:basedOn w:val="DefaultParagraphFont"/>
    <w:uiPriority w:val="22"/>
    <w:qFormat/>
    <w:rsid w:val="00C724CF"/>
    <w:rPr>
      <w:rFonts w:ascii="Times New Roman" w:hAnsi="Times New Roman"/>
      <w:b/>
      <w:bCs/>
    </w:rPr>
  </w:style>
  <w:style w:type="paragraph" w:styleId="NormalWeb">
    <w:name w:val="Normal (Web)"/>
    <w:basedOn w:val="Normal"/>
    <w:uiPriority w:val="99"/>
    <w:unhideWhenUsed/>
    <w:rsid w:val="00117666"/>
    <w:pPr>
      <w:spacing w:before="100" w:beforeAutospacing="1" w:after="100" w:afterAutospacing="1"/>
    </w:pPr>
    <w:rPr>
      <w:rFonts w:eastAsia="Times New Roman" w:cs="Times New Roman"/>
      <w:szCs w:val="24"/>
    </w:rPr>
  </w:style>
  <w:style w:type="paragraph" w:styleId="Header">
    <w:name w:val="header"/>
    <w:basedOn w:val="Normal"/>
    <w:link w:val="HeaderChar"/>
    <w:uiPriority w:val="99"/>
    <w:unhideWhenUsed/>
    <w:rsid w:val="00A53000"/>
    <w:pPr>
      <w:tabs>
        <w:tab w:val="center" w:pos="4844"/>
        <w:tab w:val="right" w:pos="9689"/>
      </w:tabs>
    </w:pPr>
    <w:rPr>
      <w:b/>
    </w:rPr>
  </w:style>
  <w:style w:type="character" w:customStyle="1" w:styleId="HeaderChar">
    <w:name w:val="Header Char"/>
    <w:basedOn w:val="DefaultParagraphFont"/>
    <w:link w:val="Header"/>
    <w:uiPriority w:val="99"/>
    <w:rsid w:val="00A53000"/>
    <w:rPr>
      <w:rFonts w:ascii="Times New Roman" w:hAnsi="Times New Roman"/>
      <w:b/>
      <w:sz w:val="24"/>
    </w:rPr>
  </w:style>
  <w:style w:type="paragraph" w:styleId="Footer">
    <w:name w:val="footer"/>
    <w:basedOn w:val="Normal"/>
    <w:link w:val="FooterChar"/>
    <w:uiPriority w:val="99"/>
    <w:unhideWhenUsed/>
    <w:rsid w:val="00117666"/>
    <w:pPr>
      <w:tabs>
        <w:tab w:val="center" w:pos="4844"/>
        <w:tab w:val="right" w:pos="9689"/>
      </w:tabs>
      <w:spacing w:after="0"/>
    </w:pPr>
  </w:style>
  <w:style w:type="character" w:customStyle="1" w:styleId="FooterChar">
    <w:name w:val="Footer Char"/>
    <w:basedOn w:val="DefaultParagraphFont"/>
    <w:link w:val="Footer"/>
    <w:uiPriority w:val="99"/>
    <w:rsid w:val="00117666"/>
  </w:style>
  <w:style w:type="table" w:styleId="TableGrid">
    <w:name w:val="Table Grid"/>
    <w:basedOn w:val="TableNormal"/>
    <w:uiPriority w:val="59"/>
    <w:rsid w:val="001176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117666"/>
    <w:pPr>
      <w:spacing w:after="0"/>
    </w:pPr>
    <w:rPr>
      <w:sz w:val="20"/>
      <w:szCs w:val="20"/>
    </w:rPr>
  </w:style>
  <w:style w:type="character" w:customStyle="1" w:styleId="FootnoteTextChar">
    <w:name w:val="Footnote Text Char"/>
    <w:basedOn w:val="DefaultParagraphFont"/>
    <w:link w:val="FootnoteText"/>
    <w:uiPriority w:val="99"/>
    <w:semiHidden/>
    <w:rsid w:val="00117666"/>
    <w:rPr>
      <w:sz w:val="20"/>
      <w:szCs w:val="20"/>
    </w:rPr>
  </w:style>
  <w:style w:type="character" w:styleId="FootnoteReference">
    <w:name w:val="footnote reference"/>
    <w:basedOn w:val="DefaultParagraphFont"/>
    <w:uiPriority w:val="99"/>
    <w:semiHidden/>
    <w:unhideWhenUsed/>
    <w:rsid w:val="00117666"/>
    <w:rPr>
      <w:vertAlign w:val="superscript"/>
    </w:rPr>
  </w:style>
  <w:style w:type="paragraph" w:styleId="Caption">
    <w:name w:val="caption"/>
    <w:basedOn w:val="Normal"/>
    <w:next w:val="NoSpacing"/>
    <w:uiPriority w:val="35"/>
    <w:unhideWhenUsed/>
    <w:qFormat/>
    <w:rsid w:val="00A53000"/>
    <w:pPr>
      <w:keepNext/>
    </w:pPr>
    <w:rPr>
      <w:rFonts w:cs="Times New Roman"/>
      <w:b/>
      <w:bCs/>
      <w:szCs w:val="24"/>
    </w:rPr>
  </w:style>
  <w:style w:type="paragraph" w:styleId="BalloonText">
    <w:name w:val="Balloon Text"/>
    <w:basedOn w:val="Normal"/>
    <w:link w:val="BalloonTextChar"/>
    <w:uiPriority w:val="99"/>
    <w:semiHidden/>
    <w:unhideWhenUsed/>
    <w:rsid w:val="0011766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7666"/>
    <w:rPr>
      <w:rFonts w:ascii="Tahoma" w:hAnsi="Tahoma" w:cs="Tahoma"/>
      <w:sz w:val="16"/>
      <w:szCs w:val="16"/>
    </w:rPr>
  </w:style>
  <w:style w:type="character" w:styleId="LineNumber">
    <w:name w:val="line number"/>
    <w:basedOn w:val="DefaultParagraphFont"/>
    <w:uiPriority w:val="99"/>
    <w:semiHidden/>
    <w:unhideWhenUsed/>
    <w:rsid w:val="00117666"/>
  </w:style>
  <w:style w:type="paragraph" w:styleId="EndnoteText">
    <w:name w:val="endnote text"/>
    <w:basedOn w:val="Normal"/>
    <w:link w:val="EndnoteTextChar"/>
    <w:uiPriority w:val="99"/>
    <w:semiHidden/>
    <w:unhideWhenUsed/>
    <w:rsid w:val="00CD066B"/>
    <w:pPr>
      <w:spacing w:after="0"/>
    </w:pPr>
    <w:rPr>
      <w:sz w:val="20"/>
      <w:szCs w:val="20"/>
    </w:rPr>
  </w:style>
  <w:style w:type="character" w:customStyle="1" w:styleId="EndnoteTextChar">
    <w:name w:val="Endnote Text Char"/>
    <w:basedOn w:val="DefaultParagraphFont"/>
    <w:link w:val="EndnoteText"/>
    <w:uiPriority w:val="99"/>
    <w:semiHidden/>
    <w:rsid w:val="00CD066B"/>
    <w:rPr>
      <w:sz w:val="20"/>
      <w:szCs w:val="20"/>
    </w:rPr>
  </w:style>
  <w:style w:type="character" w:styleId="EndnoteReference">
    <w:name w:val="endnote reference"/>
    <w:basedOn w:val="DefaultParagraphFont"/>
    <w:uiPriority w:val="99"/>
    <w:semiHidden/>
    <w:unhideWhenUsed/>
    <w:rsid w:val="00CD066B"/>
    <w:rPr>
      <w:vertAlign w:val="superscript"/>
    </w:rPr>
  </w:style>
  <w:style w:type="character" w:styleId="CommentReference">
    <w:name w:val="annotation reference"/>
    <w:basedOn w:val="DefaultParagraphFont"/>
    <w:uiPriority w:val="99"/>
    <w:semiHidden/>
    <w:unhideWhenUsed/>
    <w:rsid w:val="00725A7D"/>
    <w:rPr>
      <w:sz w:val="16"/>
      <w:szCs w:val="16"/>
    </w:rPr>
  </w:style>
  <w:style w:type="paragraph" w:styleId="CommentText">
    <w:name w:val="annotation text"/>
    <w:basedOn w:val="Normal"/>
    <w:link w:val="CommentTextChar"/>
    <w:uiPriority w:val="99"/>
    <w:unhideWhenUsed/>
    <w:rsid w:val="00725A7D"/>
    <w:rPr>
      <w:sz w:val="20"/>
      <w:szCs w:val="20"/>
    </w:rPr>
  </w:style>
  <w:style w:type="character" w:customStyle="1" w:styleId="CommentTextChar">
    <w:name w:val="Comment Text Char"/>
    <w:basedOn w:val="DefaultParagraphFont"/>
    <w:link w:val="CommentText"/>
    <w:uiPriority w:val="99"/>
    <w:rsid w:val="00725A7D"/>
    <w:rPr>
      <w:sz w:val="20"/>
      <w:szCs w:val="20"/>
    </w:rPr>
  </w:style>
  <w:style w:type="paragraph" w:styleId="CommentSubject">
    <w:name w:val="annotation subject"/>
    <w:basedOn w:val="CommentText"/>
    <w:next w:val="CommentText"/>
    <w:link w:val="CommentSubjectChar"/>
    <w:uiPriority w:val="99"/>
    <w:semiHidden/>
    <w:unhideWhenUsed/>
    <w:rsid w:val="00725A7D"/>
    <w:rPr>
      <w:b/>
      <w:bCs/>
    </w:rPr>
  </w:style>
  <w:style w:type="character" w:customStyle="1" w:styleId="CommentSubjectChar">
    <w:name w:val="Comment Subject Char"/>
    <w:basedOn w:val="CommentTextChar"/>
    <w:link w:val="CommentSubject"/>
    <w:uiPriority w:val="99"/>
    <w:semiHidden/>
    <w:rsid w:val="00725A7D"/>
    <w:rPr>
      <w:b/>
      <w:bCs/>
      <w:sz w:val="20"/>
      <w:szCs w:val="20"/>
    </w:rPr>
  </w:style>
  <w:style w:type="character" w:styleId="Hyperlink">
    <w:name w:val="Hyperlink"/>
    <w:basedOn w:val="DefaultParagraphFont"/>
    <w:uiPriority w:val="99"/>
    <w:unhideWhenUsed/>
    <w:rsid w:val="005A1D84"/>
    <w:rPr>
      <w:color w:val="0000FF"/>
      <w:u w:val="single"/>
    </w:rPr>
  </w:style>
  <w:style w:type="character" w:styleId="FollowedHyperlink">
    <w:name w:val="FollowedHyperlink"/>
    <w:basedOn w:val="DefaultParagraphFont"/>
    <w:uiPriority w:val="99"/>
    <w:semiHidden/>
    <w:unhideWhenUsed/>
    <w:rsid w:val="006D5B93"/>
    <w:rPr>
      <w:color w:val="800080" w:themeColor="followedHyperlink"/>
      <w:u w:val="single"/>
    </w:rPr>
  </w:style>
  <w:style w:type="paragraph" w:styleId="Title">
    <w:name w:val="Title"/>
    <w:basedOn w:val="Normal"/>
    <w:next w:val="Normal"/>
    <w:link w:val="TitleChar"/>
    <w:uiPriority w:val="10"/>
    <w:qFormat/>
    <w:rsid w:val="00D80D99"/>
    <w:pPr>
      <w:suppressLineNumbers/>
      <w:spacing w:before="240" w:after="360"/>
      <w:jc w:val="center"/>
    </w:pPr>
    <w:rPr>
      <w:rFonts w:cs="Times New Roman"/>
      <w:b/>
      <w:sz w:val="32"/>
      <w:szCs w:val="32"/>
    </w:rPr>
  </w:style>
  <w:style w:type="character" w:customStyle="1" w:styleId="TitleChar">
    <w:name w:val="Title Char"/>
    <w:basedOn w:val="DefaultParagraphFont"/>
    <w:link w:val="Title"/>
    <w:uiPriority w:val="10"/>
    <w:rsid w:val="00D80D99"/>
    <w:rPr>
      <w:rFonts w:ascii="Times New Roman" w:hAnsi="Times New Roman" w:cs="Times New Roman"/>
      <w:b/>
      <w:sz w:val="32"/>
      <w:szCs w:val="32"/>
    </w:rPr>
  </w:style>
  <w:style w:type="paragraph" w:styleId="Subtitle">
    <w:name w:val="Subtitle"/>
    <w:basedOn w:val="Normal"/>
    <w:next w:val="Normal"/>
    <w:link w:val="SubtitleChar"/>
    <w:uiPriority w:val="99"/>
    <w:unhideWhenUsed/>
    <w:qFormat/>
    <w:rsid w:val="00AC0270"/>
    <w:pPr>
      <w:spacing w:before="240"/>
    </w:pPr>
    <w:rPr>
      <w:rFonts w:cs="Times New Roman"/>
      <w:b/>
      <w:szCs w:val="24"/>
    </w:rPr>
  </w:style>
  <w:style w:type="character" w:customStyle="1" w:styleId="SubtitleChar">
    <w:name w:val="Subtitle Char"/>
    <w:basedOn w:val="DefaultParagraphFont"/>
    <w:link w:val="Subtitle"/>
    <w:uiPriority w:val="99"/>
    <w:rsid w:val="00651CA2"/>
    <w:rPr>
      <w:rFonts w:ascii="Times New Roman" w:hAnsi="Times New Roman" w:cs="Times New Roman"/>
      <w:b/>
      <w:sz w:val="24"/>
      <w:szCs w:val="24"/>
    </w:rPr>
  </w:style>
  <w:style w:type="character" w:customStyle="1" w:styleId="Heading3Char">
    <w:name w:val="Heading 3 Char"/>
    <w:basedOn w:val="DefaultParagraphFont"/>
    <w:link w:val="Heading3"/>
    <w:uiPriority w:val="2"/>
    <w:rsid w:val="005D1840"/>
    <w:rPr>
      <w:rFonts w:ascii="Times New Roman" w:eastAsiaTheme="majorEastAsia" w:hAnsi="Times New Roman" w:cstheme="majorBidi"/>
      <w:b/>
      <w:sz w:val="24"/>
      <w:szCs w:val="24"/>
    </w:rPr>
  </w:style>
  <w:style w:type="paragraph" w:styleId="NoSpacing">
    <w:name w:val="No Spacing"/>
    <w:uiPriority w:val="99"/>
    <w:unhideWhenUsed/>
    <w:qFormat/>
    <w:rsid w:val="00A53000"/>
    <w:pPr>
      <w:spacing w:after="0" w:line="240" w:lineRule="auto"/>
    </w:pPr>
    <w:rPr>
      <w:rFonts w:ascii="Times New Roman" w:hAnsi="Times New Roman"/>
      <w:sz w:val="24"/>
    </w:rPr>
  </w:style>
  <w:style w:type="character" w:customStyle="1" w:styleId="Heading4Char">
    <w:name w:val="Heading 4 Char"/>
    <w:basedOn w:val="DefaultParagraphFont"/>
    <w:link w:val="Heading4"/>
    <w:uiPriority w:val="2"/>
    <w:rsid w:val="005D1840"/>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5D1840"/>
    <w:rPr>
      <w:rFonts w:ascii="Times New Roman" w:eastAsiaTheme="majorEastAsia" w:hAnsi="Times New Roman" w:cstheme="majorBidi"/>
      <w:b/>
      <w:iCs/>
      <w:sz w:val="24"/>
      <w:szCs w:val="24"/>
    </w:rPr>
  </w:style>
  <w:style w:type="paragraph" w:customStyle="1" w:styleId="AuthorList">
    <w:name w:val="Author List"/>
    <w:aliases w:val="Keywords,Abstract"/>
    <w:basedOn w:val="Subtitle"/>
    <w:next w:val="Normal"/>
    <w:uiPriority w:val="1"/>
    <w:qFormat/>
    <w:rsid w:val="00651CA2"/>
  </w:style>
  <w:style w:type="character" w:styleId="SubtleEmphasis">
    <w:name w:val="Subtle Emphasis"/>
    <w:basedOn w:val="DefaultParagraphFont"/>
    <w:uiPriority w:val="19"/>
    <w:qFormat/>
    <w:rsid w:val="00C724CF"/>
    <w:rPr>
      <w:rFonts w:ascii="Times New Roman" w:hAnsi="Times New Roman"/>
      <w:i/>
      <w:iCs/>
      <w:color w:val="404040" w:themeColor="text1" w:themeTint="BF"/>
    </w:rPr>
  </w:style>
  <w:style w:type="character" w:styleId="IntenseEmphasis">
    <w:name w:val="Intense Emphasis"/>
    <w:basedOn w:val="DefaultParagraphFont"/>
    <w:uiPriority w:val="21"/>
    <w:unhideWhenUsed/>
    <w:rsid w:val="00C724CF"/>
    <w:rPr>
      <w:rFonts w:ascii="Times New Roman" w:hAnsi="Times New Roman"/>
      <w:i/>
      <w:iCs/>
      <w:color w:val="auto"/>
    </w:rPr>
  </w:style>
  <w:style w:type="paragraph" w:styleId="Quote">
    <w:name w:val="Quote"/>
    <w:basedOn w:val="Normal"/>
    <w:next w:val="Normal"/>
    <w:link w:val="QuoteChar"/>
    <w:uiPriority w:val="29"/>
    <w:qFormat/>
    <w:rsid w:val="00C724C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724CF"/>
    <w:rPr>
      <w:rFonts w:ascii="Times New Roman" w:hAnsi="Times New Roman"/>
      <w:i/>
      <w:iCs/>
      <w:color w:val="404040" w:themeColor="text1" w:themeTint="BF"/>
      <w:sz w:val="24"/>
    </w:rPr>
  </w:style>
  <w:style w:type="character" w:styleId="IntenseReference">
    <w:name w:val="Intense Reference"/>
    <w:basedOn w:val="DefaultParagraphFont"/>
    <w:uiPriority w:val="32"/>
    <w:qFormat/>
    <w:rsid w:val="00C724CF"/>
    <w:rPr>
      <w:b/>
      <w:bCs/>
      <w:smallCaps/>
      <w:color w:val="auto"/>
      <w:spacing w:val="5"/>
    </w:rPr>
  </w:style>
  <w:style w:type="character" w:styleId="BookTitle">
    <w:name w:val="Book Title"/>
    <w:basedOn w:val="DefaultParagraphFont"/>
    <w:uiPriority w:val="33"/>
    <w:qFormat/>
    <w:rsid w:val="00C724CF"/>
    <w:rPr>
      <w:rFonts w:ascii="Times New Roman" w:hAnsi="Times New Roman"/>
      <w:b/>
      <w:bCs/>
      <w:i/>
      <w:iCs/>
      <w:spacing w:val="5"/>
    </w:rPr>
  </w:style>
  <w:style w:type="numbering" w:customStyle="1" w:styleId="Headings">
    <w:name w:val="Headings"/>
    <w:uiPriority w:val="99"/>
    <w:rsid w:val="00D80D99"/>
    <w:pPr>
      <w:numPr>
        <w:numId w:val="21"/>
      </w:numPr>
    </w:pPr>
  </w:style>
  <w:style w:type="paragraph" w:styleId="Revision">
    <w:name w:val="Revision"/>
    <w:hidden/>
    <w:uiPriority w:val="99"/>
    <w:semiHidden/>
    <w:rsid w:val="00A545C6"/>
    <w:pPr>
      <w:spacing w:after="0" w:line="240" w:lineRule="auto"/>
    </w:pPr>
    <w:rPr>
      <w:rFonts w:ascii="Times New Roman" w:hAnsi="Times New Roman"/>
      <w:sz w:val="24"/>
    </w:rPr>
  </w:style>
  <w:style w:type="table" w:styleId="PlainTable2">
    <w:name w:val="Plain Table 2"/>
    <w:basedOn w:val="TableNormal"/>
    <w:uiPriority w:val="42"/>
    <w:rsid w:val="001B6EB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1">
    <w:name w:val="Unresolved Mention1"/>
    <w:basedOn w:val="DefaultParagraphFont"/>
    <w:uiPriority w:val="99"/>
    <w:semiHidden/>
    <w:unhideWhenUsed/>
    <w:rsid w:val="00CC1E40"/>
    <w:rPr>
      <w:color w:val="605E5C"/>
      <w:shd w:val="clear" w:color="auto" w:fill="E1DFDD"/>
    </w:rPr>
  </w:style>
  <w:style w:type="character" w:customStyle="1" w:styleId="apple-converted-space">
    <w:name w:val="apple-converted-space"/>
    <w:basedOn w:val="DefaultParagraphFont"/>
    <w:rsid w:val="00FD5C34"/>
  </w:style>
  <w:style w:type="table" w:customStyle="1" w:styleId="PlainTable21">
    <w:name w:val="Plain Table 21"/>
    <w:basedOn w:val="TableNormal"/>
    <w:uiPriority w:val="42"/>
    <w:rsid w:val="0022374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
    <w:name w:val="Table Grid1"/>
    <w:basedOn w:val="TableNormal"/>
    <w:next w:val="TableGrid"/>
    <w:uiPriority w:val="39"/>
    <w:rsid w:val="00D27BA3"/>
    <w:pPr>
      <w:spacing w:after="0" w:line="240" w:lineRule="auto"/>
    </w:pPr>
    <w:rPr>
      <w:rFonts w:ascii="Calibri" w:hAnsi="Calibr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27BA3"/>
    <w:pPr>
      <w:spacing w:after="0" w:line="240" w:lineRule="auto"/>
    </w:pPr>
    <w:rPr>
      <w:rFonts w:ascii="Calibri" w:hAnsi="Calibr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23CCD"/>
    <w:rPr>
      <w:color w:val="605E5C"/>
      <w:shd w:val="clear" w:color="auto" w:fill="E1DFDD"/>
    </w:rPr>
  </w:style>
  <w:style w:type="table" w:styleId="PlainTable5">
    <w:name w:val="Plain Table 5"/>
    <w:basedOn w:val="TableNormal"/>
    <w:uiPriority w:val="45"/>
    <w:rsid w:val="00990B0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990B0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90B0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urful">
    <w:name w:val="Grid Table 6 Colorful"/>
    <w:basedOn w:val="TableNormal"/>
    <w:uiPriority w:val="51"/>
    <w:rsid w:val="00990B0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
    <w:name w:val="Grid Table 3"/>
    <w:basedOn w:val="TableNormal"/>
    <w:uiPriority w:val="48"/>
    <w:rsid w:val="00990B0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1Light">
    <w:name w:val="Grid Table 1 Light"/>
    <w:basedOn w:val="TableNormal"/>
    <w:uiPriority w:val="46"/>
    <w:rsid w:val="00CF514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952381">
      <w:bodyDiv w:val="1"/>
      <w:marLeft w:val="0"/>
      <w:marRight w:val="0"/>
      <w:marTop w:val="0"/>
      <w:marBottom w:val="0"/>
      <w:divBdr>
        <w:top w:val="none" w:sz="0" w:space="0" w:color="auto"/>
        <w:left w:val="none" w:sz="0" w:space="0" w:color="auto"/>
        <w:bottom w:val="none" w:sz="0" w:space="0" w:color="auto"/>
        <w:right w:val="none" w:sz="0" w:space="0" w:color="auto"/>
      </w:divBdr>
    </w:div>
    <w:div w:id="55125064">
      <w:bodyDiv w:val="1"/>
      <w:marLeft w:val="0"/>
      <w:marRight w:val="0"/>
      <w:marTop w:val="0"/>
      <w:marBottom w:val="0"/>
      <w:divBdr>
        <w:top w:val="none" w:sz="0" w:space="0" w:color="auto"/>
        <w:left w:val="none" w:sz="0" w:space="0" w:color="auto"/>
        <w:bottom w:val="none" w:sz="0" w:space="0" w:color="auto"/>
        <w:right w:val="none" w:sz="0" w:space="0" w:color="auto"/>
      </w:divBdr>
    </w:div>
    <w:div w:id="55403160">
      <w:bodyDiv w:val="1"/>
      <w:marLeft w:val="0"/>
      <w:marRight w:val="0"/>
      <w:marTop w:val="0"/>
      <w:marBottom w:val="0"/>
      <w:divBdr>
        <w:top w:val="none" w:sz="0" w:space="0" w:color="auto"/>
        <w:left w:val="none" w:sz="0" w:space="0" w:color="auto"/>
        <w:bottom w:val="none" w:sz="0" w:space="0" w:color="auto"/>
        <w:right w:val="none" w:sz="0" w:space="0" w:color="auto"/>
      </w:divBdr>
    </w:div>
    <w:div w:id="83501254">
      <w:bodyDiv w:val="1"/>
      <w:marLeft w:val="0"/>
      <w:marRight w:val="0"/>
      <w:marTop w:val="0"/>
      <w:marBottom w:val="0"/>
      <w:divBdr>
        <w:top w:val="none" w:sz="0" w:space="0" w:color="auto"/>
        <w:left w:val="none" w:sz="0" w:space="0" w:color="auto"/>
        <w:bottom w:val="none" w:sz="0" w:space="0" w:color="auto"/>
        <w:right w:val="none" w:sz="0" w:space="0" w:color="auto"/>
      </w:divBdr>
    </w:div>
    <w:div w:id="116797071">
      <w:bodyDiv w:val="1"/>
      <w:marLeft w:val="0"/>
      <w:marRight w:val="0"/>
      <w:marTop w:val="0"/>
      <w:marBottom w:val="0"/>
      <w:divBdr>
        <w:top w:val="none" w:sz="0" w:space="0" w:color="auto"/>
        <w:left w:val="none" w:sz="0" w:space="0" w:color="auto"/>
        <w:bottom w:val="none" w:sz="0" w:space="0" w:color="auto"/>
        <w:right w:val="none" w:sz="0" w:space="0" w:color="auto"/>
      </w:divBdr>
    </w:div>
    <w:div w:id="159783220">
      <w:bodyDiv w:val="1"/>
      <w:marLeft w:val="0"/>
      <w:marRight w:val="0"/>
      <w:marTop w:val="0"/>
      <w:marBottom w:val="0"/>
      <w:divBdr>
        <w:top w:val="none" w:sz="0" w:space="0" w:color="auto"/>
        <w:left w:val="none" w:sz="0" w:space="0" w:color="auto"/>
        <w:bottom w:val="none" w:sz="0" w:space="0" w:color="auto"/>
        <w:right w:val="none" w:sz="0" w:space="0" w:color="auto"/>
      </w:divBdr>
    </w:div>
    <w:div w:id="171993267">
      <w:bodyDiv w:val="1"/>
      <w:marLeft w:val="0"/>
      <w:marRight w:val="0"/>
      <w:marTop w:val="0"/>
      <w:marBottom w:val="0"/>
      <w:divBdr>
        <w:top w:val="none" w:sz="0" w:space="0" w:color="auto"/>
        <w:left w:val="none" w:sz="0" w:space="0" w:color="auto"/>
        <w:bottom w:val="none" w:sz="0" w:space="0" w:color="auto"/>
        <w:right w:val="none" w:sz="0" w:space="0" w:color="auto"/>
      </w:divBdr>
    </w:div>
    <w:div w:id="199436670">
      <w:bodyDiv w:val="1"/>
      <w:marLeft w:val="0"/>
      <w:marRight w:val="0"/>
      <w:marTop w:val="0"/>
      <w:marBottom w:val="0"/>
      <w:divBdr>
        <w:top w:val="none" w:sz="0" w:space="0" w:color="auto"/>
        <w:left w:val="none" w:sz="0" w:space="0" w:color="auto"/>
        <w:bottom w:val="none" w:sz="0" w:space="0" w:color="auto"/>
        <w:right w:val="none" w:sz="0" w:space="0" w:color="auto"/>
      </w:divBdr>
    </w:div>
    <w:div w:id="204217261">
      <w:bodyDiv w:val="1"/>
      <w:marLeft w:val="0"/>
      <w:marRight w:val="0"/>
      <w:marTop w:val="0"/>
      <w:marBottom w:val="0"/>
      <w:divBdr>
        <w:top w:val="none" w:sz="0" w:space="0" w:color="auto"/>
        <w:left w:val="none" w:sz="0" w:space="0" w:color="auto"/>
        <w:bottom w:val="none" w:sz="0" w:space="0" w:color="auto"/>
        <w:right w:val="none" w:sz="0" w:space="0" w:color="auto"/>
      </w:divBdr>
    </w:div>
    <w:div w:id="268858268">
      <w:bodyDiv w:val="1"/>
      <w:marLeft w:val="0"/>
      <w:marRight w:val="0"/>
      <w:marTop w:val="0"/>
      <w:marBottom w:val="0"/>
      <w:divBdr>
        <w:top w:val="none" w:sz="0" w:space="0" w:color="auto"/>
        <w:left w:val="none" w:sz="0" w:space="0" w:color="auto"/>
        <w:bottom w:val="none" w:sz="0" w:space="0" w:color="auto"/>
        <w:right w:val="none" w:sz="0" w:space="0" w:color="auto"/>
      </w:divBdr>
    </w:div>
    <w:div w:id="273948832">
      <w:bodyDiv w:val="1"/>
      <w:marLeft w:val="0"/>
      <w:marRight w:val="0"/>
      <w:marTop w:val="0"/>
      <w:marBottom w:val="0"/>
      <w:divBdr>
        <w:top w:val="none" w:sz="0" w:space="0" w:color="auto"/>
        <w:left w:val="none" w:sz="0" w:space="0" w:color="auto"/>
        <w:bottom w:val="none" w:sz="0" w:space="0" w:color="auto"/>
        <w:right w:val="none" w:sz="0" w:space="0" w:color="auto"/>
      </w:divBdr>
    </w:div>
    <w:div w:id="286083839">
      <w:bodyDiv w:val="1"/>
      <w:marLeft w:val="0"/>
      <w:marRight w:val="0"/>
      <w:marTop w:val="0"/>
      <w:marBottom w:val="0"/>
      <w:divBdr>
        <w:top w:val="none" w:sz="0" w:space="0" w:color="auto"/>
        <w:left w:val="none" w:sz="0" w:space="0" w:color="auto"/>
        <w:bottom w:val="none" w:sz="0" w:space="0" w:color="auto"/>
        <w:right w:val="none" w:sz="0" w:space="0" w:color="auto"/>
      </w:divBdr>
    </w:div>
    <w:div w:id="325061255">
      <w:bodyDiv w:val="1"/>
      <w:marLeft w:val="0"/>
      <w:marRight w:val="0"/>
      <w:marTop w:val="0"/>
      <w:marBottom w:val="0"/>
      <w:divBdr>
        <w:top w:val="none" w:sz="0" w:space="0" w:color="auto"/>
        <w:left w:val="none" w:sz="0" w:space="0" w:color="auto"/>
        <w:bottom w:val="none" w:sz="0" w:space="0" w:color="auto"/>
        <w:right w:val="none" w:sz="0" w:space="0" w:color="auto"/>
      </w:divBdr>
    </w:div>
    <w:div w:id="329873422">
      <w:bodyDiv w:val="1"/>
      <w:marLeft w:val="0"/>
      <w:marRight w:val="0"/>
      <w:marTop w:val="0"/>
      <w:marBottom w:val="0"/>
      <w:divBdr>
        <w:top w:val="none" w:sz="0" w:space="0" w:color="auto"/>
        <w:left w:val="none" w:sz="0" w:space="0" w:color="auto"/>
        <w:bottom w:val="none" w:sz="0" w:space="0" w:color="auto"/>
        <w:right w:val="none" w:sz="0" w:space="0" w:color="auto"/>
      </w:divBdr>
    </w:div>
    <w:div w:id="330254591">
      <w:bodyDiv w:val="1"/>
      <w:marLeft w:val="0"/>
      <w:marRight w:val="0"/>
      <w:marTop w:val="0"/>
      <w:marBottom w:val="0"/>
      <w:divBdr>
        <w:top w:val="none" w:sz="0" w:space="0" w:color="auto"/>
        <w:left w:val="none" w:sz="0" w:space="0" w:color="auto"/>
        <w:bottom w:val="none" w:sz="0" w:space="0" w:color="auto"/>
        <w:right w:val="none" w:sz="0" w:space="0" w:color="auto"/>
      </w:divBdr>
    </w:div>
    <w:div w:id="332875760">
      <w:bodyDiv w:val="1"/>
      <w:marLeft w:val="0"/>
      <w:marRight w:val="0"/>
      <w:marTop w:val="0"/>
      <w:marBottom w:val="0"/>
      <w:divBdr>
        <w:top w:val="none" w:sz="0" w:space="0" w:color="auto"/>
        <w:left w:val="none" w:sz="0" w:space="0" w:color="auto"/>
        <w:bottom w:val="none" w:sz="0" w:space="0" w:color="auto"/>
        <w:right w:val="none" w:sz="0" w:space="0" w:color="auto"/>
      </w:divBdr>
    </w:div>
    <w:div w:id="339359370">
      <w:bodyDiv w:val="1"/>
      <w:marLeft w:val="0"/>
      <w:marRight w:val="0"/>
      <w:marTop w:val="0"/>
      <w:marBottom w:val="0"/>
      <w:divBdr>
        <w:top w:val="none" w:sz="0" w:space="0" w:color="auto"/>
        <w:left w:val="none" w:sz="0" w:space="0" w:color="auto"/>
        <w:bottom w:val="none" w:sz="0" w:space="0" w:color="auto"/>
        <w:right w:val="none" w:sz="0" w:space="0" w:color="auto"/>
      </w:divBdr>
    </w:div>
    <w:div w:id="339431808">
      <w:bodyDiv w:val="1"/>
      <w:marLeft w:val="0"/>
      <w:marRight w:val="0"/>
      <w:marTop w:val="0"/>
      <w:marBottom w:val="0"/>
      <w:divBdr>
        <w:top w:val="none" w:sz="0" w:space="0" w:color="auto"/>
        <w:left w:val="none" w:sz="0" w:space="0" w:color="auto"/>
        <w:bottom w:val="none" w:sz="0" w:space="0" w:color="auto"/>
        <w:right w:val="none" w:sz="0" w:space="0" w:color="auto"/>
      </w:divBdr>
    </w:div>
    <w:div w:id="365300397">
      <w:bodyDiv w:val="1"/>
      <w:marLeft w:val="0"/>
      <w:marRight w:val="0"/>
      <w:marTop w:val="0"/>
      <w:marBottom w:val="0"/>
      <w:divBdr>
        <w:top w:val="none" w:sz="0" w:space="0" w:color="auto"/>
        <w:left w:val="none" w:sz="0" w:space="0" w:color="auto"/>
        <w:bottom w:val="none" w:sz="0" w:space="0" w:color="auto"/>
        <w:right w:val="none" w:sz="0" w:space="0" w:color="auto"/>
      </w:divBdr>
    </w:div>
    <w:div w:id="368335732">
      <w:bodyDiv w:val="1"/>
      <w:marLeft w:val="0"/>
      <w:marRight w:val="0"/>
      <w:marTop w:val="0"/>
      <w:marBottom w:val="0"/>
      <w:divBdr>
        <w:top w:val="none" w:sz="0" w:space="0" w:color="auto"/>
        <w:left w:val="none" w:sz="0" w:space="0" w:color="auto"/>
        <w:bottom w:val="none" w:sz="0" w:space="0" w:color="auto"/>
        <w:right w:val="none" w:sz="0" w:space="0" w:color="auto"/>
      </w:divBdr>
    </w:div>
    <w:div w:id="389886244">
      <w:bodyDiv w:val="1"/>
      <w:marLeft w:val="0"/>
      <w:marRight w:val="0"/>
      <w:marTop w:val="0"/>
      <w:marBottom w:val="0"/>
      <w:divBdr>
        <w:top w:val="none" w:sz="0" w:space="0" w:color="auto"/>
        <w:left w:val="none" w:sz="0" w:space="0" w:color="auto"/>
        <w:bottom w:val="none" w:sz="0" w:space="0" w:color="auto"/>
        <w:right w:val="none" w:sz="0" w:space="0" w:color="auto"/>
      </w:divBdr>
    </w:div>
    <w:div w:id="393746118">
      <w:bodyDiv w:val="1"/>
      <w:marLeft w:val="0"/>
      <w:marRight w:val="0"/>
      <w:marTop w:val="0"/>
      <w:marBottom w:val="0"/>
      <w:divBdr>
        <w:top w:val="none" w:sz="0" w:space="0" w:color="auto"/>
        <w:left w:val="none" w:sz="0" w:space="0" w:color="auto"/>
        <w:bottom w:val="none" w:sz="0" w:space="0" w:color="auto"/>
        <w:right w:val="none" w:sz="0" w:space="0" w:color="auto"/>
      </w:divBdr>
    </w:div>
    <w:div w:id="398871134">
      <w:bodyDiv w:val="1"/>
      <w:marLeft w:val="0"/>
      <w:marRight w:val="0"/>
      <w:marTop w:val="0"/>
      <w:marBottom w:val="0"/>
      <w:divBdr>
        <w:top w:val="none" w:sz="0" w:space="0" w:color="auto"/>
        <w:left w:val="none" w:sz="0" w:space="0" w:color="auto"/>
        <w:bottom w:val="none" w:sz="0" w:space="0" w:color="auto"/>
        <w:right w:val="none" w:sz="0" w:space="0" w:color="auto"/>
      </w:divBdr>
    </w:div>
    <w:div w:id="476724946">
      <w:bodyDiv w:val="1"/>
      <w:marLeft w:val="0"/>
      <w:marRight w:val="0"/>
      <w:marTop w:val="0"/>
      <w:marBottom w:val="0"/>
      <w:divBdr>
        <w:top w:val="none" w:sz="0" w:space="0" w:color="auto"/>
        <w:left w:val="none" w:sz="0" w:space="0" w:color="auto"/>
        <w:bottom w:val="none" w:sz="0" w:space="0" w:color="auto"/>
        <w:right w:val="none" w:sz="0" w:space="0" w:color="auto"/>
      </w:divBdr>
    </w:div>
    <w:div w:id="566258189">
      <w:bodyDiv w:val="1"/>
      <w:marLeft w:val="0"/>
      <w:marRight w:val="0"/>
      <w:marTop w:val="0"/>
      <w:marBottom w:val="0"/>
      <w:divBdr>
        <w:top w:val="none" w:sz="0" w:space="0" w:color="auto"/>
        <w:left w:val="none" w:sz="0" w:space="0" w:color="auto"/>
        <w:bottom w:val="none" w:sz="0" w:space="0" w:color="auto"/>
        <w:right w:val="none" w:sz="0" w:space="0" w:color="auto"/>
      </w:divBdr>
    </w:div>
    <w:div w:id="577397408">
      <w:bodyDiv w:val="1"/>
      <w:marLeft w:val="0"/>
      <w:marRight w:val="0"/>
      <w:marTop w:val="0"/>
      <w:marBottom w:val="0"/>
      <w:divBdr>
        <w:top w:val="none" w:sz="0" w:space="0" w:color="auto"/>
        <w:left w:val="none" w:sz="0" w:space="0" w:color="auto"/>
        <w:bottom w:val="none" w:sz="0" w:space="0" w:color="auto"/>
        <w:right w:val="none" w:sz="0" w:space="0" w:color="auto"/>
      </w:divBdr>
    </w:div>
    <w:div w:id="591625910">
      <w:bodyDiv w:val="1"/>
      <w:marLeft w:val="0"/>
      <w:marRight w:val="0"/>
      <w:marTop w:val="0"/>
      <w:marBottom w:val="0"/>
      <w:divBdr>
        <w:top w:val="none" w:sz="0" w:space="0" w:color="auto"/>
        <w:left w:val="none" w:sz="0" w:space="0" w:color="auto"/>
        <w:bottom w:val="none" w:sz="0" w:space="0" w:color="auto"/>
        <w:right w:val="none" w:sz="0" w:space="0" w:color="auto"/>
      </w:divBdr>
    </w:div>
    <w:div w:id="625626042">
      <w:bodyDiv w:val="1"/>
      <w:marLeft w:val="0"/>
      <w:marRight w:val="0"/>
      <w:marTop w:val="0"/>
      <w:marBottom w:val="0"/>
      <w:divBdr>
        <w:top w:val="none" w:sz="0" w:space="0" w:color="auto"/>
        <w:left w:val="none" w:sz="0" w:space="0" w:color="auto"/>
        <w:bottom w:val="none" w:sz="0" w:space="0" w:color="auto"/>
        <w:right w:val="none" w:sz="0" w:space="0" w:color="auto"/>
      </w:divBdr>
    </w:div>
    <w:div w:id="664479587">
      <w:bodyDiv w:val="1"/>
      <w:marLeft w:val="0"/>
      <w:marRight w:val="0"/>
      <w:marTop w:val="0"/>
      <w:marBottom w:val="0"/>
      <w:divBdr>
        <w:top w:val="none" w:sz="0" w:space="0" w:color="auto"/>
        <w:left w:val="none" w:sz="0" w:space="0" w:color="auto"/>
        <w:bottom w:val="none" w:sz="0" w:space="0" w:color="auto"/>
        <w:right w:val="none" w:sz="0" w:space="0" w:color="auto"/>
      </w:divBdr>
    </w:div>
    <w:div w:id="707336485">
      <w:bodyDiv w:val="1"/>
      <w:marLeft w:val="0"/>
      <w:marRight w:val="0"/>
      <w:marTop w:val="0"/>
      <w:marBottom w:val="0"/>
      <w:divBdr>
        <w:top w:val="none" w:sz="0" w:space="0" w:color="auto"/>
        <w:left w:val="none" w:sz="0" w:space="0" w:color="auto"/>
        <w:bottom w:val="none" w:sz="0" w:space="0" w:color="auto"/>
        <w:right w:val="none" w:sz="0" w:space="0" w:color="auto"/>
      </w:divBdr>
    </w:div>
    <w:div w:id="709838812">
      <w:bodyDiv w:val="1"/>
      <w:marLeft w:val="0"/>
      <w:marRight w:val="0"/>
      <w:marTop w:val="0"/>
      <w:marBottom w:val="0"/>
      <w:divBdr>
        <w:top w:val="none" w:sz="0" w:space="0" w:color="auto"/>
        <w:left w:val="none" w:sz="0" w:space="0" w:color="auto"/>
        <w:bottom w:val="none" w:sz="0" w:space="0" w:color="auto"/>
        <w:right w:val="none" w:sz="0" w:space="0" w:color="auto"/>
      </w:divBdr>
    </w:div>
    <w:div w:id="742338364">
      <w:bodyDiv w:val="1"/>
      <w:marLeft w:val="0"/>
      <w:marRight w:val="0"/>
      <w:marTop w:val="0"/>
      <w:marBottom w:val="0"/>
      <w:divBdr>
        <w:top w:val="none" w:sz="0" w:space="0" w:color="auto"/>
        <w:left w:val="none" w:sz="0" w:space="0" w:color="auto"/>
        <w:bottom w:val="none" w:sz="0" w:space="0" w:color="auto"/>
        <w:right w:val="none" w:sz="0" w:space="0" w:color="auto"/>
      </w:divBdr>
    </w:div>
    <w:div w:id="750808953">
      <w:bodyDiv w:val="1"/>
      <w:marLeft w:val="0"/>
      <w:marRight w:val="0"/>
      <w:marTop w:val="0"/>
      <w:marBottom w:val="0"/>
      <w:divBdr>
        <w:top w:val="none" w:sz="0" w:space="0" w:color="auto"/>
        <w:left w:val="none" w:sz="0" w:space="0" w:color="auto"/>
        <w:bottom w:val="none" w:sz="0" w:space="0" w:color="auto"/>
        <w:right w:val="none" w:sz="0" w:space="0" w:color="auto"/>
      </w:divBdr>
    </w:div>
    <w:div w:id="839587953">
      <w:bodyDiv w:val="1"/>
      <w:marLeft w:val="0"/>
      <w:marRight w:val="0"/>
      <w:marTop w:val="0"/>
      <w:marBottom w:val="0"/>
      <w:divBdr>
        <w:top w:val="none" w:sz="0" w:space="0" w:color="auto"/>
        <w:left w:val="none" w:sz="0" w:space="0" w:color="auto"/>
        <w:bottom w:val="none" w:sz="0" w:space="0" w:color="auto"/>
        <w:right w:val="none" w:sz="0" w:space="0" w:color="auto"/>
      </w:divBdr>
    </w:div>
    <w:div w:id="846866504">
      <w:bodyDiv w:val="1"/>
      <w:marLeft w:val="0"/>
      <w:marRight w:val="0"/>
      <w:marTop w:val="0"/>
      <w:marBottom w:val="0"/>
      <w:divBdr>
        <w:top w:val="none" w:sz="0" w:space="0" w:color="auto"/>
        <w:left w:val="none" w:sz="0" w:space="0" w:color="auto"/>
        <w:bottom w:val="none" w:sz="0" w:space="0" w:color="auto"/>
        <w:right w:val="none" w:sz="0" w:space="0" w:color="auto"/>
      </w:divBdr>
    </w:div>
    <w:div w:id="854226344">
      <w:bodyDiv w:val="1"/>
      <w:marLeft w:val="0"/>
      <w:marRight w:val="0"/>
      <w:marTop w:val="0"/>
      <w:marBottom w:val="0"/>
      <w:divBdr>
        <w:top w:val="none" w:sz="0" w:space="0" w:color="auto"/>
        <w:left w:val="none" w:sz="0" w:space="0" w:color="auto"/>
        <w:bottom w:val="none" w:sz="0" w:space="0" w:color="auto"/>
        <w:right w:val="none" w:sz="0" w:space="0" w:color="auto"/>
      </w:divBdr>
    </w:div>
    <w:div w:id="874000375">
      <w:bodyDiv w:val="1"/>
      <w:marLeft w:val="0"/>
      <w:marRight w:val="0"/>
      <w:marTop w:val="0"/>
      <w:marBottom w:val="0"/>
      <w:divBdr>
        <w:top w:val="none" w:sz="0" w:space="0" w:color="auto"/>
        <w:left w:val="none" w:sz="0" w:space="0" w:color="auto"/>
        <w:bottom w:val="none" w:sz="0" w:space="0" w:color="auto"/>
        <w:right w:val="none" w:sz="0" w:space="0" w:color="auto"/>
      </w:divBdr>
    </w:div>
    <w:div w:id="891575937">
      <w:bodyDiv w:val="1"/>
      <w:marLeft w:val="0"/>
      <w:marRight w:val="0"/>
      <w:marTop w:val="0"/>
      <w:marBottom w:val="0"/>
      <w:divBdr>
        <w:top w:val="none" w:sz="0" w:space="0" w:color="auto"/>
        <w:left w:val="none" w:sz="0" w:space="0" w:color="auto"/>
        <w:bottom w:val="none" w:sz="0" w:space="0" w:color="auto"/>
        <w:right w:val="none" w:sz="0" w:space="0" w:color="auto"/>
      </w:divBdr>
    </w:div>
    <w:div w:id="897478972">
      <w:bodyDiv w:val="1"/>
      <w:marLeft w:val="0"/>
      <w:marRight w:val="0"/>
      <w:marTop w:val="0"/>
      <w:marBottom w:val="0"/>
      <w:divBdr>
        <w:top w:val="none" w:sz="0" w:space="0" w:color="auto"/>
        <w:left w:val="none" w:sz="0" w:space="0" w:color="auto"/>
        <w:bottom w:val="none" w:sz="0" w:space="0" w:color="auto"/>
        <w:right w:val="none" w:sz="0" w:space="0" w:color="auto"/>
      </w:divBdr>
    </w:div>
    <w:div w:id="905533783">
      <w:bodyDiv w:val="1"/>
      <w:marLeft w:val="0"/>
      <w:marRight w:val="0"/>
      <w:marTop w:val="0"/>
      <w:marBottom w:val="0"/>
      <w:divBdr>
        <w:top w:val="none" w:sz="0" w:space="0" w:color="auto"/>
        <w:left w:val="none" w:sz="0" w:space="0" w:color="auto"/>
        <w:bottom w:val="none" w:sz="0" w:space="0" w:color="auto"/>
        <w:right w:val="none" w:sz="0" w:space="0" w:color="auto"/>
      </w:divBdr>
    </w:div>
    <w:div w:id="906259600">
      <w:bodyDiv w:val="1"/>
      <w:marLeft w:val="0"/>
      <w:marRight w:val="0"/>
      <w:marTop w:val="0"/>
      <w:marBottom w:val="0"/>
      <w:divBdr>
        <w:top w:val="none" w:sz="0" w:space="0" w:color="auto"/>
        <w:left w:val="none" w:sz="0" w:space="0" w:color="auto"/>
        <w:bottom w:val="none" w:sz="0" w:space="0" w:color="auto"/>
        <w:right w:val="none" w:sz="0" w:space="0" w:color="auto"/>
      </w:divBdr>
    </w:div>
    <w:div w:id="920139713">
      <w:bodyDiv w:val="1"/>
      <w:marLeft w:val="0"/>
      <w:marRight w:val="0"/>
      <w:marTop w:val="0"/>
      <w:marBottom w:val="0"/>
      <w:divBdr>
        <w:top w:val="none" w:sz="0" w:space="0" w:color="auto"/>
        <w:left w:val="none" w:sz="0" w:space="0" w:color="auto"/>
        <w:bottom w:val="none" w:sz="0" w:space="0" w:color="auto"/>
        <w:right w:val="none" w:sz="0" w:space="0" w:color="auto"/>
      </w:divBdr>
    </w:div>
    <w:div w:id="935138230">
      <w:bodyDiv w:val="1"/>
      <w:marLeft w:val="0"/>
      <w:marRight w:val="0"/>
      <w:marTop w:val="0"/>
      <w:marBottom w:val="0"/>
      <w:divBdr>
        <w:top w:val="none" w:sz="0" w:space="0" w:color="auto"/>
        <w:left w:val="none" w:sz="0" w:space="0" w:color="auto"/>
        <w:bottom w:val="none" w:sz="0" w:space="0" w:color="auto"/>
        <w:right w:val="none" w:sz="0" w:space="0" w:color="auto"/>
      </w:divBdr>
    </w:div>
    <w:div w:id="963466463">
      <w:bodyDiv w:val="1"/>
      <w:marLeft w:val="0"/>
      <w:marRight w:val="0"/>
      <w:marTop w:val="0"/>
      <w:marBottom w:val="0"/>
      <w:divBdr>
        <w:top w:val="none" w:sz="0" w:space="0" w:color="auto"/>
        <w:left w:val="none" w:sz="0" w:space="0" w:color="auto"/>
        <w:bottom w:val="none" w:sz="0" w:space="0" w:color="auto"/>
        <w:right w:val="none" w:sz="0" w:space="0" w:color="auto"/>
      </w:divBdr>
    </w:div>
    <w:div w:id="970869765">
      <w:bodyDiv w:val="1"/>
      <w:marLeft w:val="0"/>
      <w:marRight w:val="0"/>
      <w:marTop w:val="0"/>
      <w:marBottom w:val="0"/>
      <w:divBdr>
        <w:top w:val="none" w:sz="0" w:space="0" w:color="auto"/>
        <w:left w:val="none" w:sz="0" w:space="0" w:color="auto"/>
        <w:bottom w:val="none" w:sz="0" w:space="0" w:color="auto"/>
        <w:right w:val="none" w:sz="0" w:space="0" w:color="auto"/>
      </w:divBdr>
    </w:div>
    <w:div w:id="982005761">
      <w:bodyDiv w:val="1"/>
      <w:marLeft w:val="0"/>
      <w:marRight w:val="0"/>
      <w:marTop w:val="0"/>
      <w:marBottom w:val="0"/>
      <w:divBdr>
        <w:top w:val="none" w:sz="0" w:space="0" w:color="auto"/>
        <w:left w:val="none" w:sz="0" w:space="0" w:color="auto"/>
        <w:bottom w:val="none" w:sz="0" w:space="0" w:color="auto"/>
        <w:right w:val="none" w:sz="0" w:space="0" w:color="auto"/>
      </w:divBdr>
    </w:div>
    <w:div w:id="999036772">
      <w:bodyDiv w:val="1"/>
      <w:marLeft w:val="0"/>
      <w:marRight w:val="0"/>
      <w:marTop w:val="0"/>
      <w:marBottom w:val="0"/>
      <w:divBdr>
        <w:top w:val="none" w:sz="0" w:space="0" w:color="auto"/>
        <w:left w:val="none" w:sz="0" w:space="0" w:color="auto"/>
        <w:bottom w:val="none" w:sz="0" w:space="0" w:color="auto"/>
        <w:right w:val="none" w:sz="0" w:space="0" w:color="auto"/>
      </w:divBdr>
    </w:div>
    <w:div w:id="1002313091">
      <w:bodyDiv w:val="1"/>
      <w:marLeft w:val="0"/>
      <w:marRight w:val="0"/>
      <w:marTop w:val="0"/>
      <w:marBottom w:val="0"/>
      <w:divBdr>
        <w:top w:val="none" w:sz="0" w:space="0" w:color="auto"/>
        <w:left w:val="none" w:sz="0" w:space="0" w:color="auto"/>
        <w:bottom w:val="none" w:sz="0" w:space="0" w:color="auto"/>
        <w:right w:val="none" w:sz="0" w:space="0" w:color="auto"/>
      </w:divBdr>
    </w:div>
    <w:div w:id="1025011904">
      <w:bodyDiv w:val="1"/>
      <w:marLeft w:val="0"/>
      <w:marRight w:val="0"/>
      <w:marTop w:val="0"/>
      <w:marBottom w:val="0"/>
      <w:divBdr>
        <w:top w:val="none" w:sz="0" w:space="0" w:color="auto"/>
        <w:left w:val="none" w:sz="0" w:space="0" w:color="auto"/>
        <w:bottom w:val="none" w:sz="0" w:space="0" w:color="auto"/>
        <w:right w:val="none" w:sz="0" w:space="0" w:color="auto"/>
      </w:divBdr>
    </w:div>
    <w:div w:id="1033110682">
      <w:bodyDiv w:val="1"/>
      <w:marLeft w:val="0"/>
      <w:marRight w:val="0"/>
      <w:marTop w:val="0"/>
      <w:marBottom w:val="0"/>
      <w:divBdr>
        <w:top w:val="none" w:sz="0" w:space="0" w:color="auto"/>
        <w:left w:val="none" w:sz="0" w:space="0" w:color="auto"/>
        <w:bottom w:val="none" w:sz="0" w:space="0" w:color="auto"/>
        <w:right w:val="none" w:sz="0" w:space="0" w:color="auto"/>
      </w:divBdr>
    </w:div>
    <w:div w:id="1038162959">
      <w:bodyDiv w:val="1"/>
      <w:marLeft w:val="0"/>
      <w:marRight w:val="0"/>
      <w:marTop w:val="0"/>
      <w:marBottom w:val="0"/>
      <w:divBdr>
        <w:top w:val="none" w:sz="0" w:space="0" w:color="auto"/>
        <w:left w:val="none" w:sz="0" w:space="0" w:color="auto"/>
        <w:bottom w:val="none" w:sz="0" w:space="0" w:color="auto"/>
        <w:right w:val="none" w:sz="0" w:space="0" w:color="auto"/>
      </w:divBdr>
    </w:div>
    <w:div w:id="1038972394">
      <w:bodyDiv w:val="1"/>
      <w:marLeft w:val="0"/>
      <w:marRight w:val="0"/>
      <w:marTop w:val="0"/>
      <w:marBottom w:val="0"/>
      <w:divBdr>
        <w:top w:val="none" w:sz="0" w:space="0" w:color="auto"/>
        <w:left w:val="none" w:sz="0" w:space="0" w:color="auto"/>
        <w:bottom w:val="none" w:sz="0" w:space="0" w:color="auto"/>
        <w:right w:val="none" w:sz="0" w:space="0" w:color="auto"/>
      </w:divBdr>
    </w:div>
    <w:div w:id="1059591090">
      <w:bodyDiv w:val="1"/>
      <w:marLeft w:val="0"/>
      <w:marRight w:val="0"/>
      <w:marTop w:val="0"/>
      <w:marBottom w:val="0"/>
      <w:divBdr>
        <w:top w:val="none" w:sz="0" w:space="0" w:color="auto"/>
        <w:left w:val="none" w:sz="0" w:space="0" w:color="auto"/>
        <w:bottom w:val="none" w:sz="0" w:space="0" w:color="auto"/>
        <w:right w:val="none" w:sz="0" w:space="0" w:color="auto"/>
      </w:divBdr>
    </w:div>
    <w:div w:id="1187334255">
      <w:bodyDiv w:val="1"/>
      <w:marLeft w:val="0"/>
      <w:marRight w:val="0"/>
      <w:marTop w:val="0"/>
      <w:marBottom w:val="0"/>
      <w:divBdr>
        <w:top w:val="none" w:sz="0" w:space="0" w:color="auto"/>
        <w:left w:val="none" w:sz="0" w:space="0" w:color="auto"/>
        <w:bottom w:val="none" w:sz="0" w:space="0" w:color="auto"/>
        <w:right w:val="none" w:sz="0" w:space="0" w:color="auto"/>
      </w:divBdr>
    </w:div>
    <w:div w:id="1197352426">
      <w:bodyDiv w:val="1"/>
      <w:marLeft w:val="0"/>
      <w:marRight w:val="0"/>
      <w:marTop w:val="0"/>
      <w:marBottom w:val="0"/>
      <w:divBdr>
        <w:top w:val="none" w:sz="0" w:space="0" w:color="auto"/>
        <w:left w:val="none" w:sz="0" w:space="0" w:color="auto"/>
        <w:bottom w:val="none" w:sz="0" w:space="0" w:color="auto"/>
        <w:right w:val="none" w:sz="0" w:space="0" w:color="auto"/>
      </w:divBdr>
    </w:div>
    <w:div w:id="1197812652">
      <w:bodyDiv w:val="1"/>
      <w:marLeft w:val="0"/>
      <w:marRight w:val="0"/>
      <w:marTop w:val="0"/>
      <w:marBottom w:val="0"/>
      <w:divBdr>
        <w:top w:val="none" w:sz="0" w:space="0" w:color="auto"/>
        <w:left w:val="none" w:sz="0" w:space="0" w:color="auto"/>
        <w:bottom w:val="none" w:sz="0" w:space="0" w:color="auto"/>
        <w:right w:val="none" w:sz="0" w:space="0" w:color="auto"/>
      </w:divBdr>
    </w:div>
    <w:div w:id="1247958737">
      <w:bodyDiv w:val="1"/>
      <w:marLeft w:val="0"/>
      <w:marRight w:val="0"/>
      <w:marTop w:val="0"/>
      <w:marBottom w:val="0"/>
      <w:divBdr>
        <w:top w:val="none" w:sz="0" w:space="0" w:color="auto"/>
        <w:left w:val="none" w:sz="0" w:space="0" w:color="auto"/>
        <w:bottom w:val="none" w:sz="0" w:space="0" w:color="auto"/>
        <w:right w:val="none" w:sz="0" w:space="0" w:color="auto"/>
      </w:divBdr>
    </w:div>
    <w:div w:id="1249343004">
      <w:bodyDiv w:val="1"/>
      <w:marLeft w:val="0"/>
      <w:marRight w:val="0"/>
      <w:marTop w:val="0"/>
      <w:marBottom w:val="0"/>
      <w:divBdr>
        <w:top w:val="none" w:sz="0" w:space="0" w:color="auto"/>
        <w:left w:val="none" w:sz="0" w:space="0" w:color="auto"/>
        <w:bottom w:val="none" w:sz="0" w:space="0" w:color="auto"/>
        <w:right w:val="none" w:sz="0" w:space="0" w:color="auto"/>
      </w:divBdr>
    </w:div>
    <w:div w:id="1291747288">
      <w:bodyDiv w:val="1"/>
      <w:marLeft w:val="0"/>
      <w:marRight w:val="0"/>
      <w:marTop w:val="0"/>
      <w:marBottom w:val="0"/>
      <w:divBdr>
        <w:top w:val="none" w:sz="0" w:space="0" w:color="auto"/>
        <w:left w:val="none" w:sz="0" w:space="0" w:color="auto"/>
        <w:bottom w:val="none" w:sz="0" w:space="0" w:color="auto"/>
        <w:right w:val="none" w:sz="0" w:space="0" w:color="auto"/>
      </w:divBdr>
    </w:div>
    <w:div w:id="1364212005">
      <w:bodyDiv w:val="1"/>
      <w:marLeft w:val="0"/>
      <w:marRight w:val="0"/>
      <w:marTop w:val="0"/>
      <w:marBottom w:val="0"/>
      <w:divBdr>
        <w:top w:val="none" w:sz="0" w:space="0" w:color="auto"/>
        <w:left w:val="none" w:sz="0" w:space="0" w:color="auto"/>
        <w:bottom w:val="none" w:sz="0" w:space="0" w:color="auto"/>
        <w:right w:val="none" w:sz="0" w:space="0" w:color="auto"/>
      </w:divBdr>
    </w:div>
    <w:div w:id="1380663282">
      <w:bodyDiv w:val="1"/>
      <w:marLeft w:val="0"/>
      <w:marRight w:val="0"/>
      <w:marTop w:val="0"/>
      <w:marBottom w:val="0"/>
      <w:divBdr>
        <w:top w:val="none" w:sz="0" w:space="0" w:color="auto"/>
        <w:left w:val="none" w:sz="0" w:space="0" w:color="auto"/>
        <w:bottom w:val="none" w:sz="0" w:space="0" w:color="auto"/>
        <w:right w:val="none" w:sz="0" w:space="0" w:color="auto"/>
      </w:divBdr>
    </w:div>
    <w:div w:id="1409962854">
      <w:bodyDiv w:val="1"/>
      <w:marLeft w:val="0"/>
      <w:marRight w:val="0"/>
      <w:marTop w:val="0"/>
      <w:marBottom w:val="0"/>
      <w:divBdr>
        <w:top w:val="none" w:sz="0" w:space="0" w:color="auto"/>
        <w:left w:val="none" w:sz="0" w:space="0" w:color="auto"/>
        <w:bottom w:val="none" w:sz="0" w:space="0" w:color="auto"/>
        <w:right w:val="none" w:sz="0" w:space="0" w:color="auto"/>
      </w:divBdr>
    </w:div>
    <w:div w:id="1446390355">
      <w:bodyDiv w:val="1"/>
      <w:marLeft w:val="0"/>
      <w:marRight w:val="0"/>
      <w:marTop w:val="0"/>
      <w:marBottom w:val="0"/>
      <w:divBdr>
        <w:top w:val="none" w:sz="0" w:space="0" w:color="auto"/>
        <w:left w:val="none" w:sz="0" w:space="0" w:color="auto"/>
        <w:bottom w:val="none" w:sz="0" w:space="0" w:color="auto"/>
        <w:right w:val="none" w:sz="0" w:space="0" w:color="auto"/>
      </w:divBdr>
    </w:div>
    <w:div w:id="1461877187">
      <w:bodyDiv w:val="1"/>
      <w:marLeft w:val="0"/>
      <w:marRight w:val="0"/>
      <w:marTop w:val="0"/>
      <w:marBottom w:val="0"/>
      <w:divBdr>
        <w:top w:val="none" w:sz="0" w:space="0" w:color="auto"/>
        <w:left w:val="none" w:sz="0" w:space="0" w:color="auto"/>
        <w:bottom w:val="none" w:sz="0" w:space="0" w:color="auto"/>
        <w:right w:val="none" w:sz="0" w:space="0" w:color="auto"/>
      </w:divBdr>
    </w:div>
    <w:div w:id="1520703796">
      <w:bodyDiv w:val="1"/>
      <w:marLeft w:val="0"/>
      <w:marRight w:val="0"/>
      <w:marTop w:val="0"/>
      <w:marBottom w:val="0"/>
      <w:divBdr>
        <w:top w:val="none" w:sz="0" w:space="0" w:color="auto"/>
        <w:left w:val="none" w:sz="0" w:space="0" w:color="auto"/>
        <w:bottom w:val="none" w:sz="0" w:space="0" w:color="auto"/>
        <w:right w:val="none" w:sz="0" w:space="0" w:color="auto"/>
      </w:divBdr>
    </w:div>
    <w:div w:id="1546789370">
      <w:bodyDiv w:val="1"/>
      <w:marLeft w:val="0"/>
      <w:marRight w:val="0"/>
      <w:marTop w:val="0"/>
      <w:marBottom w:val="0"/>
      <w:divBdr>
        <w:top w:val="none" w:sz="0" w:space="0" w:color="auto"/>
        <w:left w:val="none" w:sz="0" w:space="0" w:color="auto"/>
        <w:bottom w:val="none" w:sz="0" w:space="0" w:color="auto"/>
        <w:right w:val="none" w:sz="0" w:space="0" w:color="auto"/>
      </w:divBdr>
    </w:div>
    <w:div w:id="1566646104">
      <w:bodyDiv w:val="1"/>
      <w:marLeft w:val="0"/>
      <w:marRight w:val="0"/>
      <w:marTop w:val="0"/>
      <w:marBottom w:val="0"/>
      <w:divBdr>
        <w:top w:val="none" w:sz="0" w:space="0" w:color="auto"/>
        <w:left w:val="none" w:sz="0" w:space="0" w:color="auto"/>
        <w:bottom w:val="none" w:sz="0" w:space="0" w:color="auto"/>
        <w:right w:val="none" w:sz="0" w:space="0" w:color="auto"/>
      </w:divBdr>
    </w:div>
    <w:div w:id="1587806600">
      <w:bodyDiv w:val="1"/>
      <w:marLeft w:val="0"/>
      <w:marRight w:val="0"/>
      <w:marTop w:val="0"/>
      <w:marBottom w:val="0"/>
      <w:divBdr>
        <w:top w:val="none" w:sz="0" w:space="0" w:color="auto"/>
        <w:left w:val="none" w:sz="0" w:space="0" w:color="auto"/>
        <w:bottom w:val="none" w:sz="0" w:space="0" w:color="auto"/>
        <w:right w:val="none" w:sz="0" w:space="0" w:color="auto"/>
      </w:divBdr>
    </w:div>
    <w:div w:id="1598248879">
      <w:bodyDiv w:val="1"/>
      <w:marLeft w:val="0"/>
      <w:marRight w:val="0"/>
      <w:marTop w:val="0"/>
      <w:marBottom w:val="0"/>
      <w:divBdr>
        <w:top w:val="none" w:sz="0" w:space="0" w:color="auto"/>
        <w:left w:val="none" w:sz="0" w:space="0" w:color="auto"/>
        <w:bottom w:val="none" w:sz="0" w:space="0" w:color="auto"/>
        <w:right w:val="none" w:sz="0" w:space="0" w:color="auto"/>
      </w:divBdr>
    </w:div>
    <w:div w:id="1607468647">
      <w:bodyDiv w:val="1"/>
      <w:marLeft w:val="0"/>
      <w:marRight w:val="0"/>
      <w:marTop w:val="0"/>
      <w:marBottom w:val="0"/>
      <w:divBdr>
        <w:top w:val="none" w:sz="0" w:space="0" w:color="auto"/>
        <w:left w:val="none" w:sz="0" w:space="0" w:color="auto"/>
        <w:bottom w:val="none" w:sz="0" w:space="0" w:color="auto"/>
        <w:right w:val="none" w:sz="0" w:space="0" w:color="auto"/>
      </w:divBdr>
    </w:div>
    <w:div w:id="1622951907">
      <w:bodyDiv w:val="1"/>
      <w:marLeft w:val="0"/>
      <w:marRight w:val="0"/>
      <w:marTop w:val="0"/>
      <w:marBottom w:val="0"/>
      <w:divBdr>
        <w:top w:val="none" w:sz="0" w:space="0" w:color="auto"/>
        <w:left w:val="none" w:sz="0" w:space="0" w:color="auto"/>
        <w:bottom w:val="none" w:sz="0" w:space="0" w:color="auto"/>
        <w:right w:val="none" w:sz="0" w:space="0" w:color="auto"/>
      </w:divBdr>
    </w:div>
    <w:div w:id="1654523271">
      <w:bodyDiv w:val="1"/>
      <w:marLeft w:val="0"/>
      <w:marRight w:val="0"/>
      <w:marTop w:val="0"/>
      <w:marBottom w:val="0"/>
      <w:divBdr>
        <w:top w:val="none" w:sz="0" w:space="0" w:color="auto"/>
        <w:left w:val="none" w:sz="0" w:space="0" w:color="auto"/>
        <w:bottom w:val="none" w:sz="0" w:space="0" w:color="auto"/>
        <w:right w:val="none" w:sz="0" w:space="0" w:color="auto"/>
      </w:divBdr>
    </w:div>
    <w:div w:id="1660158591">
      <w:bodyDiv w:val="1"/>
      <w:marLeft w:val="0"/>
      <w:marRight w:val="0"/>
      <w:marTop w:val="0"/>
      <w:marBottom w:val="0"/>
      <w:divBdr>
        <w:top w:val="none" w:sz="0" w:space="0" w:color="auto"/>
        <w:left w:val="none" w:sz="0" w:space="0" w:color="auto"/>
        <w:bottom w:val="none" w:sz="0" w:space="0" w:color="auto"/>
        <w:right w:val="none" w:sz="0" w:space="0" w:color="auto"/>
      </w:divBdr>
    </w:div>
    <w:div w:id="1663045893">
      <w:bodyDiv w:val="1"/>
      <w:marLeft w:val="0"/>
      <w:marRight w:val="0"/>
      <w:marTop w:val="0"/>
      <w:marBottom w:val="0"/>
      <w:divBdr>
        <w:top w:val="none" w:sz="0" w:space="0" w:color="auto"/>
        <w:left w:val="none" w:sz="0" w:space="0" w:color="auto"/>
        <w:bottom w:val="none" w:sz="0" w:space="0" w:color="auto"/>
        <w:right w:val="none" w:sz="0" w:space="0" w:color="auto"/>
      </w:divBdr>
    </w:div>
    <w:div w:id="1665549816">
      <w:bodyDiv w:val="1"/>
      <w:marLeft w:val="0"/>
      <w:marRight w:val="0"/>
      <w:marTop w:val="0"/>
      <w:marBottom w:val="0"/>
      <w:divBdr>
        <w:top w:val="none" w:sz="0" w:space="0" w:color="auto"/>
        <w:left w:val="none" w:sz="0" w:space="0" w:color="auto"/>
        <w:bottom w:val="none" w:sz="0" w:space="0" w:color="auto"/>
        <w:right w:val="none" w:sz="0" w:space="0" w:color="auto"/>
      </w:divBdr>
    </w:div>
    <w:div w:id="1725714813">
      <w:bodyDiv w:val="1"/>
      <w:marLeft w:val="0"/>
      <w:marRight w:val="0"/>
      <w:marTop w:val="0"/>
      <w:marBottom w:val="0"/>
      <w:divBdr>
        <w:top w:val="none" w:sz="0" w:space="0" w:color="auto"/>
        <w:left w:val="none" w:sz="0" w:space="0" w:color="auto"/>
        <w:bottom w:val="none" w:sz="0" w:space="0" w:color="auto"/>
        <w:right w:val="none" w:sz="0" w:space="0" w:color="auto"/>
      </w:divBdr>
    </w:div>
    <w:div w:id="1828742688">
      <w:bodyDiv w:val="1"/>
      <w:marLeft w:val="0"/>
      <w:marRight w:val="0"/>
      <w:marTop w:val="0"/>
      <w:marBottom w:val="0"/>
      <w:divBdr>
        <w:top w:val="none" w:sz="0" w:space="0" w:color="auto"/>
        <w:left w:val="none" w:sz="0" w:space="0" w:color="auto"/>
        <w:bottom w:val="none" w:sz="0" w:space="0" w:color="auto"/>
        <w:right w:val="none" w:sz="0" w:space="0" w:color="auto"/>
      </w:divBdr>
    </w:div>
    <w:div w:id="1843856746">
      <w:bodyDiv w:val="1"/>
      <w:marLeft w:val="0"/>
      <w:marRight w:val="0"/>
      <w:marTop w:val="0"/>
      <w:marBottom w:val="0"/>
      <w:divBdr>
        <w:top w:val="none" w:sz="0" w:space="0" w:color="auto"/>
        <w:left w:val="none" w:sz="0" w:space="0" w:color="auto"/>
        <w:bottom w:val="none" w:sz="0" w:space="0" w:color="auto"/>
        <w:right w:val="none" w:sz="0" w:space="0" w:color="auto"/>
      </w:divBdr>
    </w:div>
    <w:div w:id="1880700062">
      <w:bodyDiv w:val="1"/>
      <w:marLeft w:val="0"/>
      <w:marRight w:val="0"/>
      <w:marTop w:val="0"/>
      <w:marBottom w:val="0"/>
      <w:divBdr>
        <w:top w:val="none" w:sz="0" w:space="0" w:color="auto"/>
        <w:left w:val="none" w:sz="0" w:space="0" w:color="auto"/>
        <w:bottom w:val="none" w:sz="0" w:space="0" w:color="auto"/>
        <w:right w:val="none" w:sz="0" w:space="0" w:color="auto"/>
      </w:divBdr>
    </w:div>
    <w:div w:id="1881816711">
      <w:bodyDiv w:val="1"/>
      <w:marLeft w:val="0"/>
      <w:marRight w:val="0"/>
      <w:marTop w:val="0"/>
      <w:marBottom w:val="0"/>
      <w:divBdr>
        <w:top w:val="none" w:sz="0" w:space="0" w:color="auto"/>
        <w:left w:val="none" w:sz="0" w:space="0" w:color="auto"/>
        <w:bottom w:val="none" w:sz="0" w:space="0" w:color="auto"/>
        <w:right w:val="none" w:sz="0" w:space="0" w:color="auto"/>
      </w:divBdr>
    </w:div>
    <w:div w:id="1895502218">
      <w:bodyDiv w:val="1"/>
      <w:marLeft w:val="0"/>
      <w:marRight w:val="0"/>
      <w:marTop w:val="0"/>
      <w:marBottom w:val="0"/>
      <w:divBdr>
        <w:top w:val="none" w:sz="0" w:space="0" w:color="auto"/>
        <w:left w:val="none" w:sz="0" w:space="0" w:color="auto"/>
        <w:bottom w:val="none" w:sz="0" w:space="0" w:color="auto"/>
        <w:right w:val="none" w:sz="0" w:space="0" w:color="auto"/>
      </w:divBdr>
    </w:div>
    <w:div w:id="1900482001">
      <w:bodyDiv w:val="1"/>
      <w:marLeft w:val="0"/>
      <w:marRight w:val="0"/>
      <w:marTop w:val="0"/>
      <w:marBottom w:val="0"/>
      <w:divBdr>
        <w:top w:val="none" w:sz="0" w:space="0" w:color="auto"/>
        <w:left w:val="none" w:sz="0" w:space="0" w:color="auto"/>
        <w:bottom w:val="none" w:sz="0" w:space="0" w:color="auto"/>
        <w:right w:val="none" w:sz="0" w:space="0" w:color="auto"/>
      </w:divBdr>
    </w:div>
    <w:div w:id="1937908346">
      <w:bodyDiv w:val="1"/>
      <w:marLeft w:val="0"/>
      <w:marRight w:val="0"/>
      <w:marTop w:val="0"/>
      <w:marBottom w:val="0"/>
      <w:divBdr>
        <w:top w:val="none" w:sz="0" w:space="0" w:color="auto"/>
        <w:left w:val="none" w:sz="0" w:space="0" w:color="auto"/>
        <w:bottom w:val="none" w:sz="0" w:space="0" w:color="auto"/>
        <w:right w:val="none" w:sz="0" w:space="0" w:color="auto"/>
      </w:divBdr>
    </w:div>
    <w:div w:id="1945843274">
      <w:bodyDiv w:val="1"/>
      <w:marLeft w:val="0"/>
      <w:marRight w:val="0"/>
      <w:marTop w:val="0"/>
      <w:marBottom w:val="0"/>
      <w:divBdr>
        <w:top w:val="none" w:sz="0" w:space="0" w:color="auto"/>
        <w:left w:val="none" w:sz="0" w:space="0" w:color="auto"/>
        <w:bottom w:val="none" w:sz="0" w:space="0" w:color="auto"/>
        <w:right w:val="none" w:sz="0" w:space="0" w:color="auto"/>
      </w:divBdr>
    </w:div>
    <w:div w:id="1950548213">
      <w:bodyDiv w:val="1"/>
      <w:marLeft w:val="0"/>
      <w:marRight w:val="0"/>
      <w:marTop w:val="0"/>
      <w:marBottom w:val="0"/>
      <w:divBdr>
        <w:top w:val="none" w:sz="0" w:space="0" w:color="auto"/>
        <w:left w:val="none" w:sz="0" w:space="0" w:color="auto"/>
        <w:bottom w:val="none" w:sz="0" w:space="0" w:color="auto"/>
        <w:right w:val="none" w:sz="0" w:space="0" w:color="auto"/>
      </w:divBdr>
    </w:div>
    <w:div w:id="2013530049">
      <w:bodyDiv w:val="1"/>
      <w:marLeft w:val="0"/>
      <w:marRight w:val="0"/>
      <w:marTop w:val="0"/>
      <w:marBottom w:val="0"/>
      <w:divBdr>
        <w:top w:val="none" w:sz="0" w:space="0" w:color="auto"/>
        <w:left w:val="none" w:sz="0" w:space="0" w:color="auto"/>
        <w:bottom w:val="none" w:sz="0" w:space="0" w:color="auto"/>
        <w:right w:val="none" w:sz="0" w:space="0" w:color="auto"/>
      </w:divBdr>
    </w:div>
    <w:div w:id="2054572985">
      <w:bodyDiv w:val="1"/>
      <w:marLeft w:val="0"/>
      <w:marRight w:val="0"/>
      <w:marTop w:val="0"/>
      <w:marBottom w:val="0"/>
      <w:divBdr>
        <w:top w:val="none" w:sz="0" w:space="0" w:color="auto"/>
        <w:left w:val="none" w:sz="0" w:space="0" w:color="auto"/>
        <w:bottom w:val="none" w:sz="0" w:space="0" w:color="auto"/>
        <w:right w:val="none" w:sz="0" w:space="0" w:color="auto"/>
      </w:divBdr>
    </w:div>
    <w:div w:id="2071880983">
      <w:bodyDiv w:val="1"/>
      <w:marLeft w:val="0"/>
      <w:marRight w:val="0"/>
      <w:marTop w:val="0"/>
      <w:marBottom w:val="0"/>
      <w:divBdr>
        <w:top w:val="none" w:sz="0" w:space="0" w:color="auto"/>
        <w:left w:val="none" w:sz="0" w:space="0" w:color="auto"/>
        <w:bottom w:val="none" w:sz="0" w:space="0" w:color="auto"/>
        <w:right w:val="none" w:sz="0" w:space="0" w:color="auto"/>
      </w:divBdr>
    </w:div>
    <w:div w:id="2085375453">
      <w:bodyDiv w:val="1"/>
      <w:marLeft w:val="0"/>
      <w:marRight w:val="0"/>
      <w:marTop w:val="0"/>
      <w:marBottom w:val="0"/>
      <w:divBdr>
        <w:top w:val="none" w:sz="0" w:space="0" w:color="auto"/>
        <w:left w:val="none" w:sz="0" w:space="0" w:color="auto"/>
        <w:bottom w:val="none" w:sz="0" w:space="0" w:color="auto"/>
        <w:right w:val="none" w:sz="0" w:space="0" w:color="auto"/>
      </w:divBdr>
    </w:div>
    <w:div w:id="2108455780">
      <w:bodyDiv w:val="1"/>
      <w:marLeft w:val="0"/>
      <w:marRight w:val="0"/>
      <w:marTop w:val="0"/>
      <w:marBottom w:val="0"/>
      <w:divBdr>
        <w:top w:val="none" w:sz="0" w:space="0" w:color="auto"/>
        <w:left w:val="none" w:sz="0" w:space="0" w:color="auto"/>
        <w:bottom w:val="none" w:sz="0" w:space="0" w:color="auto"/>
        <w:right w:val="none" w:sz="0" w:space="0" w:color="auto"/>
      </w:divBdr>
    </w:div>
    <w:div w:id="2123643380">
      <w:bodyDiv w:val="1"/>
      <w:marLeft w:val="0"/>
      <w:marRight w:val="0"/>
      <w:marTop w:val="0"/>
      <w:marBottom w:val="0"/>
      <w:divBdr>
        <w:top w:val="none" w:sz="0" w:space="0" w:color="auto"/>
        <w:left w:val="none" w:sz="0" w:space="0" w:color="auto"/>
        <w:bottom w:val="none" w:sz="0" w:space="0" w:color="auto"/>
        <w:right w:val="none" w:sz="0" w:space="0" w:color="auto"/>
      </w:divBdr>
    </w:div>
    <w:div w:id="2130515269">
      <w:bodyDiv w:val="1"/>
      <w:marLeft w:val="0"/>
      <w:marRight w:val="0"/>
      <w:marTop w:val="0"/>
      <w:marBottom w:val="0"/>
      <w:divBdr>
        <w:top w:val="none" w:sz="0" w:space="0" w:color="auto"/>
        <w:left w:val="none" w:sz="0" w:space="0" w:color="auto"/>
        <w:bottom w:val="none" w:sz="0" w:space="0" w:color="auto"/>
        <w:right w:val="none" w:sz="0" w:space="0" w:color="auto"/>
      </w:divBdr>
    </w:div>
    <w:div w:id="2144151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Frontiers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C3FF469C-7174-43F3-84F5-8F4D2B9F31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C:\Users\joshua.stocco\Documents\Templates\Frontiers_Word_Templates\Frontiers_template.dotx</Template>
  <TotalTime>301</TotalTime>
  <Pages>10</Pages>
  <Words>5717</Words>
  <Characters>32590</Characters>
  <Application>Microsoft Office Word</Application>
  <DocSecurity>0</DocSecurity>
  <Lines>271</Lines>
  <Paragraphs>76</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
  <LinksUpToDate>false</LinksUpToDate>
  <CharactersWithSpaces>38231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Karlsson</dc:creator>
  <cp:keywords/>
  <dc:description/>
  <cp:lastModifiedBy>Philip Karlsson</cp:lastModifiedBy>
  <cp:revision>24</cp:revision>
  <cp:lastPrinted>2022-09-16T13:49:00Z</cp:lastPrinted>
  <dcterms:created xsi:type="dcterms:W3CDTF">2022-06-22T09:37:00Z</dcterms:created>
  <dcterms:modified xsi:type="dcterms:W3CDTF">2022-10-07T17:58:00Z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11th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http://www.zotero.org/styles/international-journal-of-infectious-diseases</vt:lpwstr>
  </property>
  <property fmtid="{D5CDD505-2E9C-101B-9397-08002B2CF9AE}" pid="13" name="Mendeley Recent Style Name 5_1">
    <vt:lpwstr>International Journal of Infectious Diseases</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9th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2f208ef6-7ffe-3666-8594-e856a6b1bb4e</vt:lpwstr>
  </property>
  <property fmtid="{D5CDD505-2E9C-101B-9397-08002B2CF9AE}" pid="24" name="Mendeley Citation Style_1">
    <vt:lpwstr>http://www.zotero.org/styles/vancouver</vt:lpwstr>
  </property>
</Properties>
</file>