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77777777" w:rsidR="00994A3D" w:rsidRPr="00994A3D" w:rsidRDefault="00654E8F" w:rsidP="0001436A">
      <w:pPr>
        <w:pStyle w:val="1"/>
      </w:pPr>
      <w:r w:rsidRPr="00994A3D">
        <w:t>Supplementary Figures and Tables</w:t>
      </w:r>
    </w:p>
    <w:p w14:paraId="6B890D43" w14:textId="7A9FC8C8" w:rsidR="00027653" w:rsidRPr="00027653" w:rsidRDefault="00994A3D" w:rsidP="00027653">
      <w:pPr>
        <w:pStyle w:val="2"/>
      </w:pPr>
      <w:r w:rsidRPr="0001436A">
        <w:t>Supplementary</w:t>
      </w:r>
      <w:r w:rsidRPr="001549D3">
        <w:t xml:space="preserve"> Figures</w:t>
      </w:r>
    </w:p>
    <w:p w14:paraId="3C419443" w14:textId="3266D0D2" w:rsidR="00994A3D" w:rsidRPr="001549D3" w:rsidRDefault="00027653" w:rsidP="00994A3D">
      <w:pPr>
        <w:keepNext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2D65C6A2" wp14:editId="3481ED20">
            <wp:extent cx="5943600" cy="3874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AA321" w14:textId="287957D5" w:rsidR="00027653" w:rsidRPr="0021750B" w:rsidRDefault="00994A3D" w:rsidP="00027653">
      <w:pPr>
        <w:snapToGrid w:val="0"/>
        <w:spacing w:line="480" w:lineRule="auto"/>
        <w:jc w:val="center"/>
        <w:rPr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="00ED2495">
        <w:rPr>
          <w:rFonts w:cs="Times New Roman"/>
          <w:b/>
          <w:szCs w:val="24"/>
        </w:rPr>
        <w:t xml:space="preserve"> </w:t>
      </w:r>
      <w:r w:rsidRPr="001549D3">
        <w:rPr>
          <w:rFonts w:cs="Times New Roman"/>
          <w:szCs w:val="24"/>
        </w:rPr>
        <w:t xml:space="preserve"> </w:t>
      </w:r>
      <w:r w:rsidR="00027653" w:rsidRPr="0021750B">
        <w:rPr>
          <w:rFonts w:cs="Times New Roman"/>
          <w:szCs w:val="24"/>
        </w:rPr>
        <w:t>Flowchart</w:t>
      </w:r>
      <w:r w:rsidR="00027653" w:rsidRPr="0021750B">
        <w:rPr>
          <w:szCs w:val="24"/>
        </w:rPr>
        <w:t xml:space="preserve"> of participant selection</w:t>
      </w:r>
    </w:p>
    <w:p w14:paraId="2DD1187C" w14:textId="3D6369AE" w:rsidR="00027653" w:rsidRDefault="00027653" w:rsidP="00ED2495">
      <w:pPr>
        <w:snapToGrid w:val="0"/>
        <w:spacing w:line="480" w:lineRule="auto"/>
        <w:jc w:val="both"/>
        <w:rPr>
          <w:sz w:val="22"/>
        </w:rPr>
      </w:pPr>
      <w:r w:rsidRPr="00A37C64">
        <w:rPr>
          <w:i/>
          <w:sz w:val="22"/>
        </w:rPr>
        <w:t>[</w:t>
      </w:r>
      <w:r w:rsidRPr="00A37C64">
        <w:rPr>
          <w:i/>
          <w:sz w:val="22"/>
          <w:vertAlign w:val="superscript"/>
        </w:rPr>
        <w:t>68</w:t>
      </w:r>
      <w:r w:rsidRPr="00A37C64">
        <w:rPr>
          <w:i/>
          <w:sz w:val="22"/>
        </w:rPr>
        <w:t>Ga]Ga-FAPI</w:t>
      </w:r>
      <w:r w:rsidRPr="00A37C64">
        <w:rPr>
          <w:sz w:val="22"/>
        </w:rPr>
        <w:t xml:space="preserve">, gallium 68-fibroblast-activation protein inhibitor; </w:t>
      </w:r>
      <w:r w:rsidRPr="00A37C64">
        <w:rPr>
          <w:i/>
          <w:sz w:val="22"/>
        </w:rPr>
        <w:t>[</w:t>
      </w:r>
      <w:r w:rsidRPr="00A37C64">
        <w:rPr>
          <w:i/>
          <w:sz w:val="22"/>
          <w:vertAlign w:val="superscript"/>
        </w:rPr>
        <w:t>18</w:t>
      </w:r>
      <w:r w:rsidRPr="00A37C64">
        <w:rPr>
          <w:i/>
          <w:sz w:val="22"/>
        </w:rPr>
        <w:t>F]F-FDG</w:t>
      </w:r>
      <w:r w:rsidRPr="00A37C64">
        <w:rPr>
          <w:sz w:val="22"/>
        </w:rPr>
        <w:t xml:space="preserve">, fluorine-18 fluorodeoxyglucose; </w:t>
      </w:r>
      <w:r w:rsidRPr="00A37C64">
        <w:rPr>
          <w:i/>
          <w:sz w:val="22"/>
        </w:rPr>
        <w:t>CT</w:t>
      </w:r>
      <w:r w:rsidRPr="00A37C64">
        <w:rPr>
          <w:sz w:val="22"/>
        </w:rPr>
        <w:t xml:space="preserve">, computed tomography; </w:t>
      </w:r>
      <w:r w:rsidRPr="00A37C64">
        <w:rPr>
          <w:i/>
          <w:sz w:val="22"/>
        </w:rPr>
        <w:t>PET</w:t>
      </w:r>
      <w:r w:rsidRPr="00A37C64">
        <w:rPr>
          <w:sz w:val="22"/>
        </w:rPr>
        <w:t>, positron emission tomography</w:t>
      </w:r>
    </w:p>
    <w:p w14:paraId="29DA13C6" w14:textId="2E356B6C" w:rsidR="0021750B" w:rsidRDefault="0021750B" w:rsidP="00027653">
      <w:pPr>
        <w:snapToGrid w:val="0"/>
        <w:spacing w:line="480" w:lineRule="auto"/>
        <w:rPr>
          <w:sz w:val="22"/>
        </w:rPr>
      </w:pPr>
    </w:p>
    <w:p w14:paraId="5266D591" w14:textId="4E1BF284" w:rsidR="0021750B" w:rsidRDefault="0021750B" w:rsidP="00027653">
      <w:pPr>
        <w:snapToGrid w:val="0"/>
        <w:spacing w:line="480" w:lineRule="auto"/>
        <w:rPr>
          <w:sz w:val="22"/>
        </w:rPr>
      </w:pPr>
    </w:p>
    <w:p w14:paraId="21339FCD" w14:textId="548639E3" w:rsidR="0021750B" w:rsidRDefault="0021750B" w:rsidP="00027653">
      <w:pPr>
        <w:snapToGrid w:val="0"/>
        <w:spacing w:line="480" w:lineRule="auto"/>
        <w:rPr>
          <w:sz w:val="22"/>
        </w:rPr>
      </w:pPr>
    </w:p>
    <w:p w14:paraId="3C679F11" w14:textId="77777777" w:rsidR="0021750B" w:rsidRDefault="0021750B" w:rsidP="00027653">
      <w:pPr>
        <w:snapToGrid w:val="0"/>
        <w:spacing w:line="480" w:lineRule="auto"/>
        <w:rPr>
          <w:sz w:val="22"/>
        </w:rPr>
      </w:pPr>
    </w:p>
    <w:p w14:paraId="4DE56E6A" w14:textId="2828F34B" w:rsidR="00027653" w:rsidRPr="00027653" w:rsidRDefault="00027653" w:rsidP="00027653">
      <w:pPr>
        <w:pStyle w:val="2"/>
        <w:numPr>
          <w:ilvl w:val="1"/>
          <w:numId w:val="14"/>
        </w:numPr>
      </w:pPr>
      <w:r w:rsidRPr="0001436A">
        <w:lastRenderedPageBreak/>
        <w:t>Supplementary</w:t>
      </w:r>
      <w:r w:rsidRPr="001549D3">
        <w:t xml:space="preserve"> </w:t>
      </w:r>
      <w:r>
        <w:t>Tables</w:t>
      </w:r>
    </w:p>
    <w:p w14:paraId="1DFDAE8A" w14:textId="6E4E34B3" w:rsidR="0021750B" w:rsidRDefault="00027653" w:rsidP="0021750B">
      <w:pPr>
        <w:snapToGrid w:val="0"/>
        <w:spacing w:line="480" w:lineRule="auto"/>
        <w:jc w:val="center"/>
        <w:rPr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21750B">
        <w:rPr>
          <w:rFonts w:cs="Times New Roman"/>
          <w:b/>
          <w:szCs w:val="24"/>
        </w:rPr>
        <w:t xml:space="preserve"> </w:t>
      </w:r>
      <w:r w:rsidR="0021750B" w:rsidRPr="0021750B">
        <w:rPr>
          <w:rFonts w:cs="Times New Roman"/>
          <w:szCs w:val="24"/>
        </w:rPr>
        <w:t>Co</w:t>
      </w:r>
      <w:r w:rsidR="0021750B" w:rsidRPr="0021750B">
        <w:rPr>
          <w:szCs w:val="24"/>
        </w:rPr>
        <w:t>mparison of [</w:t>
      </w:r>
      <w:r w:rsidR="0021750B" w:rsidRPr="0021750B">
        <w:rPr>
          <w:szCs w:val="24"/>
          <w:vertAlign w:val="superscript"/>
        </w:rPr>
        <w:t>18</w:t>
      </w:r>
      <w:r w:rsidR="0021750B" w:rsidRPr="0021750B">
        <w:rPr>
          <w:szCs w:val="24"/>
        </w:rPr>
        <w:t>F]F-FDG PET/CT images of suspicious abdominal lymph nodes reviewed by physicians in group 1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1750B" w:rsidRPr="0021750B" w14:paraId="7C9298C5" w14:textId="77777777" w:rsidTr="00E602EE"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079EE5CF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2</w:t>
            </w:r>
          </w:p>
          <w:p w14:paraId="75E2FD3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(M.W.)</w:t>
            </w:r>
          </w:p>
        </w:tc>
        <w:tc>
          <w:tcPr>
            <w:tcW w:w="56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19A1C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1 (X.C.)</w:t>
            </w:r>
          </w:p>
        </w:tc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125FB43F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</w:tr>
      <w:tr w:rsidR="0021750B" w:rsidRPr="0021750B" w14:paraId="2AA02286" w14:textId="77777777" w:rsidTr="00E602EE"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FBAD23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both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</w:tcPr>
          <w:p w14:paraId="382DDD0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bookmarkStart w:id="0" w:name="_Hlk50118255"/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bookmarkEnd w:id="0"/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</w:tcPr>
          <w:p w14:paraId="528509B1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</w:tcPr>
          <w:p w14:paraId="54D1B553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260BD2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</w:tr>
      <w:tr w:rsidR="0021750B" w:rsidRPr="0021750B" w14:paraId="7D1FE464" w14:textId="77777777" w:rsidTr="00E602EE"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C594119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672354C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178BB2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1FAF8A2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2C52BCC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5</w:t>
            </w:r>
          </w:p>
        </w:tc>
      </w:tr>
      <w:tr w:rsidR="0021750B" w:rsidRPr="0021750B" w14:paraId="75BAD232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B89DDF1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3144C1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CB779D3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5C9765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CCD942F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18</w:t>
            </w:r>
          </w:p>
        </w:tc>
      </w:tr>
      <w:tr w:rsidR="0021750B" w:rsidRPr="0021750B" w14:paraId="0EF49963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B1EC393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641982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D77AB8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2FCF25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CEA2E0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6</w:t>
            </w:r>
          </w:p>
        </w:tc>
      </w:tr>
      <w:tr w:rsidR="0021750B" w:rsidRPr="0021750B" w14:paraId="7C71E7A2" w14:textId="77777777" w:rsidTr="00E602EE"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58AD3272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07752432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3FA516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2511C1F3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54A3F79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29</w:t>
            </w:r>
          </w:p>
        </w:tc>
      </w:tr>
    </w:tbl>
    <w:p w14:paraId="252111C0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−, to be judged negative by visual assessment; +, to be judged positive by visual assessment; −/+, to be judged as ambiguous by visual assessment</w:t>
      </w:r>
    </w:p>
    <w:p w14:paraId="00B2B750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The κ value was 0.814 (</w:t>
      </w:r>
      <w:r w:rsidRPr="00A37C64">
        <w:rPr>
          <w:i/>
          <w:sz w:val="22"/>
        </w:rPr>
        <w:t>P</w:t>
      </w:r>
      <w:r w:rsidRPr="00A37C64">
        <w:rPr>
          <w:sz w:val="22"/>
        </w:rPr>
        <w:t xml:space="preserve"> &lt; 0.001), indicating that the inter-reader agreement was nearly perfect in group 1.</w:t>
      </w:r>
    </w:p>
    <w:p w14:paraId="632F3341" w14:textId="77777777" w:rsidR="0021750B" w:rsidRDefault="0021750B" w:rsidP="0021750B">
      <w:pPr>
        <w:snapToGrid w:val="0"/>
        <w:spacing w:after="160"/>
        <w:jc w:val="both"/>
        <w:rPr>
          <w:rFonts w:cs="Times New Roman"/>
          <w:iCs/>
          <w:sz w:val="22"/>
        </w:rPr>
      </w:pPr>
      <w:r w:rsidRPr="00A37C64">
        <w:rPr>
          <w:i/>
          <w:sz w:val="22"/>
        </w:rPr>
        <w:t>[</w:t>
      </w:r>
      <w:r w:rsidRPr="00A37C64">
        <w:rPr>
          <w:i/>
          <w:sz w:val="22"/>
          <w:vertAlign w:val="superscript"/>
        </w:rPr>
        <w:t>18</w:t>
      </w:r>
      <w:r w:rsidRPr="00A37C64">
        <w:rPr>
          <w:i/>
          <w:sz w:val="22"/>
        </w:rPr>
        <w:t>F]F-FDG</w:t>
      </w:r>
      <w:r w:rsidRPr="00A37C64">
        <w:rPr>
          <w:sz w:val="22"/>
        </w:rPr>
        <w:t xml:space="preserve">, fluorine-18 fluorodeoxyglucose; </w:t>
      </w:r>
      <w:r w:rsidRPr="00A37C64">
        <w:rPr>
          <w:i/>
          <w:sz w:val="22"/>
        </w:rPr>
        <w:t>CT</w:t>
      </w:r>
      <w:r w:rsidRPr="00A37C64">
        <w:rPr>
          <w:sz w:val="22"/>
        </w:rPr>
        <w:t xml:space="preserve">, computed tomography; </w:t>
      </w:r>
      <w:r w:rsidRPr="00A37C64">
        <w:rPr>
          <w:i/>
          <w:sz w:val="22"/>
        </w:rPr>
        <w:t>PET</w:t>
      </w:r>
      <w:r w:rsidRPr="00A37C64">
        <w:rPr>
          <w:sz w:val="22"/>
        </w:rPr>
        <w:t xml:space="preserve">, positron emission tomography </w:t>
      </w:r>
    </w:p>
    <w:p w14:paraId="173BF493" w14:textId="2A38A194" w:rsidR="0021750B" w:rsidRDefault="0021750B" w:rsidP="00027653">
      <w:pPr>
        <w:snapToGrid w:val="0"/>
        <w:spacing w:line="480" w:lineRule="auto"/>
        <w:rPr>
          <w:b/>
          <w:bCs/>
          <w:szCs w:val="24"/>
          <w:lang w:eastAsia="zh-CN"/>
        </w:rPr>
      </w:pPr>
    </w:p>
    <w:p w14:paraId="599B7EFC" w14:textId="77777777" w:rsidR="0021750B" w:rsidRDefault="0021750B">
      <w:pPr>
        <w:spacing w:before="0" w:after="200" w:line="276" w:lineRule="auto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br w:type="page"/>
      </w:r>
    </w:p>
    <w:p w14:paraId="2B186738" w14:textId="77777777" w:rsidR="0021750B" w:rsidRPr="00A37C64" w:rsidRDefault="0021750B" w:rsidP="0021750B">
      <w:pPr>
        <w:snapToGrid w:val="0"/>
        <w:spacing w:line="480" w:lineRule="auto"/>
        <w:jc w:val="center"/>
        <w:rPr>
          <w:sz w:val="22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Pr="0021750B">
        <w:rPr>
          <w:rFonts w:cs="Times New Roman"/>
          <w:b/>
          <w:szCs w:val="24"/>
        </w:rPr>
        <w:t xml:space="preserve"> </w:t>
      </w:r>
      <w:bookmarkStart w:id="1" w:name="_Hlk103243288"/>
      <w:r w:rsidRPr="0021750B">
        <w:rPr>
          <w:szCs w:val="24"/>
        </w:rPr>
        <w:t>Comparison of [</w:t>
      </w:r>
      <w:r w:rsidRPr="0021750B">
        <w:rPr>
          <w:szCs w:val="24"/>
          <w:vertAlign w:val="superscript"/>
        </w:rPr>
        <w:t>68</w:t>
      </w:r>
      <w:r w:rsidRPr="0021750B">
        <w:rPr>
          <w:szCs w:val="24"/>
        </w:rPr>
        <w:t>Ga]Ga-FAPI-04</w:t>
      </w:r>
      <w:bookmarkEnd w:id="1"/>
      <w:r w:rsidRPr="0021750B">
        <w:rPr>
          <w:szCs w:val="24"/>
        </w:rPr>
        <w:t xml:space="preserve"> PET/CT images of suspicious abdominal lymph nodes reviewed by physicians in group 2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1750B" w:rsidRPr="0021750B" w14:paraId="5424FD42" w14:textId="77777777" w:rsidTr="00E602EE"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2394EA6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2</w:t>
            </w:r>
          </w:p>
          <w:p w14:paraId="22F21DA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(X.W.)</w:t>
            </w:r>
          </w:p>
        </w:tc>
        <w:tc>
          <w:tcPr>
            <w:tcW w:w="561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8898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1 (X.L.)</w:t>
            </w:r>
          </w:p>
        </w:tc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6E6FDAA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</w:tr>
      <w:tr w:rsidR="0021750B" w:rsidRPr="0021750B" w14:paraId="232684BF" w14:textId="77777777" w:rsidTr="00E602EE"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14A1B9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both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8CFA64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6EB36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577F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38411B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</w:tr>
      <w:tr w:rsidR="0021750B" w:rsidRPr="0021750B" w14:paraId="03428EA8" w14:textId="77777777" w:rsidTr="00E602EE"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17BF685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2513442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10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6F2A3E84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42AD508E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0DF8222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11</w:t>
            </w:r>
          </w:p>
        </w:tc>
      </w:tr>
      <w:tr w:rsidR="0021750B" w:rsidRPr="0021750B" w14:paraId="66134048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B6772C3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AAA715E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7CBFB6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32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778EA4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4C148D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33</w:t>
            </w:r>
          </w:p>
        </w:tc>
      </w:tr>
      <w:tr w:rsidR="0021750B" w:rsidRPr="0021750B" w14:paraId="0B864E3B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B95F981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3917A32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F0989B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BF4D1C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A207DC9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5</w:t>
            </w:r>
          </w:p>
        </w:tc>
      </w:tr>
      <w:tr w:rsidR="0021750B" w:rsidRPr="0021750B" w14:paraId="2B84AE44" w14:textId="77777777" w:rsidTr="00E602EE"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A73E87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0BAA6F42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247AEFC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33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1B4D4CA2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7F81A42F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49</w:t>
            </w:r>
          </w:p>
        </w:tc>
      </w:tr>
    </w:tbl>
    <w:p w14:paraId="1E432AF0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-, to be judged negative by visual assessment; +, to be judged positive by visual assessment; −/+, to be judged as ambiguous by visual assessment</w:t>
      </w:r>
    </w:p>
    <w:p w14:paraId="11D2FE46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The simple kappa coefficient κ value was 0.875 (</w:t>
      </w:r>
      <w:r w:rsidRPr="00A37C64">
        <w:rPr>
          <w:i/>
          <w:sz w:val="22"/>
        </w:rPr>
        <w:t>P</w:t>
      </w:r>
      <w:r w:rsidRPr="00A37C64">
        <w:rPr>
          <w:sz w:val="22"/>
        </w:rPr>
        <w:t xml:space="preserve"> &lt; 0.001), indicating that the inter-reader agreement was nearly perfect in group 2.</w:t>
      </w:r>
    </w:p>
    <w:p w14:paraId="66718909" w14:textId="77777777" w:rsidR="0021750B" w:rsidRPr="00A37C64" w:rsidRDefault="0021750B" w:rsidP="0021750B">
      <w:pPr>
        <w:snapToGrid w:val="0"/>
        <w:spacing w:after="160"/>
        <w:jc w:val="both"/>
        <w:rPr>
          <w:sz w:val="22"/>
        </w:rPr>
      </w:pPr>
      <w:r w:rsidRPr="00A37C64">
        <w:rPr>
          <w:i/>
          <w:sz w:val="22"/>
        </w:rPr>
        <w:t>[</w:t>
      </w:r>
      <w:r w:rsidRPr="00A37C64">
        <w:rPr>
          <w:i/>
          <w:sz w:val="22"/>
          <w:vertAlign w:val="superscript"/>
        </w:rPr>
        <w:t>68</w:t>
      </w:r>
      <w:r w:rsidRPr="00A37C64">
        <w:rPr>
          <w:i/>
          <w:sz w:val="22"/>
        </w:rPr>
        <w:t>Ga]Ga-FAPI</w:t>
      </w:r>
      <w:r w:rsidRPr="00A37C64">
        <w:rPr>
          <w:sz w:val="22"/>
        </w:rPr>
        <w:t xml:space="preserve">, gallium 68-fibroblast-activation protein inhibitor; </w:t>
      </w:r>
      <w:r w:rsidRPr="00A37C64">
        <w:rPr>
          <w:i/>
          <w:sz w:val="22"/>
        </w:rPr>
        <w:t>CT</w:t>
      </w:r>
      <w:r w:rsidRPr="00A37C64">
        <w:rPr>
          <w:sz w:val="22"/>
        </w:rPr>
        <w:t xml:space="preserve">, computed tomography; </w:t>
      </w:r>
      <w:r w:rsidRPr="00A37C64">
        <w:rPr>
          <w:i/>
          <w:sz w:val="22"/>
        </w:rPr>
        <w:t>PET</w:t>
      </w:r>
      <w:r w:rsidRPr="00A37C64">
        <w:rPr>
          <w:sz w:val="22"/>
        </w:rPr>
        <w:t>, positron emission tomography</w:t>
      </w:r>
    </w:p>
    <w:p w14:paraId="7B65BC41" w14:textId="21F89170" w:rsidR="0021750B" w:rsidRDefault="0021750B" w:rsidP="0021750B">
      <w:pPr>
        <w:keepNext/>
        <w:rPr>
          <w:rFonts w:cs="Times New Roman"/>
          <w:szCs w:val="24"/>
        </w:rPr>
      </w:pPr>
    </w:p>
    <w:p w14:paraId="5DB27327" w14:textId="7526A9FB" w:rsidR="00DE23E8" w:rsidRDefault="0021750B" w:rsidP="0021750B">
      <w:pPr>
        <w:spacing w:before="0" w:after="200" w:line="480" w:lineRule="auto"/>
        <w:jc w:val="center"/>
        <w:rPr>
          <w:szCs w:val="24"/>
        </w:rPr>
      </w:pPr>
      <w:r>
        <w:rPr>
          <w:rFonts w:cs="Times New Roman"/>
          <w:szCs w:val="24"/>
        </w:rPr>
        <w:br w:type="page"/>
      </w: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3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 </w:t>
      </w:r>
      <w:r w:rsidRPr="0021750B">
        <w:rPr>
          <w:szCs w:val="24"/>
        </w:rPr>
        <w:t>Comparison of [</w:t>
      </w:r>
      <w:r w:rsidRPr="0021750B">
        <w:rPr>
          <w:szCs w:val="24"/>
          <w:vertAlign w:val="superscript"/>
        </w:rPr>
        <w:t>18</w:t>
      </w:r>
      <w:r w:rsidRPr="0021750B">
        <w:rPr>
          <w:szCs w:val="24"/>
        </w:rPr>
        <w:t>F]F-FDG PET/CT images of suspicious peritoneal lesions reviewed by physicians in group 1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1750B" w:rsidRPr="0021750B" w14:paraId="73F5D28F" w14:textId="77777777" w:rsidTr="00E602EE"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412301A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2</w:t>
            </w:r>
          </w:p>
          <w:p w14:paraId="770234B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(M.W.)</w:t>
            </w:r>
          </w:p>
        </w:tc>
        <w:tc>
          <w:tcPr>
            <w:tcW w:w="56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AACFEF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1 (X.C.)</w:t>
            </w:r>
          </w:p>
        </w:tc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49BD0857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</w:tr>
      <w:tr w:rsidR="0021750B" w:rsidRPr="0021750B" w14:paraId="71AEAC91" w14:textId="77777777" w:rsidTr="00E602EE"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9BB9C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both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</w:tcPr>
          <w:p w14:paraId="4933BF12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</w:tcPr>
          <w:p w14:paraId="6135E7F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</w:tcPr>
          <w:p w14:paraId="6C109AB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40C29D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</w:tr>
      <w:tr w:rsidR="0021750B" w:rsidRPr="0021750B" w14:paraId="3BEBEB05" w14:textId="77777777" w:rsidTr="00E602EE"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51F3A19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2A04C20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9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13934994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147A627F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62170A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11</w:t>
            </w:r>
          </w:p>
        </w:tc>
      </w:tr>
      <w:tr w:rsidR="0021750B" w:rsidRPr="0021750B" w14:paraId="6424F7D2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4A400A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2BAA8DF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DED131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B01DC9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1780357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16</w:t>
            </w:r>
          </w:p>
        </w:tc>
      </w:tr>
      <w:tr w:rsidR="0021750B" w:rsidRPr="0021750B" w14:paraId="26EE381F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9441D9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530E03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F1638E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290F199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D9136BF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</w:t>
            </w:r>
          </w:p>
        </w:tc>
      </w:tr>
      <w:tr w:rsidR="0021750B" w:rsidRPr="0021750B" w14:paraId="45A9F0B7" w14:textId="77777777" w:rsidTr="00E602EE"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1BEBC4F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EF0316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1FA488C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061EEE0B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6B9EC9A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31</w:t>
            </w:r>
          </w:p>
        </w:tc>
      </w:tr>
    </w:tbl>
    <w:p w14:paraId="73337AE8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−, to be judged negative by visual assessment; +, to be judged positive by visual assessment; −/+, to be judged as ambiguous by visual assessment</w:t>
      </w:r>
    </w:p>
    <w:p w14:paraId="18FF1D14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The simple kappa coefficient κ value was 0.843 (</w:t>
      </w:r>
      <w:r w:rsidRPr="00A37C64">
        <w:rPr>
          <w:i/>
          <w:sz w:val="22"/>
        </w:rPr>
        <w:t>P</w:t>
      </w:r>
      <w:r w:rsidRPr="00A37C64">
        <w:rPr>
          <w:sz w:val="22"/>
        </w:rPr>
        <w:t xml:space="preserve"> &lt; 0.001), indicating that the inter-reader agreement was nearly perfect in group 1.</w:t>
      </w:r>
    </w:p>
    <w:p w14:paraId="0E0B596B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 xml:space="preserve"> </w:t>
      </w:r>
      <w:r w:rsidRPr="00A37C64">
        <w:rPr>
          <w:i/>
          <w:sz w:val="22"/>
        </w:rPr>
        <w:t>[</w:t>
      </w:r>
      <w:r w:rsidRPr="00A37C64">
        <w:rPr>
          <w:i/>
          <w:sz w:val="22"/>
          <w:vertAlign w:val="superscript"/>
        </w:rPr>
        <w:t>18</w:t>
      </w:r>
      <w:r w:rsidRPr="00A37C64">
        <w:rPr>
          <w:i/>
          <w:sz w:val="22"/>
        </w:rPr>
        <w:t>F]F-FDG</w:t>
      </w:r>
      <w:r w:rsidRPr="00A37C64">
        <w:rPr>
          <w:sz w:val="22"/>
        </w:rPr>
        <w:t xml:space="preserve">, fluorine-18 fluorodeoxyglucose; </w:t>
      </w:r>
      <w:r w:rsidRPr="00A37C64">
        <w:rPr>
          <w:i/>
          <w:sz w:val="22"/>
        </w:rPr>
        <w:t>CT</w:t>
      </w:r>
      <w:r w:rsidRPr="00A37C64">
        <w:rPr>
          <w:sz w:val="22"/>
        </w:rPr>
        <w:t xml:space="preserve">, computed tomography; </w:t>
      </w:r>
      <w:r w:rsidRPr="00A37C64">
        <w:rPr>
          <w:i/>
          <w:sz w:val="22"/>
        </w:rPr>
        <w:t>PET</w:t>
      </w:r>
      <w:r w:rsidRPr="00A37C64">
        <w:rPr>
          <w:sz w:val="22"/>
        </w:rPr>
        <w:t>, positron emission tomography</w:t>
      </w:r>
    </w:p>
    <w:p w14:paraId="6753EA1B" w14:textId="0F9A1B3B" w:rsidR="0021750B" w:rsidRDefault="0021750B" w:rsidP="0021750B">
      <w:pPr>
        <w:spacing w:before="0" w:after="200" w:line="276" w:lineRule="auto"/>
        <w:jc w:val="center"/>
        <w:rPr>
          <w:rFonts w:cs="Times New Roman"/>
          <w:szCs w:val="24"/>
        </w:rPr>
      </w:pPr>
    </w:p>
    <w:p w14:paraId="261350B2" w14:textId="77777777" w:rsidR="0021750B" w:rsidRDefault="0021750B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159DDAE" w14:textId="2C093210" w:rsidR="0021750B" w:rsidRDefault="0021750B" w:rsidP="0021750B">
      <w:pPr>
        <w:spacing w:before="0" w:after="200" w:line="480" w:lineRule="auto"/>
        <w:jc w:val="center"/>
        <w:rPr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4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 </w:t>
      </w:r>
      <w:r w:rsidRPr="0021750B">
        <w:rPr>
          <w:szCs w:val="24"/>
        </w:rPr>
        <w:t>Comparison of [</w:t>
      </w:r>
      <w:r w:rsidRPr="0021750B">
        <w:rPr>
          <w:szCs w:val="24"/>
          <w:vertAlign w:val="superscript"/>
        </w:rPr>
        <w:t>68</w:t>
      </w:r>
      <w:r w:rsidRPr="0021750B">
        <w:rPr>
          <w:szCs w:val="24"/>
        </w:rPr>
        <w:t>Ga]Ga-FAPI-04 PET/CT images of suspicious peritoneal lesions reviewed by physicians in group 2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1750B" w:rsidRPr="0021750B" w14:paraId="6B3F313A" w14:textId="77777777" w:rsidTr="00E602EE"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50F8DB5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2</w:t>
            </w:r>
          </w:p>
          <w:p w14:paraId="7603E07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(X.W.)</w:t>
            </w:r>
          </w:p>
        </w:tc>
        <w:tc>
          <w:tcPr>
            <w:tcW w:w="561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C6133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Reader 1 (X.L.)</w:t>
            </w:r>
          </w:p>
        </w:tc>
        <w:tc>
          <w:tcPr>
            <w:tcW w:w="1870" w:type="dxa"/>
            <w:vMerge w:val="restart"/>
            <w:tcBorders>
              <w:left w:val="nil"/>
              <w:right w:val="nil"/>
            </w:tcBorders>
            <w:vAlign w:val="center"/>
          </w:tcPr>
          <w:p w14:paraId="02DCCA07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</w:tr>
      <w:tr w:rsidR="0021750B" w:rsidRPr="0021750B" w14:paraId="28DD6093" w14:textId="77777777" w:rsidTr="00E602EE"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250713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both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15029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1DF3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ADBBF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11C5C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</w:p>
        </w:tc>
      </w:tr>
      <w:tr w:rsidR="0021750B" w:rsidRPr="0021750B" w14:paraId="2F1AA9A0" w14:textId="77777777" w:rsidTr="00E602EE"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4FCEB5D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48234CDA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13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0D482D2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24F9D2FE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1F20243B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14</w:t>
            </w:r>
          </w:p>
        </w:tc>
      </w:tr>
      <w:tr w:rsidR="0021750B" w:rsidRPr="0021750B" w14:paraId="622E3316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CEA2FD3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F397D2E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B842B2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7817B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2318E5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24</w:t>
            </w:r>
          </w:p>
        </w:tc>
      </w:tr>
      <w:tr w:rsidR="0021750B" w:rsidRPr="0021750B" w14:paraId="0026B359" w14:textId="77777777" w:rsidTr="00E602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16AB58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−</w:t>
            </w:r>
            <w:r w:rsidRPr="0021750B">
              <w:rPr>
                <w:rFonts w:eastAsia="MS Mincho" w:cs="Times New Roman"/>
                <w:b/>
                <w:kern w:val="2"/>
                <w:sz w:val="22"/>
                <w:lang w:val="en-GB" w:eastAsia="zh-CN"/>
              </w:rPr>
              <w:t>/+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5C2AA0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8027C6D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26C5B48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1F6B265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</w:t>
            </w:r>
          </w:p>
        </w:tc>
      </w:tr>
      <w:tr w:rsidR="0021750B" w:rsidRPr="0021750B" w14:paraId="2BA84CDF" w14:textId="77777777" w:rsidTr="00E602EE"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67BB0AF6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Total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0DA070F7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5F1A5D5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117ABF00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2CFE1CEC" w14:textId="77777777" w:rsidR="0021750B" w:rsidRPr="0021750B" w:rsidRDefault="0021750B" w:rsidP="0021750B">
            <w:pPr>
              <w:widowControl w:val="0"/>
              <w:snapToGrid w:val="0"/>
              <w:spacing w:before="0" w:after="0" w:line="480" w:lineRule="auto"/>
              <w:jc w:val="center"/>
              <w:rPr>
                <w:rFonts w:eastAsia="MS Mincho" w:cs="Times New Roman"/>
                <w:kern w:val="2"/>
                <w:sz w:val="22"/>
                <w:lang w:val="en-GB" w:eastAsia="zh-CN"/>
              </w:rPr>
            </w:pPr>
            <w:r w:rsidRPr="0021750B">
              <w:rPr>
                <w:rFonts w:eastAsia="MS Mincho" w:cs="Times New Roman"/>
                <w:kern w:val="2"/>
                <w:sz w:val="22"/>
                <w:lang w:val="en-GB" w:eastAsia="zh-CN"/>
              </w:rPr>
              <w:t>42</w:t>
            </w:r>
          </w:p>
        </w:tc>
      </w:tr>
    </w:tbl>
    <w:p w14:paraId="5BEB2EFF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−, to be judged negative by visual assessment; +, to be judged positive by visual assessment; −/+, to be judged as ambiguous by visual assessment</w:t>
      </w:r>
    </w:p>
    <w:p w14:paraId="6876D828" w14:textId="77777777" w:rsidR="0021750B" w:rsidRPr="00A37C64" w:rsidRDefault="0021750B" w:rsidP="0021750B">
      <w:pPr>
        <w:snapToGrid w:val="0"/>
        <w:jc w:val="both"/>
        <w:rPr>
          <w:sz w:val="22"/>
        </w:rPr>
      </w:pPr>
      <w:r w:rsidRPr="00A37C64">
        <w:rPr>
          <w:sz w:val="22"/>
        </w:rPr>
        <w:t>The simple kappa coefficient κ value was 0.892 (</w:t>
      </w:r>
      <w:r w:rsidRPr="00A37C64">
        <w:rPr>
          <w:i/>
          <w:sz w:val="22"/>
        </w:rPr>
        <w:t>P</w:t>
      </w:r>
      <w:r w:rsidRPr="00A37C64">
        <w:rPr>
          <w:sz w:val="22"/>
        </w:rPr>
        <w:t xml:space="preserve"> &lt; 0.001), indicating that the inter-reader agreement was nearly perfect in group 2.</w:t>
      </w:r>
    </w:p>
    <w:p w14:paraId="324F6979" w14:textId="77777777" w:rsidR="0021750B" w:rsidRPr="00A37C64" w:rsidRDefault="0021750B" w:rsidP="0021750B">
      <w:pPr>
        <w:snapToGrid w:val="0"/>
        <w:spacing w:after="160"/>
        <w:jc w:val="both"/>
        <w:rPr>
          <w:sz w:val="22"/>
        </w:rPr>
      </w:pPr>
      <w:r w:rsidRPr="00A37C64">
        <w:rPr>
          <w:i/>
          <w:sz w:val="22"/>
        </w:rPr>
        <w:t>[</w:t>
      </w:r>
      <w:r w:rsidRPr="00A37C64">
        <w:rPr>
          <w:i/>
          <w:sz w:val="22"/>
          <w:vertAlign w:val="superscript"/>
        </w:rPr>
        <w:t>68</w:t>
      </w:r>
      <w:r w:rsidRPr="00A37C64">
        <w:rPr>
          <w:i/>
          <w:sz w:val="22"/>
        </w:rPr>
        <w:t>Ga]Ga-FAPI</w:t>
      </w:r>
      <w:r w:rsidRPr="00A37C64">
        <w:rPr>
          <w:sz w:val="22"/>
        </w:rPr>
        <w:t xml:space="preserve">, gallium 68-fibroblast-activation protein inhibitor; </w:t>
      </w:r>
      <w:r w:rsidRPr="00A37C64">
        <w:rPr>
          <w:i/>
          <w:sz w:val="22"/>
        </w:rPr>
        <w:t>CT</w:t>
      </w:r>
      <w:r w:rsidRPr="00A37C64">
        <w:rPr>
          <w:sz w:val="22"/>
        </w:rPr>
        <w:t xml:space="preserve">, computed tomography; </w:t>
      </w:r>
      <w:r w:rsidRPr="00A37C64">
        <w:rPr>
          <w:i/>
          <w:sz w:val="22"/>
        </w:rPr>
        <w:t>PET</w:t>
      </w:r>
      <w:r w:rsidRPr="00A37C64">
        <w:rPr>
          <w:sz w:val="22"/>
        </w:rPr>
        <w:t>, positron emission tomography</w:t>
      </w:r>
    </w:p>
    <w:p w14:paraId="2B8E12DC" w14:textId="77777777" w:rsidR="0021750B" w:rsidRPr="0021750B" w:rsidRDefault="0021750B" w:rsidP="0021750B">
      <w:pPr>
        <w:snapToGrid w:val="0"/>
        <w:spacing w:line="480" w:lineRule="auto"/>
        <w:rPr>
          <w:b/>
          <w:szCs w:val="24"/>
        </w:rPr>
      </w:pPr>
    </w:p>
    <w:p w14:paraId="04765BD7" w14:textId="77777777" w:rsidR="0021750B" w:rsidRPr="0021750B" w:rsidRDefault="0021750B" w:rsidP="0021750B">
      <w:pPr>
        <w:snapToGrid w:val="0"/>
        <w:spacing w:line="480" w:lineRule="auto"/>
        <w:rPr>
          <w:b/>
          <w:bCs/>
          <w:szCs w:val="24"/>
        </w:rPr>
      </w:pPr>
      <w:r w:rsidRPr="0021750B">
        <w:rPr>
          <w:b/>
          <w:bCs/>
          <w:szCs w:val="24"/>
        </w:rPr>
        <w:t>In conclusion, the inter-reader agreement in groups 1 and 2 was nearly perfect.</w:t>
      </w:r>
    </w:p>
    <w:p w14:paraId="77D247DB" w14:textId="77777777" w:rsidR="0021750B" w:rsidRPr="0021750B" w:rsidRDefault="0021750B" w:rsidP="0021750B">
      <w:pPr>
        <w:spacing w:before="0" w:after="200" w:line="276" w:lineRule="auto"/>
        <w:jc w:val="center"/>
        <w:rPr>
          <w:rFonts w:cs="Times New Roman"/>
          <w:szCs w:val="24"/>
        </w:rPr>
      </w:pPr>
    </w:p>
    <w:sectPr w:rsidR="0021750B" w:rsidRPr="0021750B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43DE" w14:textId="77777777" w:rsidR="00312269" w:rsidRDefault="00312269" w:rsidP="00117666">
      <w:pPr>
        <w:spacing w:after="0"/>
      </w:pPr>
      <w:r>
        <w:separator/>
      </w:r>
    </w:p>
  </w:endnote>
  <w:endnote w:type="continuationSeparator" w:id="0">
    <w:p w14:paraId="152CADC1" w14:textId="77777777" w:rsidR="00312269" w:rsidRDefault="0031226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580D" w14:textId="77777777" w:rsidR="00312269" w:rsidRDefault="00312269" w:rsidP="00117666">
      <w:pPr>
        <w:spacing w:after="0"/>
      </w:pPr>
      <w:r>
        <w:separator/>
      </w:r>
    </w:p>
  </w:footnote>
  <w:footnote w:type="continuationSeparator" w:id="0">
    <w:p w14:paraId="2040E4A6" w14:textId="77777777" w:rsidR="00312269" w:rsidRDefault="0031226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217625227">
    <w:abstractNumId w:val="0"/>
  </w:num>
  <w:num w:numId="2" w16cid:durableId="1533570552">
    <w:abstractNumId w:val="4"/>
  </w:num>
  <w:num w:numId="3" w16cid:durableId="1882394978">
    <w:abstractNumId w:val="1"/>
  </w:num>
  <w:num w:numId="4" w16cid:durableId="212229795">
    <w:abstractNumId w:val="5"/>
  </w:num>
  <w:num w:numId="5" w16cid:durableId="33241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012570">
    <w:abstractNumId w:val="3"/>
  </w:num>
  <w:num w:numId="7" w16cid:durableId="1367565140">
    <w:abstractNumId w:val="6"/>
  </w:num>
  <w:num w:numId="8" w16cid:durableId="1378630608">
    <w:abstractNumId w:val="6"/>
  </w:num>
  <w:num w:numId="9" w16cid:durableId="154302774">
    <w:abstractNumId w:val="6"/>
  </w:num>
  <w:num w:numId="10" w16cid:durableId="1795512998">
    <w:abstractNumId w:val="6"/>
  </w:num>
  <w:num w:numId="11" w16cid:durableId="1285386435">
    <w:abstractNumId w:val="6"/>
  </w:num>
  <w:num w:numId="12" w16cid:durableId="1085953299">
    <w:abstractNumId w:val="6"/>
  </w:num>
  <w:num w:numId="13" w16cid:durableId="1405182342">
    <w:abstractNumId w:val="3"/>
  </w:num>
  <w:num w:numId="14" w16cid:durableId="2111898018">
    <w:abstractNumId w:val="2"/>
  </w:num>
  <w:num w:numId="15" w16cid:durableId="542595380">
    <w:abstractNumId w:val="2"/>
  </w:num>
  <w:num w:numId="16" w16cid:durableId="935745858">
    <w:abstractNumId w:val="2"/>
  </w:num>
  <w:num w:numId="17" w16cid:durableId="1487628635">
    <w:abstractNumId w:val="2"/>
  </w:num>
  <w:num w:numId="18" w16cid:durableId="1749116349">
    <w:abstractNumId w:val="2"/>
  </w:num>
  <w:num w:numId="19" w16cid:durableId="101838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27653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1750B"/>
    <w:rsid w:val="00267D18"/>
    <w:rsid w:val="00274347"/>
    <w:rsid w:val="002868E2"/>
    <w:rsid w:val="002869C3"/>
    <w:rsid w:val="002936E4"/>
    <w:rsid w:val="002B4A57"/>
    <w:rsid w:val="002C74CA"/>
    <w:rsid w:val="00312269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ED249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11">
    <w:name w:val="网格型1"/>
    <w:basedOn w:val="a2"/>
    <w:next w:val="aff5"/>
    <w:uiPriority w:val="39"/>
    <w:rsid w:val="0021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next w:val="aff5"/>
    <w:uiPriority w:val="39"/>
    <w:rsid w:val="0021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2"/>
    <w:next w:val="aff5"/>
    <w:uiPriority w:val="39"/>
    <w:rsid w:val="0021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2"/>
    <w:next w:val="aff5"/>
    <w:uiPriority w:val="39"/>
    <w:rsid w:val="0021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20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lin xinfeng</cp:lastModifiedBy>
  <cp:revision>3</cp:revision>
  <cp:lastPrinted>2013-10-03T12:51:00Z</cp:lastPrinted>
  <dcterms:created xsi:type="dcterms:W3CDTF">2018-11-23T08:58:00Z</dcterms:created>
  <dcterms:modified xsi:type="dcterms:W3CDTF">2022-11-01T15:07:00Z</dcterms:modified>
</cp:coreProperties>
</file>