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Times New Roman" w:hAnsi="Times New Roman" w:eastAsia="宋体" w:cs="Times New Roman"/>
          <w:color w:val="212121"/>
          <w:szCs w:val="21"/>
          <w:shd w:val="clear" w:color="auto" w:fill="FFFFFF"/>
        </w:rPr>
      </w:pPr>
    </w:p>
    <w:p>
      <w:pPr>
        <w:rPr>
          <w:rFonts w:ascii="Times New Roman" w:hAnsi="Times New Roman" w:eastAsia="宋体" w:cs="Times New Roman"/>
          <w:color w:val="212121"/>
          <w:szCs w:val="21"/>
          <w:shd w:val="clear" w:color="auto" w:fill="FFFFFF"/>
        </w:rPr>
      </w:pPr>
      <w:r>
        <w:rPr>
          <w:rFonts w:ascii="Times New Roman" w:hAnsi="Times New Roman" w:eastAsia="宋体" w:cs="Times New Roman"/>
          <w:color w:val="212121"/>
          <w:szCs w:val="21"/>
          <w:shd w:val="clear" w:color="auto" w:fill="FFFFFF"/>
        </w:rPr>
        <w:drawing>
          <wp:inline distT="0" distB="0" distL="0" distR="0">
            <wp:extent cx="5274310" cy="77920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792085"/>
                    </a:xfrm>
                    <a:prstGeom prst="rect">
                      <a:avLst/>
                    </a:prstGeom>
                  </pic:spPr>
                </pic:pic>
              </a:graphicData>
            </a:graphic>
          </wp:inline>
        </w:drawing>
      </w:r>
    </w:p>
    <w:p>
      <w:pPr>
        <w:rPr>
          <w:rFonts w:ascii="Times New Roman" w:hAnsi="Times New Roman" w:eastAsia="宋体" w:cs="Times New Roman"/>
          <w:color w:val="212121"/>
          <w:szCs w:val="21"/>
          <w:shd w:val="clear" w:color="auto" w:fill="FFFFFF"/>
        </w:rPr>
      </w:pPr>
      <w:r>
        <w:rPr>
          <w:rFonts w:ascii="Times New Roman" w:hAnsi="Times New Roman" w:eastAsia="宋体" w:cs="Times New Roman"/>
          <w:color w:val="212121"/>
          <w:szCs w:val="21"/>
          <w:shd w:val="clear" w:color="auto" w:fill="FFFFFF"/>
        </w:rPr>
        <w:t>Supplementary Figure 1. The Kaplan-Meier curve showed that 22 OMRGs were prognostic relevant in STAD.</w:t>
      </w:r>
    </w:p>
    <w:p>
      <w:pPr>
        <w:rPr>
          <w:rFonts w:ascii="Times New Roman" w:hAnsi="Times New Roman" w:eastAsia="宋体" w:cs="Times New Roman"/>
          <w:color w:val="212121"/>
          <w:szCs w:val="21"/>
          <w:shd w:val="clear" w:color="auto" w:fill="FFFFFF"/>
        </w:rPr>
      </w:pPr>
    </w:p>
    <w:p>
      <w:pPr>
        <w:rPr>
          <w:rFonts w:ascii="Times New Roman" w:hAnsi="Times New Roman" w:eastAsia="宋体" w:cs="Times New Roman"/>
          <w:color w:val="212121"/>
          <w:szCs w:val="21"/>
          <w:shd w:val="clear" w:color="auto" w:fill="FFFFFF"/>
        </w:rPr>
      </w:pPr>
      <w:r>
        <w:rPr>
          <w:rFonts w:ascii="Times New Roman" w:hAnsi="Times New Roman" w:eastAsia="宋体" w:cs="Times New Roman"/>
          <w:color w:val="212121"/>
          <w:szCs w:val="21"/>
          <w:shd w:val="clear" w:color="auto" w:fill="FFFFFF"/>
        </w:rPr>
        <w:drawing>
          <wp:inline distT="0" distB="0" distL="0" distR="0">
            <wp:extent cx="5274310" cy="531685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5316855"/>
                    </a:xfrm>
                    <a:prstGeom prst="rect">
                      <a:avLst/>
                    </a:prstGeom>
                  </pic:spPr>
                </pic:pic>
              </a:graphicData>
            </a:graphic>
          </wp:inline>
        </w:drawing>
      </w:r>
    </w:p>
    <w:p>
      <w:pPr>
        <w:rPr>
          <w:rFonts w:ascii="Times New Roman" w:hAnsi="Times New Roman" w:eastAsia="宋体" w:cs="Times New Roman"/>
          <w:color w:val="212121"/>
          <w:szCs w:val="21"/>
          <w:shd w:val="clear" w:color="auto" w:fill="FFFFFF"/>
        </w:rPr>
      </w:pPr>
      <w:r>
        <w:rPr>
          <w:rFonts w:ascii="Times New Roman" w:hAnsi="Times New Roman" w:eastAsia="宋体" w:cs="Times New Roman"/>
          <w:color w:val="212121"/>
          <w:szCs w:val="21"/>
          <w:shd w:val="clear" w:color="auto" w:fill="FFFFFF"/>
        </w:rPr>
        <w:t>Supplementary Figure 2. Frequency of single nucleotide variations (SNVs) and various OMRG variant categories. (A) Mutation frequency of OMRGs. The numbers show how many samples of a certain tumor have the matching mutant gene. "0" denotes the absence of any mutation in the gene's coding region, while no number denotes the absence of any mutation in the gene at all. (B) SNV oncoplot. An oncoplot displaying the distribution of OMRG mutations and a list of SNV kinds.</w:t>
      </w:r>
    </w:p>
    <w:p>
      <w:pPr>
        <w:rPr>
          <w:rFonts w:ascii="Times New Roman" w:hAnsi="Times New Roman" w:eastAsia="宋体" w:cs="Times New Roman"/>
          <w:color w:val="212121"/>
          <w:szCs w:val="21"/>
          <w:shd w:val="clear" w:color="auto" w:fill="FFFFFF"/>
        </w:rPr>
      </w:pPr>
    </w:p>
    <w:p>
      <w:pPr>
        <w:rPr>
          <w:rFonts w:ascii="Times New Roman" w:hAnsi="Times New Roman" w:eastAsia="宋体" w:cs="Times New Roman"/>
          <w:color w:val="212121"/>
          <w:szCs w:val="21"/>
          <w:shd w:val="clear" w:color="auto" w:fill="FFFFFF"/>
        </w:rPr>
      </w:pPr>
      <w:r>
        <w:rPr>
          <w:rFonts w:ascii="Times New Roman" w:hAnsi="Times New Roman" w:eastAsia="宋体" w:cs="Times New Roman"/>
          <w:color w:val="212121"/>
          <w:szCs w:val="21"/>
          <w:shd w:val="clear" w:color="auto" w:fill="FFFFFF"/>
        </w:rPr>
        <w:drawing>
          <wp:inline distT="0" distB="0" distL="0" distR="0">
            <wp:extent cx="5274310" cy="25393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539365"/>
                    </a:xfrm>
                    <a:prstGeom prst="rect">
                      <a:avLst/>
                    </a:prstGeom>
                  </pic:spPr>
                </pic:pic>
              </a:graphicData>
            </a:graphic>
          </wp:inline>
        </w:drawing>
      </w:r>
    </w:p>
    <w:p>
      <w:pPr>
        <w:rPr>
          <w:rFonts w:ascii="Times New Roman" w:hAnsi="Times New Roman" w:eastAsia="宋体" w:cs="Times New Roman"/>
          <w:color w:val="212121"/>
          <w:szCs w:val="21"/>
          <w:shd w:val="clear" w:color="auto" w:fill="FFFFFF"/>
        </w:rPr>
      </w:pPr>
      <w:r>
        <w:rPr>
          <w:rFonts w:ascii="Times New Roman" w:hAnsi="Times New Roman" w:eastAsia="宋体" w:cs="Times New Roman"/>
          <w:color w:val="212121"/>
          <w:szCs w:val="21"/>
          <w:shd w:val="clear" w:color="auto" w:fill="FFFFFF"/>
        </w:rPr>
        <w:t>Supplementary Figure 3. Variable selection. (A-B) The LASSO-Cox regression analysis resulted in the selection of thirteen genes.</w:t>
      </w:r>
    </w:p>
    <w:p>
      <w:pPr>
        <w:rPr>
          <w:rFonts w:ascii="Times New Roman" w:hAnsi="Times New Roman" w:eastAsia="宋体" w:cs="Times New Roman"/>
          <w:color w:val="212121"/>
          <w:szCs w:val="21"/>
          <w:shd w:val="clear" w:color="auto" w:fill="FFFFFF"/>
        </w:rPr>
      </w:pPr>
      <w:r>
        <w:rPr>
          <w:rFonts w:ascii="Times New Roman" w:hAnsi="Times New Roman" w:eastAsia="宋体" w:cs="Times New Roman"/>
          <w:color w:val="212121"/>
          <w:szCs w:val="21"/>
          <w:shd w:val="clear" w:color="auto" w:fill="FFFFFF"/>
        </w:rPr>
        <w:br w:type="page"/>
      </w:r>
    </w:p>
    <w:p>
      <w:pPr>
        <w:rPr>
          <w:rFonts w:hint="eastAsia" w:ascii="Times New Roman" w:hAnsi="Times New Roman" w:eastAsia="宋体" w:cs="Times New Roman"/>
          <w:color w:val="212121"/>
          <w:szCs w:val="21"/>
          <w:shd w:val="clear" w:color="auto" w:fill="FFFFFF"/>
          <w:lang w:eastAsia="zh-CN"/>
        </w:rPr>
      </w:pPr>
      <w:r>
        <w:rPr>
          <w:rFonts w:hint="eastAsia" w:ascii="Times New Roman" w:hAnsi="Times New Roman" w:eastAsia="宋体" w:cs="Times New Roman"/>
          <w:color w:val="212121"/>
          <w:szCs w:val="21"/>
          <w:shd w:val="clear" w:color="auto" w:fill="FFFFFF"/>
          <w:lang w:eastAsia="zh-CN"/>
        </w:rPr>
        <w:drawing>
          <wp:inline distT="0" distB="0" distL="114300" distR="114300">
            <wp:extent cx="5250815" cy="5185410"/>
            <wp:effectExtent l="0" t="0" r="6985" b="11430"/>
            <wp:docPr id="4" name="图片 4"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S4"/>
                    <pic:cNvPicPr>
                      <a:picLocks noChangeAspect="1"/>
                    </pic:cNvPicPr>
                  </pic:nvPicPr>
                  <pic:blipFill>
                    <a:blip r:embed="rId7"/>
                    <a:stretch>
                      <a:fillRect/>
                    </a:stretch>
                  </pic:blipFill>
                  <pic:spPr>
                    <a:xfrm>
                      <a:off x="0" y="0"/>
                      <a:ext cx="5250815" cy="5185410"/>
                    </a:xfrm>
                    <a:prstGeom prst="rect">
                      <a:avLst/>
                    </a:prstGeom>
                  </pic:spPr>
                </pic:pic>
              </a:graphicData>
            </a:graphic>
          </wp:inline>
        </w:drawing>
      </w:r>
    </w:p>
    <w:p>
      <w:pPr>
        <w:rPr>
          <w:rFonts w:hint="default" w:ascii="Times New Roman" w:hAnsi="Times New Roman" w:eastAsia="宋体" w:cs="Times New Roman"/>
          <w:color w:val="212121"/>
          <w:szCs w:val="21"/>
          <w:shd w:val="clear" w:color="auto" w:fill="FFFFFF"/>
          <w:lang w:val="en-US" w:eastAsia="zh-CN"/>
        </w:rPr>
      </w:pPr>
      <w:r>
        <w:rPr>
          <w:rFonts w:ascii="Times New Roman" w:hAnsi="Times New Roman" w:eastAsia="宋体" w:cs="Times New Roman"/>
          <w:color w:val="212121"/>
          <w:szCs w:val="21"/>
          <w:shd w:val="clear" w:color="auto" w:fill="FFFFFF"/>
        </w:rPr>
        <w:t xml:space="preserve">Supplementary Figure </w:t>
      </w:r>
      <w:r>
        <w:rPr>
          <w:rFonts w:hint="eastAsia" w:ascii="Times New Roman" w:hAnsi="Times New Roman" w:eastAsia="宋体" w:cs="Times New Roman"/>
          <w:color w:val="212121"/>
          <w:szCs w:val="21"/>
          <w:shd w:val="clear" w:color="auto" w:fill="FFFFFF"/>
          <w:lang w:val="en-US" w:eastAsia="zh-CN"/>
        </w:rPr>
        <w:t>4. Compare the accuracy of our signature with other well-established signatures. (A) The results of C-index. (B-I) The results of ROC curves of our signature, Guan signature, Jiang signature, Liu signature, Qin signature, Shao signature, Wu signature, and Zheng signature.</w:t>
      </w:r>
      <w:bookmarkStart w:id="0" w:name="_GoBack"/>
      <w:bookmarkEnd w:id="0"/>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3Njg5YTM0YmU2MTFiYWQ5ZGNiYmMyMzcxZjcxYjkifQ=="/>
  </w:docVars>
  <w:rsids>
    <w:rsidRoot w:val="001C3195"/>
    <w:rsid w:val="00132B2C"/>
    <w:rsid w:val="001C3195"/>
    <w:rsid w:val="003C3C10"/>
    <w:rsid w:val="00777E64"/>
    <w:rsid w:val="00845375"/>
    <w:rsid w:val="008C55DB"/>
    <w:rsid w:val="00C903AC"/>
    <w:rsid w:val="00DA07B9"/>
    <w:rsid w:val="00F543D2"/>
    <w:rsid w:val="47224CF7"/>
    <w:rsid w:val="5C395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8"/>
    <w:unhideWhenUsed/>
    <w:uiPriority w:val="99"/>
    <w:pPr>
      <w:tabs>
        <w:tab w:val="center" w:pos="4153"/>
        <w:tab w:val="right" w:pos="8306"/>
      </w:tabs>
      <w:snapToGrid w:val="0"/>
      <w:jc w:val="left"/>
    </w:pPr>
    <w:rPr>
      <w:sz w:val="18"/>
      <w:szCs w:val="18"/>
    </w:rPr>
  </w:style>
  <w:style w:type="paragraph" w:styleId="4">
    <w:name w:val="header"/>
    <w:basedOn w:val="1"/>
    <w:link w:val="7"/>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6"/>
    <w:link w:val="4"/>
    <w:qFormat/>
    <w:uiPriority w:val="99"/>
    <w:rPr>
      <w:sz w:val="18"/>
      <w:szCs w:val="18"/>
    </w:rPr>
  </w:style>
  <w:style w:type="character" w:customStyle="1" w:styleId="8">
    <w:name w:val="页脚 Char"/>
    <w:basedOn w:val="6"/>
    <w:link w:val="3"/>
    <w:uiPriority w:val="99"/>
    <w:rPr>
      <w:sz w:val="18"/>
      <w:szCs w:val="18"/>
    </w:rPr>
  </w:style>
  <w:style w:type="paragraph" w:styleId="9">
    <w:name w:val="List Paragraph"/>
    <w:basedOn w:val="1"/>
    <w:uiPriority w:val="99"/>
    <w:pPr>
      <w:ind w:firstLine="420" w:firstLineChars="200"/>
    </w:pPr>
  </w:style>
  <w:style w:type="character" w:customStyle="1" w:styleId="10">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131</Words>
  <Characters>720</Characters>
  <Lines>12</Lines>
  <Paragraphs>3</Paragraphs>
  <TotalTime>6</TotalTime>
  <ScaleCrop>false</ScaleCrop>
  <LinksUpToDate>false</LinksUpToDate>
  <CharactersWithSpaces>848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2022-09-29T13:46:00Z</dcterms:created>
  <dc:creator>袁 启航</dc:creator>
  <cp:lastModifiedBy>灬无解灬</cp:lastModifiedBy>
  <dcterms:modified xsi:type="dcterms:W3CDTF">2022-12-28T14:56:40Z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470BEAB099DB4AA28DC52E4172A4352A</vt:lpwstr>
  </property>
</Properties>
</file>