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4C839" w14:textId="4DC9C058" w:rsidR="009142BC" w:rsidRPr="00BE32AE" w:rsidRDefault="00CF078F" w:rsidP="00191113">
      <w:pPr>
        <w:rPr>
          <w:rFonts w:ascii="Arial" w:hAnsi="Arial" w:cs="Arial"/>
          <w:b/>
          <w:color w:val="000000" w:themeColor="text1"/>
          <w:sz w:val="20"/>
          <w:szCs w:val="20"/>
        </w:rPr>
      </w:pPr>
      <w:r w:rsidRPr="00BE32AE">
        <w:rPr>
          <w:rFonts w:ascii="Arial" w:hAnsi="Arial" w:cs="Arial"/>
          <w:b/>
          <w:color w:val="000000" w:themeColor="text1"/>
          <w:sz w:val="20"/>
          <w:szCs w:val="20"/>
        </w:rPr>
        <w:fldChar w:fldCharType="begin"/>
      </w:r>
      <w:r w:rsidRPr="00BE32AE">
        <w:rPr>
          <w:rFonts w:ascii="Arial" w:hAnsi="Arial" w:cs="Arial"/>
          <w:b/>
          <w:color w:val="000000" w:themeColor="text1"/>
          <w:sz w:val="20"/>
          <w:szCs w:val="20"/>
        </w:rPr>
        <w:instrText xml:space="preserve"> LINK </w:instrText>
      </w:r>
      <w:r w:rsidR="00F22E58" w:rsidRPr="00BE32AE">
        <w:rPr>
          <w:rFonts w:ascii="Arial" w:hAnsi="Arial" w:cs="Arial"/>
          <w:b/>
          <w:color w:val="000000" w:themeColor="text1"/>
          <w:sz w:val="20"/>
          <w:szCs w:val="20"/>
        </w:rPr>
        <w:instrText xml:space="preserve">Excel.Sheet.12 "https://cardmaillouisville-my.sharepoint.com/personal/kmwall06_louisville_edu/Documents/Lab Notebook/2022/2022 NAT2 SNP review manuscript/NAT2 SNPs linked to disease states.xlsx" "NAT2 SNPs linked to disease sta!R1C2:R220C7" </w:instrText>
      </w:r>
      <w:r w:rsidRPr="00BE32AE">
        <w:rPr>
          <w:rFonts w:ascii="Arial" w:hAnsi="Arial" w:cs="Arial"/>
          <w:b/>
          <w:color w:val="000000" w:themeColor="text1"/>
          <w:sz w:val="20"/>
          <w:szCs w:val="20"/>
        </w:rPr>
        <w:instrText xml:space="preserve">\a \f 4 \h  \* MERGEFORMAT </w:instrText>
      </w:r>
      <w:r w:rsidRPr="00BE32AE">
        <w:rPr>
          <w:rFonts w:ascii="Arial" w:hAnsi="Arial" w:cs="Arial"/>
          <w:b/>
          <w:color w:val="000000" w:themeColor="text1"/>
          <w:sz w:val="20"/>
          <w:szCs w:val="20"/>
        </w:rPr>
        <w:fldChar w:fldCharType="separate"/>
      </w:r>
    </w:p>
    <w:p w14:paraId="374BE3C3" w14:textId="78BDF660" w:rsidR="00762F73" w:rsidRPr="00BE32AE" w:rsidRDefault="00CF078F" w:rsidP="00191113">
      <w:pPr>
        <w:rPr>
          <w:rFonts w:ascii="Arial" w:hAnsi="Arial" w:cs="Arial"/>
          <w:b/>
          <w:color w:val="000000" w:themeColor="text1"/>
          <w:sz w:val="20"/>
          <w:szCs w:val="20"/>
        </w:rPr>
      </w:pPr>
      <w:r w:rsidRPr="00BE32AE">
        <w:rPr>
          <w:rFonts w:ascii="Arial" w:hAnsi="Arial" w:cs="Arial"/>
          <w:b/>
          <w:color w:val="000000" w:themeColor="text1"/>
          <w:sz w:val="20"/>
          <w:szCs w:val="20"/>
        </w:rPr>
        <w:fldChar w:fldCharType="end"/>
      </w:r>
      <w:r w:rsidR="00485B74">
        <w:rPr>
          <w:rFonts w:ascii="Arial" w:hAnsi="Arial" w:cs="Arial"/>
          <w:b/>
          <w:color w:val="000000" w:themeColor="text1"/>
          <w:sz w:val="20"/>
          <w:szCs w:val="20"/>
        </w:rPr>
        <w:t xml:space="preserve">Supplemental </w:t>
      </w:r>
      <w:r w:rsidR="002A4F31" w:rsidRPr="00BE32AE">
        <w:rPr>
          <w:rFonts w:ascii="Arial" w:hAnsi="Arial" w:cs="Arial"/>
          <w:b/>
          <w:color w:val="000000" w:themeColor="text1"/>
          <w:sz w:val="20"/>
          <w:szCs w:val="20"/>
        </w:rPr>
        <w:t xml:space="preserve">Table 2. </w:t>
      </w:r>
      <w:r w:rsidR="001F0C72" w:rsidRPr="00BE32AE">
        <w:rPr>
          <w:rFonts w:ascii="Arial" w:hAnsi="Arial" w:cs="Arial"/>
          <w:b/>
          <w:i/>
          <w:color w:val="000000" w:themeColor="text1"/>
          <w:sz w:val="20"/>
          <w:szCs w:val="20"/>
        </w:rPr>
        <w:t>NAT2</w:t>
      </w:r>
      <w:r w:rsidR="001F0C72" w:rsidRPr="00BE32AE">
        <w:rPr>
          <w:rFonts w:ascii="Arial" w:hAnsi="Arial" w:cs="Arial"/>
          <w:b/>
          <w:color w:val="000000" w:themeColor="text1"/>
          <w:sz w:val="20"/>
          <w:szCs w:val="20"/>
        </w:rPr>
        <w:t xml:space="preserve"> genetic variants associated with differential urinary or serum metabolite levels</w:t>
      </w:r>
      <w:r w:rsidR="00BE32AE" w:rsidRPr="00BE32AE">
        <w:rPr>
          <w:rFonts w:ascii="Arial" w:hAnsi="Arial" w:cs="Arial"/>
          <w:b/>
          <w:color w:val="000000" w:themeColor="text1"/>
          <w:sz w:val="20"/>
          <w:szCs w:val="20"/>
        </w:rPr>
        <w:t xml:space="preserve"> and other traits</w:t>
      </w:r>
      <w:r w:rsidR="00485B74">
        <w:rPr>
          <w:rFonts w:ascii="Arial" w:hAnsi="Arial" w:cs="Arial"/>
          <w:b/>
          <w:color w:val="000000" w:themeColor="text1"/>
          <w:sz w:val="20"/>
          <w:szCs w:val="20"/>
        </w:rPr>
        <w:t xml:space="preserve"> (Complete list)</w:t>
      </w:r>
    </w:p>
    <w:tbl>
      <w:tblPr>
        <w:tblStyle w:val="TableGrid"/>
        <w:tblW w:w="1467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47"/>
        <w:gridCol w:w="852"/>
        <w:gridCol w:w="1143"/>
        <w:gridCol w:w="973"/>
        <w:gridCol w:w="1084"/>
        <w:gridCol w:w="4301"/>
        <w:gridCol w:w="3109"/>
        <w:gridCol w:w="1082"/>
      </w:tblGrid>
      <w:tr w:rsidR="00E915EB" w:rsidRPr="004817FD" w14:paraId="348D545C" w14:textId="05123CA9" w:rsidTr="00E915EB">
        <w:trPr>
          <w:trHeight w:val="315"/>
        </w:trPr>
        <w:tc>
          <w:tcPr>
            <w:tcW w:w="1384" w:type="dxa"/>
            <w:noWrap/>
            <w:hideMark/>
          </w:tcPr>
          <w:p w14:paraId="756D7226" w14:textId="77777777" w:rsidR="00F22E58" w:rsidRPr="004817FD" w:rsidRDefault="00F22E58" w:rsidP="00191113">
            <w:pPr>
              <w:rPr>
                <w:rFonts w:ascii="Arial" w:hAnsi="Arial" w:cs="Arial"/>
                <w:b/>
                <w:bCs/>
                <w:color w:val="000000" w:themeColor="text1"/>
                <w:sz w:val="16"/>
                <w:szCs w:val="16"/>
              </w:rPr>
            </w:pPr>
            <w:r w:rsidRPr="004817FD">
              <w:rPr>
                <w:rFonts w:ascii="Arial" w:hAnsi="Arial" w:cs="Arial"/>
                <w:b/>
                <w:bCs/>
                <w:color w:val="000000" w:themeColor="text1"/>
                <w:sz w:val="16"/>
                <w:szCs w:val="16"/>
              </w:rPr>
              <w:t>Variant</w:t>
            </w:r>
          </w:p>
        </w:tc>
        <w:tc>
          <w:tcPr>
            <w:tcW w:w="747" w:type="dxa"/>
          </w:tcPr>
          <w:p w14:paraId="16D47CC7" w14:textId="126BB672" w:rsidR="00F22E58" w:rsidRPr="004817FD" w:rsidRDefault="00F22E58" w:rsidP="00191113">
            <w:pPr>
              <w:jc w:val="center"/>
              <w:rPr>
                <w:rFonts w:ascii="Arial" w:hAnsi="Arial" w:cs="Arial"/>
                <w:b/>
                <w:bCs/>
                <w:color w:val="000000" w:themeColor="text1"/>
                <w:sz w:val="16"/>
                <w:szCs w:val="16"/>
              </w:rPr>
            </w:pPr>
            <w:r w:rsidRPr="004817FD">
              <w:rPr>
                <w:rFonts w:ascii="Arial" w:hAnsi="Arial" w:cs="Arial"/>
                <w:b/>
                <w:bCs/>
                <w:color w:val="000000" w:themeColor="text1"/>
                <w:sz w:val="16"/>
                <w:szCs w:val="16"/>
              </w:rPr>
              <w:t>Type</w:t>
            </w:r>
          </w:p>
        </w:tc>
        <w:tc>
          <w:tcPr>
            <w:tcW w:w="852" w:type="dxa"/>
            <w:noWrap/>
            <w:hideMark/>
          </w:tcPr>
          <w:p w14:paraId="02C1127F" w14:textId="3814F3A9" w:rsidR="00F22E58" w:rsidRPr="004817FD" w:rsidRDefault="00F22E58" w:rsidP="00191113">
            <w:pPr>
              <w:jc w:val="center"/>
              <w:rPr>
                <w:rFonts w:ascii="Arial" w:hAnsi="Arial" w:cs="Arial"/>
                <w:b/>
                <w:bCs/>
                <w:color w:val="000000" w:themeColor="text1"/>
                <w:sz w:val="16"/>
                <w:szCs w:val="16"/>
              </w:rPr>
            </w:pPr>
            <w:r w:rsidRPr="004817FD">
              <w:rPr>
                <w:rFonts w:ascii="Arial" w:hAnsi="Arial" w:cs="Arial"/>
                <w:b/>
                <w:bCs/>
                <w:color w:val="000000" w:themeColor="text1"/>
                <w:sz w:val="16"/>
                <w:szCs w:val="16"/>
              </w:rPr>
              <w:t>Risk Allele</w:t>
            </w:r>
          </w:p>
        </w:tc>
        <w:tc>
          <w:tcPr>
            <w:tcW w:w="1143" w:type="dxa"/>
            <w:noWrap/>
            <w:hideMark/>
          </w:tcPr>
          <w:p w14:paraId="43EF3AD3" w14:textId="77777777" w:rsidR="00F22E58" w:rsidRPr="004817FD" w:rsidRDefault="00F22E58" w:rsidP="00191113">
            <w:pPr>
              <w:rPr>
                <w:rFonts w:ascii="Arial" w:hAnsi="Arial" w:cs="Arial"/>
                <w:b/>
                <w:bCs/>
                <w:color w:val="000000" w:themeColor="text1"/>
                <w:sz w:val="16"/>
                <w:szCs w:val="16"/>
              </w:rPr>
            </w:pPr>
            <w:r w:rsidRPr="004817FD">
              <w:rPr>
                <w:rFonts w:ascii="Arial" w:hAnsi="Arial" w:cs="Arial"/>
                <w:b/>
                <w:bCs/>
                <w:color w:val="000000" w:themeColor="text1"/>
                <w:sz w:val="16"/>
                <w:szCs w:val="16"/>
              </w:rPr>
              <w:t>P-value</w:t>
            </w:r>
          </w:p>
        </w:tc>
        <w:tc>
          <w:tcPr>
            <w:tcW w:w="973" w:type="dxa"/>
          </w:tcPr>
          <w:p w14:paraId="694DAAE7" w14:textId="1B32439A" w:rsidR="00F22E58" w:rsidRPr="004817FD" w:rsidRDefault="00F22E58" w:rsidP="00361CF4">
            <w:pPr>
              <w:jc w:val="center"/>
              <w:rPr>
                <w:rFonts w:ascii="Arial" w:hAnsi="Arial" w:cs="Arial"/>
                <w:b/>
                <w:bCs/>
                <w:color w:val="000000" w:themeColor="text1"/>
                <w:sz w:val="16"/>
                <w:szCs w:val="16"/>
              </w:rPr>
            </w:pPr>
            <w:r w:rsidRPr="004817FD">
              <w:rPr>
                <w:rFonts w:ascii="Arial" w:hAnsi="Arial" w:cs="Arial"/>
                <w:b/>
                <w:bCs/>
                <w:color w:val="000000" w:themeColor="text1"/>
                <w:sz w:val="16"/>
                <w:szCs w:val="16"/>
              </w:rPr>
              <w:t>RAF</w:t>
            </w:r>
            <w:r w:rsidR="00F833EB">
              <w:rPr>
                <w:rFonts w:ascii="Arial" w:hAnsi="Arial" w:cs="Arial"/>
                <w:b/>
                <w:bCs/>
                <w:color w:val="000000" w:themeColor="text1"/>
                <w:sz w:val="16"/>
                <w:szCs w:val="16"/>
              </w:rPr>
              <w:t>*</w:t>
            </w:r>
          </w:p>
        </w:tc>
        <w:tc>
          <w:tcPr>
            <w:tcW w:w="1084" w:type="dxa"/>
            <w:noWrap/>
            <w:hideMark/>
          </w:tcPr>
          <w:p w14:paraId="028D5D26" w14:textId="55B70528" w:rsidR="00F22E58" w:rsidRPr="004817FD" w:rsidRDefault="00F22E58" w:rsidP="00361CF4">
            <w:pPr>
              <w:jc w:val="center"/>
              <w:rPr>
                <w:rFonts w:ascii="Arial" w:hAnsi="Arial" w:cs="Arial"/>
                <w:b/>
                <w:bCs/>
                <w:color w:val="000000" w:themeColor="text1"/>
                <w:sz w:val="16"/>
                <w:szCs w:val="16"/>
              </w:rPr>
            </w:pPr>
            <w:r w:rsidRPr="004817FD">
              <w:rPr>
                <w:rFonts w:ascii="Arial" w:hAnsi="Arial" w:cs="Arial"/>
                <w:b/>
                <w:bCs/>
                <w:color w:val="000000" w:themeColor="text1"/>
                <w:sz w:val="16"/>
                <w:szCs w:val="16"/>
              </w:rPr>
              <w:t>Increase/</w:t>
            </w:r>
          </w:p>
          <w:p w14:paraId="4C9EA4E4" w14:textId="056B5AF7" w:rsidR="00F22E58" w:rsidRPr="004817FD" w:rsidRDefault="00F22E58" w:rsidP="00361CF4">
            <w:pPr>
              <w:jc w:val="center"/>
              <w:rPr>
                <w:rFonts w:ascii="Arial" w:hAnsi="Arial" w:cs="Arial"/>
                <w:b/>
                <w:bCs/>
                <w:color w:val="000000" w:themeColor="text1"/>
                <w:sz w:val="16"/>
                <w:szCs w:val="16"/>
              </w:rPr>
            </w:pPr>
            <w:r w:rsidRPr="004817FD">
              <w:rPr>
                <w:rFonts w:ascii="Arial" w:hAnsi="Arial" w:cs="Arial"/>
                <w:b/>
                <w:bCs/>
                <w:color w:val="000000" w:themeColor="text1"/>
                <w:sz w:val="16"/>
                <w:szCs w:val="16"/>
              </w:rPr>
              <w:t>decrease</w:t>
            </w:r>
          </w:p>
        </w:tc>
        <w:tc>
          <w:tcPr>
            <w:tcW w:w="4301" w:type="dxa"/>
            <w:noWrap/>
            <w:hideMark/>
          </w:tcPr>
          <w:p w14:paraId="19C6262D" w14:textId="77777777" w:rsidR="00F22E58" w:rsidRPr="004817FD" w:rsidRDefault="00F22E58" w:rsidP="00191113">
            <w:pPr>
              <w:rPr>
                <w:rFonts w:ascii="Arial" w:hAnsi="Arial" w:cs="Arial"/>
                <w:b/>
                <w:bCs/>
                <w:color w:val="000000" w:themeColor="text1"/>
                <w:sz w:val="16"/>
                <w:szCs w:val="16"/>
              </w:rPr>
            </w:pPr>
            <w:r w:rsidRPr="004817FD">
              <w:rPr>
                <w:rFonts w:ascii="Arial" w:hAnsi="Arial" w:cs="Arial"/>
                <w:b/>
                <w:bCs/>
                <w:color w:val="000000" w:themeColor="text1"/>
                <w:sz w:val="16"/>
                <w:szCs w:val="16"/>
              </w:rPr>
              <w:t>Reported trait</w:t>
            </w:r>
          </w:p>
        </w:tc>
        <w:tc>
          <w:tcPr>
            <w:tcW w:w="3109" w:type="dxa"/>
            <w:noWrap/>
            <w:hideMark/>
          </w:tcPr>
          <w:p w14:paraId="61B33F39" w14:textId="073CDCBA" w:rsidR="00F22E58" w:rsidRPr="004817FD" w:rsidRDefault="00F22E58" w:rsidP="00191113">
            <w:pPr>
              <w:rPr>
                <w:rFonts w:ascii="Arial" w:hAnsi="Arial" w:cs="Arial"/>
                <w:b/>
                <w:color w:val="000000" w:themeColor="text1"/>
                <w:sz w:val="16"/>
                <w:szCs w:val="16"/>
              </w:rPr>
            </w:pPr>
            <w:r w:rsidRPr="004817FD">
              <w:rPr>
                <w:rFonts w:ascii="Arial" w:hAnsi="Arial" w:cs="Arial"/>
                <w:b/>
                <w:color w:val="000000" w:themeColor="text1"/>
                <w:sz w:val="16"/>
                <w:szCs w:val="16"/>
              </w:rPr>
              <w:t>Reference</w:t>
            </w:r>
          </w:p>
        </w:tc>
        <w:tc>
          <w:tcPr>
            <w:tcW w:w="1082" w:type="dxa"/>
          </w:tcPr>
          <w:p w14:paraId="27ADDBDD" w14:textId="0EECFF91" w:rsidR="00F22E58" w:rsidRPr="004817FD" w:rsidRDefault="00F22E58" w:rsidP="00191113">
            <w:pPr>
              <w:rPr>
                <w:rFonts w:ascii="Arial" w:hAnsi="Arial" w:cs="Arial"/>
                <w:b/>
                <w:color w:val="000000" w:themeColor="text1"/>
                <w:sz w:val="16"/>
                <w:szCs w:val="16"/>
              </w:rPr>
            </w:pPr>
            <w:r w:rsidRPr="004817FD">
              <w:rPr>
                <w:rFonts w:ascii="Arial" w:hAnsi="Arial" w:cs="Arial"/>
                <w:b/>
                <w:color w:val="000000" w:themeColor="text1"/>
                <w:sz w:val="16"/>
                <w:szCs w:val="16"/>
              </w:rPr>
              <w:t>Location</w:t>
            </w:r>
            <w:r w:rsidRPr="004817FD">
              <w:rPr>
                <w:rFonts w:ascii="Arial" w:hAnsi="Arial" w:cs="Arial"/>
                <w:color w:val="000000" w:themeColor="text1"/>
                <w:sz w:val="16"/>
                <w:szCs w:val="16"/>
              </w:rPr>
              <w:t>†</w:t>
            </w:r>
          </w:p>
        </w:tc>
      </w:tr>
      <w:tr w:rsidR="00E915EB" w:rsidRPr="004817FD" w14:paraId="22ACA812" w14:textId="53D8772A" w:rsidTr="00E915EB">
        <w:trPr>
          <w:trHeight w:val="315"/>
        </w:trPr>
        <w:tc>
          <w:tcPr>
            <w:tcW w:w="1384" w:type="dxa"/>
            <w:tcBorders>
              <w:bottom w:val="single" w:sz="4" w:space="0" w:color="auto"/>
            </w:tcBorders>
            <w:noWrap/>
            <w:hideMark/>
          </w:tcPr>
          <w:p w14:paraId="2CEA216B" w14:textId="77777777" w:rsidR="00F22E58" w:rsidRPr="004817FD" w:rsidRDefault="00F22E58" w:rsidP="00191113">
            <w:pPr>
              <w:rPr>
                <w:rFonts w:ascii="Arial" w:hAnsi="Arial" w:cs="Arial"/>
                <w:color w:val="000000" w:themeColor="text1"/>
                <w:sz w:val="16"/>
                <w:szCs w:val="16"/>
              </w:rPr>
            </w:pPr>
            <w:r w:rsidRPr="004817FD">
              <w:rPr>
                <w:rFonts w:ascii="Arial" w:hAnsi="Arial" w:cs="Arial"/>
                <w:color w:val="000000" w:themeColor="text1"/>
                <w:sz w:val="16"/>
                <w:szCs w:val="16"/>
              </w:rPr>
              <w:t>rs10109552</w:t>
            </w:r>
          </w:p>
        </w:tc>
        <w:tc>
          <w:tcPr>
            <w:tcW w:w="747" w:type="dxa"/>
            <w:tcBorders>
              <w:bottom w:val="single" w:sz="4" w:space="0" w:color="auto"/>
            </w:tcBorders>
          </w:tcPr>
          <w:p w14:paraId="1C934385" w14:textId="0A7D1BE7" w:rsidR="00F22E58" w:rsidRPr="004817FD" w:rsidRDefault="00F22E58" w:rsidP="00191113">
            <w:pPr>
              <w:jc w:val="center"/>
              <w:rPr>
                <w:rFonts w:ascii="Arial" w:hAnsi="Arial" w:cs="Arial"/>
                <w:color w:val="000000" w:themeColor="text1"/>
                <w:sz w:val="16"/>
                <w:szCs w:val="16"/>
              </w:rPr>
            </w:pPr>
            <w:r w:rsidRPr="004817FD">
              <w:rPr>
                <w:rFonts w:ascii="Arial" w:hAnsi="Arial" w:cs="Arial"/>
                <w:color w:val="000000" w:themeColor="text1"/>
                <w:sz w:val="16"/>
                <w:szCs w:val="16"/>
              </w:rPr>
              <w:t>Non-coding</w:t>
            </w:r>
          </w:p>
        </w:tc>
        <w:tc>
          <w:tcPr>
            <w:tcW w:w="852" w:type="dxa"/>
            <w:tcBorders>
              <w:bottom w:val="single" w:sz="4" w:space="0" w:color="auto"/>
            </w:tcBorders>
            <w:noWrap/>
            <w:hideMark/>
          </w:tcPr>
          <w:p w14:paraId="2D10D11A" w14:textId="70C3A4B9" w:rsidR="00F22E58" w:rsidRPr="004817FD" w:rsidRDefault="00F22E58" w:rsidP="00191113">
            <w:pPr>
              <w:jc w:val="center"/>
              <w:rPr>
                <w:rFonts w:ascii="Arial" w:hAnsi="Arial" w:cs="Arial"/>
                <w:color w:val="000000" w:themeColor="text1"/>
                <w:sz w:val="16"/>
                <w:szCs w:val="16"/>
              </w:rPr>
            </w:pPr>
            <w:r w:rsidRPr="004817FD">
              <w:rPr>
                <w:rFonts w:ascii="Arial" w:hAnsi="Arial" w:cs="Arial"/>
                <w:color w:val="000000" w:themeColor="text1"/>
                <w:sz w:val="16"/>
                <w:szCs w:val="16"/>
              </w:rPr>
              <w:t>G</w:t>
            </w:r>
          </w:p>
        </w:tc>
        <w:tc>
          <w:tcPr>
            <w:tcW w:w="1143" w:type="dxa"/>
            <w:tcBorders>
              <w:bottom w:val="single" w:sz="4" w:space="0" w:color="auto"/>
            </w:tcBorders>
            <w:noWrap/>
            <w:hideMark/>
          </w:tcPr>
          <w:p w14:paraId="79329401" w14:textId="2F70BEAC" w:rsidR="00F22E58" w:rsidRPr="004817FD" w:rsidRDefault="00F22E58" w:rsidP="00191113">
            <w:pPr>
              <w:rPr>
                <w:rFonts w:ascii="Arial" w:hAnsi="Arial" w:cs="Arial"/>
                <w:color w:val="FF0000"/>
                <w:sz w:val="16"/>
                <w:szCs w:val="16"/>
              </w:rPr>
            </w:pPr>
            <w:r w:rsidRPr="004817FD">
              <w:rPr>
                <w:rFonts w:ascii="Arial" w:hAnsi="Arial" w:cs="Arial"/>
                <w:color w:val="000000" w:themeColor="text1"/>
                <w:sz w:val="16"/>
                <w:szCs w:val="16"/>
              </w:rPr>
              <w:t>2 x 10</w:t>
            </w:r>
            <w:r w:rsidRPr="004817FD">
              <w:rPr>
                <w:rFonts w:ascii="Arial" w:hAnsi="Arial" w:cs="Arial"/>
                <w:sz w:val="16"/>
                <w:szCs w:val="16"/>
                <w:vertAlign w:val="superscript"/>
              </w:rPr>
              <w:t>-8</w:t>
            </w:r>
          </w:p>
        </w:tc>
        <w:tc>
          <w:tcPr>
            <w:tcW w:w="973" w:type="dxa"/>
            <w:tcBorders>
              <w:bottom w:val="single" w:sz="4" w:space="0" w:color="auto"/>
            </w:tcBorders>
          </w:tcPr>
          <w:p w14:paraId="675CB649" w14:textId="39C630EA" w:rsidR="00F22E58" w:rsidRPr="004817FD" w:rsidRDefault="00F22E58" w:rsidP="00361CF4">
            <w:pPr>
              <w:jc w:val="center"/>
              <w:rPr>
                <w:rFonts w:ascii="Arial" w:hAnsi="Arial" w:cs="Arial"/>
                <w:sz w:val="16"/>
                <w:szCs w:val="16"/>
              </w:rPr>
            </w:pPr>
            <w:r w:rsidRPr="004817FD">
              <w:rPr>
                <w:rFonts w:ascii="Arial" w:hAnsi="Arial" w:cs="Arial"/>
                <w:sz w:val="16"/>
                <w:szCs w:val="16"/>
              </w:rPr>
              <w:t>0.</w:t>
            </w:r>
            <w:r w:rsidR="00E915EB">
              <w:rPr>
                <w:rFonts w:ascii="Arial" w:hAnsi="Arial" w:cs="Arial"/>
                <w:sz w:val="16"/>
                <w:szCs w:val="16"/>
              </w:rPr>
              <w:t>69</w:t>
            </w:r>
          </w:p>
        </w:tc>
        <w:tc>
          <w:tcPr>
            <w:tcW w:w="1084" w:type="dxa"/>
            <w:tcBorders>
              <w:bottom w:val="single" w:sz="4" w:space="0" w:color="auto"/>
            </w:tcBorders>
            <w:noWrap/>
            <w:hideMark/>
          </w:tcPr>
          <w:p w14:paraId="4E28B2C4" w14:textId="60520E6C" w:rsidR="00F22E58" w:rsidRPr="004817FD" w:rsidRDefault="004817FD" w:rsidP="00361CF4">
            <w:pPr>
              <w:jc w:val="center"/>
              <w:rPr>
                <w:rFonts w:cstheme="minorHAnsi"/>
                <w:color w:val="FF0000"/>
                <w:sz w:val="16"/>
                <w:szCs w:val="16"/>
              </w:rPr>
            </w:pPr>
            <w:r w:rsidRPr="004817FD">
              <w:rPr>
                <w:rFonts w:ascii="Arial" w:hAnsi="Arial" w:cs="Arial"/>
                <w:sz w:val="16"/>
                <w:szCs w:val="16"/>
              </w:rPr>
              <w:t>NA</w:t>
            </w:r>
          </w:p>
        </w:tc>
        <w:tc>
          <w:tcPr>
            <w:tcW w:w="4301" w:type="dxa"/>
            <w:tcBorders>
              <w:bottom w:val="single" w:sz="4" w:space="0" w:color="auto"/>
            </w:tcBorders>
            <w:noWrap/>
            <w:hideMark/>
          </w:tcPr>
          <w:p w14:paraId="74A09585" w14:textId="77777777" w:rsidR="00F22E58" w:rsidRPr="004817FD" w:rsidRDefault="00F22E58" w:rsidP="00191113">
            <w:pPr>
              <w:rPr>
                <w:rFonts w:ascii="Arial" w:hAnsi="Arial" w:cs="Arial"/>
                <w:color w:val="000000" w:themeColor="text1"/>
                <w:sz w:val="16"/>
                <w:szCs w:val="16"/>
              </w:rPr>
            </w:pPr>
            <w:r w:rsidRPr="004817FD">
              <w:rPr>
                <w:rFonts w:ascii="Arial" w:hAnsi="Arial" w:cs="Arial"/>
                <w:color w:val="000000" w:themeColor="text1"/>
                <w:sz w:val="16"/>
                <w:szCs w:val="16"/>
              </w:rPr>
              <w:t>Essential tremor</w:t>
            </w:r>
          </w:p>
        </w:tc>
        <w:tc>
          <w:tcPr>
            <w:tcW w:w="3109" w:type="dxa"/>
            <w:tcBorders>
              <w:bottom w:val="single" w:sz="4" w:space="0" w:color="auto"/>
            </w:tcBorders>
            <w:noWrap/>
            <w:hideMark/>
          </w:tcPr>
          <w:p w14:paraId="4F95034E" w14:textId="364C852D" w:rsidR="00F22E58" w:rsidRPr="004817FD" w:rsidRDefault="00F22E58" w:rsidP="00191113">
            <w:pPr>
              <w:rPr>
                <w:rFonts w:ascii="Arial" w:hAnsi="Arial" w:cs="Arial"/>
                <w:color w:val="000000" w:themeColor="text1"/>
                <w:sz w:val="16"/>
                <w:szCs w:val="16"/>
              </w:rPr>
            </w:pPr>
            <w:r w:rsidRPr="004817FD">
              <w:rPr>
                <w:rFonts w:ascii="Arial" w:hAnsi="Arial" w:cs="Arial"/>
                <w:color w:val="000000" w:themeColor="text1"/>
                <w:sz w:val="16"/>
                <w:szCs w:val="16"/>
              </w:rPr>
              <w:fldChar w:fldCharType="begin"/>
            </w:r>
            <w:r w:rsidR="000C28EC">
              <w:rPr>
                <w:rFonts w:ascii="Arial" w:hAnsi="Arial" w:cs="Arial"/>
                <w:color w:val="000000" w:themeColor="text1"/>
                <w:sz w:val="16"/>
                <w:szCs w:val="16"/>
              </w:rPr>
              <w:instrText xml:space="preserve"> ADDIN ZOTERO_ITEM CSL_CITATION {"citationID":"NVmIOBtk","properties":{"formattedCitation":"(M\\uc0\\u252{}ller et al., 2016)","plainCitation":"(Müller et al., 2016)","noteIndex":0},"citationItems":[{"id":"8dHjENI5/2rQ8fwyG","uris":["http://zotero.org/users/9763947/items/ABLIX96R"],"itemData":{"id":240,"type":"article-journal","abstract":"We conducted a genome-wide association study of essential tremor, a common movement disorder characterized mainly by a postural and kinetic tremor of the upper extremities. Twin and family history studies show a high heritability for essential tremor. The molecular genetic determinants of essential tremor are unknown. We included 2807 patients and 6441 controls of European descent in our two-stage genome-wide association study. The 59 most significantly disease-associated markers of the discovery stage were genotyped in the replication stage. After Bonferroni correction two markers, one (rs10937625) located in the serine/threonine kinase STK32B and one (rs17590046) in the transcriptional coactivator PPARGC1A were associated with essential tremor. Three markers (rs12764057, rs10822974, rs7903491) in the cell-adhesion molecule CTNNA3 were significant in the combined analysis of both stages. The expression of STK32B was increased in the cerebellar cortex of patients and expression quantitative trait loci database mining showed association between the protective minor allele of rs10937625 and reduced expression in cerebellar cortex. We found no expression differences related to disease status or marker genotype for the other two genes. Replication of two lead single nucleotide polymorphisms of previous small genome-wide association studies (rs3794087 in SLC1A2, rs9652490 in LINGO1) did not confirm the association with essential tremor.","container-title":"Brain: A Journal of Neurology","DOI":"10.1093/brain/aww242","ISSN":"1460-2156","issue":"Pt 12","journalAbbreviation":"Brain","language":"eng","note":"PMID: 27797806\nPMCID: PMC5382938","page":"3163-3169","source":"PubMed","title":"Genome-wide association study in essential tremor identifies three new loci","volume":"139","author":[{"family":"Müller","given":"Stefanie H."},{"family":"Girard","given":"Simon L."},{"family":"Hopfner","given":"Franziska"},{"family":"Merner","given":"Nancy D."},{"family":"Bourassa","given":"Cynthia V."},{"family":"Lorenz","given":"Delia"},{"family":"Clark","given":"Lorraine N."},{"family":"Tittmann","given":"Lukas"},{"family":"Soto-Ortolaza","given":"Alexandra I."},{"family":"Klebe","given":"Stephan"},{"family":"Hallett","given":"Mark"},{"family":"Schneider","given":"Susanne A."},{"family":"Hodgkinson","given":"Colin A."},{"family":"Lieb","given":"Wolfgang"},{"family":"Wszolek","given":"Zbigniew K."},{"family":"Pendziwiat","given":"Manuela"},{"family":"Lorenzo-Betancor","given":"Oswaldo"},{"family":"Poewe","given":"Werner"},{"family":"Ortega-Cubero","given":"Sara"},{"family":"Seppi","given":"Klaus"},{"family":"Rajput","given":"Alex"},{"family":"Hussl","given":"Anna"},{"family":"Rajput","given":"Ali H."},{"family":"Berg","given":"Daniela"},{"family":"Dion","given":"Patrick A."},{"family":"Wurster","given":"Isabel"},{"family":"Shulman","given":"Joshua M."},{"family":"Srulijes","given":"Karin"},{"family":"Haubenberger","given":"Dietrich"},{"family":"Pastor","given":"Pau"},{"family":"Vilariño-Güell","given":"Carles"},{"family":"Postuma","given":"Ronald B."},{"family":"Bernard","given":"Geneviève"},{"family":"Ladwig","given":"Karl-Heinz"},{"family":"Dupré","given":"Nicolas"},{"family":"Jankovic","given":"Joseph"},{"family":"Strauch","given":"Konstantin"},{"family":"Panisset","given":"Michel"},{"family":"Winkelmann","given":"Juliane"},{"family":"Testa","given":"Claudia M."},{"family":"Reischl","given":"Eva"},{"family":"Zeuner","given":"Kirsten E."},{"family":"Ross","given":"Owen A."},{"family":"Arzberger","given":"Thomas"},{"family":"Chouinard","given":"Sylvain"},{"family":"Deuschl","given":"Günther"},{"family":"Louis","given":"Elan D."},{"family":"Kuhlenbäumer","given":"Gregor"},{"family":"Rouleau","given":"Guy A."}],"issued":{"date-parts":[["2016",12]]}}}],"schema":"https://github.com/citation-style-language/schema/raw/master/csl-citation.json"} </w:instrText>
            </w:r>
            <w:r w:rsidRPr="004817FD">
              <w:rPr>
                <w:rFonts w:ascii="Arial" w:hAnsi="Arial" w:cs="Arial"/>
                <w:color w:val="000000" w:themeColor="text1"/>
                <w:sz w:val="16"/>
                <w:szCs w:val="16"/>
              </w:rPr>
              <w:fldChar w:fldCharType="separate"/>
            </w:r>
            <w:r w:rsidRPr="004817FD">
              <w:rPr>
                <w:rFonts w:ascii="Arial" w:hAnsi="Arial" w:cs="Arial"/>
                <w:color w:val="000000" w:themeColor="text1"/>
                <w:sz w:val="16"/>
                <w:szCs w:val="16"/>
              </w:rPr>
              <w:t>(Müller et al., 2016)</w:t>
            </w:r>
            <w:r w:rsidRPr="004817FD">
              <w:rPr>
                <w:rFonts w:ascii="Arial" w:hAnsi="Arial" w:cs="Arial"/>
                <w:color w:val="000000" w:themeColor="text1"/>
                <w:sz w:val="16"/>
                <w:szCs w:val="16"/>
              </w:rPr>
              <w:fldChar w:fldCharType="end"/>
            </w:r>
          </w:p>
        </w:tc>
        <w:tc>
          <w:tcPr>
            <w:tcW w:w="1082" w:type="dxa"/>
            <w:tcBorders>
              <w:bottom w:val="single" w:sz="4" w:space="0" w:color="auto"/>
            </w:tcBorders>
          </w:tcPr>
          <w:p w14:paraId="326063D8" w14:textId="09D66122" w:rsidR="00F22E58" w:rsidRPr="004817FD" w:rsidRDefault="00F22E58" w:rsidP="00191113">
            <w:pPr>
              <w:rPr>
                <w:rFonts w:ascii="Arial" w:hAnsi="Arial" w:cs="Arial"/>
                <w:color w:val="000000" w:themeColor="text1"/>
                <w:sz w:val="16"/>
                <w:szCs w:val="16"/>
              </w:rPr>
            </w:pPr>
            <w:r w:rsidRPr="004817FD">
              <w:rPr>
                <w:rFonts w:ascii="Arial" w:hAnsi="Arial" w:cs="Arial"/>
                <w:color w:val="000000" w:themeColor="text1"/>
                <w:sz w:val="16"/>
                <w:szCs w:val="16"/>
              </w:rPr>
              <w:t>8:18451300</w:t>
            </w:r>
          </w:p>
        </w:tc>
      </w:tr>
      <w:tr w:rsidR="00E915EB" w:rsidRPr="004817FD" w14:paraId="33EEE2EB" w14:textId="77777777" w:rsidTr="00E915EB">
        <w:trPr>
          <w:trHeight w:val="300"/>
        </w:trPr>
        <w:tc>
          <w:tcPr>
            <w:tcW w:w="1384" w:type="dxa"/>
            <w:tcBorders>
              <w:top w:val="single" w:sz="4" w:space="0" w:color="auto"/>
              <w:bottom w:val="single" w:sz="4" w:space="0" w:color="auto"/>
            </w:tcBorders>
            <w:noWrap/>
          </w:tcPr>
          <w:p w14:paraId="5315BF62" w14:textId="090B4291" w:rsidR="004817FD" w:rsidRPr="004817FD" w:rsidRDefault="004817FD" w:rsidP="00547323">
            <w:pPr>
              <w:rPr>
                <w:rFonts w:ascii="Arial" w:hAnsi="Arial" w:cs="Arial"/>
                <w:color w:val="000000" w:themeColor="text1"/>
                <w:sz w:val="16"/>
                <w:szCs w:val="16"/>
              </w:rPr>
            </w:pPr>
            <w:r w:rsidRPr="004817FD">
              <w:rPr>
                <w:rFonts w:ascii="Arial" w:hAnsi="Arial" w:cs="Arial"/>
                <w:color w:val="000000" w:themeColor="text1"/>
                <w:sz w:val="16"/>
                <w:szCs w:val="16"/>
              </w:rPr>
              <w:t>rs11784251</w:t>
            </w:r>
          </w:p>
        </w:tc>
        <w:tc>
          <w:tcPr>
            <w:tcW w:w="747" w:type="dxa"/>
            <w:tcBorders>
              <w:top w:val="single" w:sz="4" w:space="0" w:color="auto"/>
              <w:bottom w:val="single" w:sz="4" w:space="0" w:color="auto"/>
            </w:tcBorders>
          </w:tcPr>
          <w:p w14:paraId="045BFC41" w14:textId="36CA28FB" w:rsidR="004817FD" w:rsidRPr="004817FD" w:rsidRDefault="004817FD" w:rsidP="00547323">
            <w:pPr>
              <w:jc w:val="center"/>
              <w:rPr>
                <w:rFonts w:ascii="Arial" w:hAnsi="Arial" w:cs="Arial"/>
                <w:color w:val="000000" w:themeColor="text1"/>
                <w:sz w:val="16"/>
                <w:szCs w:val="16"/>
              </w:rPr>
            </w:pPr>
            <w:r w:rsidRPr="004817FD">
              <w:rPr>
                <w:rFonts w:ascii="Arial" w:hAnsi="Arial" w:cs="Arial"/>
                <w:color w:val="000000" w:themeColor="text1"/>
                <w:sz w:val="16"/>
                <w:szCs w:val="16"/>
              </w:rPr>
              <w:t>Non-coding</w:t>
            </w:r>
          </w:p>
        </w:tc>
        <w:tc>
          <w:tcPr>
            <w:tcW w:w="852" w:type="dxa"/>
            <w:tcBorders>
              <w:top w:val="single" w:sz="4" w:space="0" w:color="auto"/>
              <w:bottom w:val="single" w:sz="4" w:space="0" w:color="auto"/>
            </w:tcBorders>
            <w:noWrap/>
          </w:tcPr>
          <w:p w14:paraId="57E9016F" w14:textId="10056515" w:rsidR="004817FD" w:rsidRPr="004817FD" w:rsidRDefault="004817FD" w:rsidP="00547323">
            <w:pPr>
              <w:jc w:val="center"/>
              <w:rPr>
                <w:rFonts w:ascii="Arial" w:hAnsi="Arial" w:cs="Arial"/>
                <w:color w:val="000000" w:themeColor="text1"/>
                <w:sz w:val="16"/>
                <w:szCs w:val="16"/>
              </w:rPr>
            </w:pPr>
            <w:r w:rsidRPr="004817FD">
              <w:rPr>
                <w:rFonts w:ascii="Arial" w:hAnsi="Arial" w:cs="Arial"/>
                <w:color w:val="000000" w:themeColor="text1"/>
                <w:sz w:val="16"/>
                <w:szCs w:val="16"/>
              </w:rPr>
              <w:t>G</w:t>
            </w:r>
          </w:p>
        </w:tc>
        <w:tc>
          <w:tcPr>
            <w:tcW w:w="1143" w:type="dxa"/>
            <w:tcBorders>
              <w:top w:val="single" w:sz="4" w:space="0" w:color="auto"/>
              <w:bottom w:val="single" w:sz="4" w:space="0" w:color="auto"/>
            </w:tcBorders>
            <w:noWrap/>
          </w:tcPr>
          <w:p w14:paraId="20E8E587" w14:textId="611FA4F1" w:rsidR="004817FD" w:rsidRPr="004817FD" w:rsidRDefault="004817FD" w:rsidP="00547323">
            <w:pPr>
              <w:rPr>
                <w:rFonts w:ascii="Arial" w:hAnsi="Arial" w:cs="Arial"/>
                <w:color w:val="000000" w:themeColor="text1"/>
                <w:sz w:val="16"/>
                <w:szCs w:val="16"/>
              </w:rPr>
            </w:pPr>
            <w:r w:rsidRPr="004817FD">
              <w:rPr>
                <w:rFonts w:ascii="Arial" w:hAnsi="Arial" w:cs="Arial"/>
                <w:color w:val="000000" w:themeColor="text1"/>
                <w:sz w:val="16"/>
                <w:szCs w:val="16"/>
              </w:rPr>
              <w:t>2 x 10</w:t>
            </w:r>
            <w:r w:rsidRPr="004817FD">
              <w:rPr>
                <w:rFonts w:ascii="Arial" w:hAnsi="Arial" w:cs="Arial"/>
                <w:sz w:val="16"/>
                <w:szCs w:val="16"/>
                <w:vertAlign w:val="superscript"/>
              </w:rPr>
              <w:t>-</w:t>
            </w:r>
            <w:r>
              <w:rPr>
                <w:rFonts w:ascii="Arial" w:hAnsi="Arial" w:cs="Arial"/>
                <w:sz w:val="16"/>
                <w:szCs w:val="16"/>
                <w:vertAlign w:val="superscript"/>
              </w:rPr>
              <w:t>17</w:t>
            </w:r>
          </w:p>
        </w:tc>
        <w:tc>
          <w:tcPr>
            <w:tcW w:w="973" w:type="dxa"/>
            <w:tcBorders>
              <w:top w:val="single" w:sz="4" w:space="0" w:color="auto"/>
              <w:bottom w:val="single" w:sz="4" w:space="0" w:color="auto"/>
            </w:tcBorders>
          </w:tcPr>
          <w:p w14:paraId="21BA3C98" w14:textId="127A7541" w:rsidR="004817FD" w:rsidRPr="004817FD" w:rsidRDefault="004817FD" w:rsidP="00547323">
            <w:pPr>
              <w:jc w:val="center"/>
              <w:rPr>
                <w:rFonts w:ascii="Arial" w:hAnsi="Arial" w:cs="Arial"/>
                <w:sz w:val="16"/>
                <w:szCs w:val="16"/>
              </w:rPr>
            </w:pPr>
            <w:r w:rsidRPr="004817FD">
              <w:rPr>
                <w:rFonts w:ascii="Arial" w:hAnsi="Arial" w:cs="Arial"/>
                <w:sz w:val="16"/>
                <w:szCs w:val="16"/>
              </w:rPr>
              <w:t>0.5</w:t>
            </w:r>
            <w:r w:rsidR="00E915EB">
              <w:rPr>
                <w:rFonts w:ascii="Arial" w:hAnsi="Arial" w:cs="Arial"/>
                <w:sz w:val="16"/>
                <w:szCs w:val="16"/>
              </w:rPr>
              <w:t>6</w:t>
            </w:r>
          </w:p>
        </w:tc>
        <w:tc>
          <w:tcPr>
            <w:tcW w:w="1084" w:type="dxa"/>
            <w:tcBorders>
              <w:top w:val="single" w:sz="4" w:space="0" w:color="auto"/>
              <w:bottom w:val="single" w:sz="4" w:space="0" w:color="auto"/>
            </w:tcBorders>
            <w:noWrap/>
          </w:tcPr>
          <w:p w14:paraId="00B350D0" w14:textId="74977214" w:rsidR="004817FD" w:rsidRPr="004817FD" w:rsidRDefault="004817FD" w:rsidP="00547323">
            <w:pPr>
              <w:jc w:val="center"/>
              <w:rPr>
                <w:rFonts w:cstheme="minorHAnsi"/>
                <w:sz w:val="16"/>
                <w:szCs w:val="16"/>
              </w:rPr>
            </w:pPr>
            <w:r w:rsidRPr="004817FD">
              <w:rPr>
                <w:rFonts w:cstheme="minorHAnsi"/>
                <w:sz w:val="16"/>
                <w:szCs w:val="16"/>
              </w:rPr>
              <w:t>↑</w:t>
            </w:r>
          </w:p>
        </w:tc>
        <w:tc>
          <w:tcPr>
            <w:tcW w:w="4301" w:type="dxa"/>
            <w:tcBorders>
              <w:top w:val="single" w:sz="4" w:space="0" w:color="auto"/>
              <w:bottom w:val="single" w:sz="4" w:space="0" w:color="auto"/>
            </w:tcBorders>
            <w:noWrap/>
          </w:tcPr>
          <w:p w14:paraId="7A2FFAE0" w14:textId="30494BB7" w:rsidR="004817FD" w:rsidRPr="004817FD" w:rsidRDefault="004817FD" w:rsidP="00547323">
            <w:pPr>
              <w:rPr>
                <w:rFonts w:ascii="Arial" w:hAnsi="Arial" w:cs="Arial"/>
                <w:color w:val="000000" w:themeColor="text1"/>
                <w:sz w:val="16"/>
                <w:szCs w:val="16"/>
              </w:rPr>
            </w:pPr>
            <w:r w:rsidRPr="004817FD">
              <w:rPr>
                <w:rFonts w:ascii="Arial" w:hAnsi="Arial" w:cs="Arial"/>
                <w:color w:val="000000" w:themeColor="text1"/>
                <w:sz w:val="16"/>
                <w:szCs w:val="16"/>
              </w:rPr>
              <w:t>Blood metabolite levels (</w:t>
            </w:r>
            <w:r w:rsidRPr="004817FD">
              <w:rPr>
                <w:rFonts w:ascii="Arial" w:hAnsi="Arial" w:cs="Arial"/>
                <w:i/>
                <w:color w:val="000000" w:themeColor="text1"/>
                <w:sz w:val="16"/>
                <w:szCs w:val="16"/>
              </w:rPr>
              <w:t>N</w:t>
            </w:r>
            <w:r w:rsidRPr="004817FD">
              <w:rPr>
                <w:rFonts w:ascii="Arial" w:hAnsi="Arial" w:cs="Arial"/>
                <w:color w:val="000000" w:themeColor="text1"/>
                <w:sz w:val="16"/>
                <w:szCs w:val="16"/>
              </w:rPr>
              <w:t>-acetylputrescine)</w:t>
            </w:r>
          </w:p>
        </w:tc>
        <w:tc>
          <w:tcPr>
            <w:tcW w:w="3109" w:type="dxa"/>
            <w:tcBorders>
              <w:top w:val="single" w:sz="4" w:space="0" w:color="auto"/>
              <w:bottom w:val="single" w:sz="4" w:space="0" w:color="auto"/>
            </w:tcBorders>
            <w:noWrap/>
          </w:tcPr>
          <w:p w14:paraId="1DB84FE0" w14:textId="39568E72" w:rsidR="004817FD" w:rsidRPr="004817FD" w:rsidRDefault="000C28EC" w:rsidP="00547323">
            <w:pPr>
              <w:rPr>
                <w:rFonts w:ascii="Arial" w:hAnsi="Arial" w:cs="Arial"/>
                <w:b/>
                <w:color w:val="000000" w:themeColor="text1"/>
                <w:sz w:val="16"/>
                <w:szCs w:val="16"/>
              </w:rPr>
            </w:pPr>
            <w:r>
              <w:rPr>
                <w:rFonts w:ascii="Arial" w:hAnsi="Arial" w:cs="Arial"/>
                <w:b/>
                <w:color w:val="000000" w:themeColor="text1"/>
                <w:sz w:val="16"/>
                <w:szCs w:val="16"/>
              </w:rPr>
              <w:fldChar w:fldCharType="begin"/>
            </w:r>
            <w:r>
              <w:rPr>
                <w:rFonts w:ascii="Arial" w:hAnsi="Arial" w:cs="Arial"/>
                <w:b/>
                <w:color w:val="000000" w:themeColor="text1"/>
                <w:sz w:val="16"/>
                <w:szCs w:val="16"/>
              </w:rPr>
              <w:instrText xml:space="preserve"> ADDIN ZOTERO_ITEM CSL_CITATION {"citationID":"VKVzUS0T","properties":{"formattedCitation":"(Rhee et al., 2022)","plainCitation":"(Rhee et al., 2022)","noteIndex":0},"citationItems":[{"id":"8dHjENI5/m9oEYJGV","uris":["http://zotero.org/users/9763947/items/P4ALS7RS"],"itemData":{"id":"8dHjENI5/m9oEYJGV","type":"article-journal","abstract":"Metabolomics genome wide association study (GWAS) help outline the genetic contribution to human metabolism. However, studies to date have focused on relatively healthy, population-based samples of White individuals. Here, we conducted a GWAS of 537 blood metabolites measured in the Chronic Renal Insufficiency Cohort (CRIC) Study, with separate analyses in 822 White and 687 Black study participants. Trans-ethnic meta-analysis was then applied to improve fine-mapping of potential causal variants. Mean estimated glomerular filtration rate was 44.4 and 41.5 mL/min/1.73m2 in the White and Black participants, respectively. There were 45 significant metabolite associations at 19 loci, including novel associations at PYROXD2, PHYHD1, FADS1-3, ACOT2, MYRF, FAAH, and LIPC. The strength of associations was unchanged in models additionally adjusted for estimated glomerular filtration rate and proteinuria, consistent with a direct biochemical effect of gene products on associated metabolites. At several loci, trans-ethnic meta-analysis, which leverages differences in linkage disequilibrium across populations, reduced the number and/or genomic interval spanned by potentially causal single nucleotide polymorphisms compared to fine-mapping in the White participant cohort alone. Across all validated associations, we found strong concordance in effect sizes of the potentially causal single nucleotide polymorphisms between White and Black study participants. Thus, our study identifies novel genetic determinants of blood metabolites in chronic kidney disease, demonstrates the value of diverse cohorts to improve causal inference in metabolomics GWAS, and underscores the shared genetic basis of metabolism across race.","container-title":"Kidney International","DOI":"10.1016/j.kint.2022.01.014","ISSN":"1523-1755","issue":"4","journalAbbreviation":"Kidney Int","language":"eng","note":"PMID: 35120996\nPMCID: PMC8940669","page":"814-823","source":"PubMed","title":"Trans-ethnic genome-wide association study of blood metabolites in the Chronic Renal Insufficiency Cohort (CRIC) study","volume":"101","author":[{"family":"Rhee","given":"Eugene P."},{"family":"Surapaneni","given":"Aditya"},{"family":"Zheng","given":"Zihe"},{"family":"Zhou","given":"Linda"},{"family":"Dutta","given":"Diptavo"},{"family":"Arking","given":"Dan E."},{"family":"Zhang","given":"Jingning"},{"family":"Duong","given":"ThuyVy"},{"family":"Chatterjee","given":"Nilanjan"},{"family":"Luo","given":"Shengyuan"},{"family":"Schlosser","given":"Pascal"},{"family":"Mehta","given":"Rupal"},{"family":"Waikar","given":"Sushrut S."},{"family":"Saraf","given":"Santosh L."},{"family":"Kelly","given":"Tanika N."},{"family":"Hamm","given":"Lee L."},{"family":"Rao","given":"Panduranga S."},{"family":"Mathew","given":"Anna V."},{"family":"Hsu","given":"Chi-Yuan"},{"family":"Parsa","given":"Afshin"},{"family":"Vasan","given":"Ramachandran S."},{"family":"Kimmel","given":"Paul L."},{"family":"Clish","given":"Clary B."},{"family":"Coresh","given":"Josef"},{"family":"Feldman","given":"Harold I."},{"family":"Grams","given":"Morgan E."},{"literal":"CKD Biomarkers Consortium and the Chronic Renal Insufficiency Cohort (CRIC) Study Investigators"}],"issued":{"date-parts":[["2022",4]]}}}],"schema":"https://github.com/citation-style-language/schema/raw/master/csl-citation.json"} </w:instrText>
            </w:r>
            <w:r>
              <w:rPr>
                <w:rFonts w:ascii="Arial" w:hAnsi="Arial" w:cs="Arial"/>
                <w:b/>
                <w:color w:val="000000" w:themeColor="text1"/>
                <w:sz w:val="16"/>
                <w:szCs w:val="16"/>
              </w:rPr>
              <w:fldChar w:fldCharType="separate"/>
            </w:r>
            <w:r w:rsidRPr="000C28EC">
              <w:rPr>
                <w:rFonts w:ascii="Arial" w:hAnsi="Arial" w:cs="Arial"/>
                <w:sz w:val="16"/>
              </w:rPr>
              <w:t>(Rhee et al., 2022)</w:t>
            </w:r>
            <w:r>
              <w:rPr>
                <w:rFonts w:ascii="Arial" w:hAnsi="Arial" w:cs="Arial"/>
                <w:b/>
                <w:color w:val="000000" w:themeColor="text1"/>
                <w:sz w:val="16"/>
                <w:szCs w:val="16"/>
              </w:rPr>
              <w:fldChar w:fldCharType="end"/>
            </w:r>
          </w:p>
        </w:tc>
        <w:tc>
          <w:tcPr>
            <w:tcW w:w="1082" w:type="dxa"/>
            <w:tcBorders>
              <w:top w:val="single" w:sz="4" w:space="0" w:color="auto"/>
              <w:bottom w:val="single" w:sz="4" w:space="0" w:color="auto"/>
            </w:tcBorders>
          </w:tcPr>
          <w:p w14:paraId="42DD03FD" w14:textId="17DFFC4D" w:rsidR="004817FD" w:rsidRPr="004817FD" w:rsidRDefault="000C28EC" w:rsidP="000C28EC">
            <w:pPr>
              <w:rPr>
                <w:rFonts w:ascii="Arial" w:hAnsi="Arial" w:cs="Arial"/>
                <w:color w:val="000000" w:themeColor="text1"/>
                <w:sz w:val="16"/>
                <w:szCs w:val="16"/>
              </w:rPr>
            </w:pPr>
            <w:r w:rsidRPr="000C28EC">
              <w:rPr>
                <w:rFonts w:ascii="Arial" w:hAnsi="Arial" w:cs="Arial"/>
                <w:color w:val="000000" w:themeColor="text1"/>
                <w:sz w:val="16"/>
                <w:szCs w:val="16"/>
              </w:rPr>
              <w:t>8:18402503</w:t>
            </w:r>
          </w:p>
        </w:tc>
      </w:tr>
      <w:tr w:rsidR="00E915EB" w:rsidRPr="004817FD" w14:paraId="63BA2993" w14:textId="4177CDB8" w:rsidTr="00E915EB">
        <w:trPr>
          <w:trHeight w:val="300"/>
        </w:trPr>
        <w:tc>
          <w:tcPr>
            <w:tcW w:w="1384" w:type="dxa"/>
            <w:tcBorders>
              <w:top w:val="single" w:sz="4" w:space="0" w:color="auto"/>
              <w:bottom w:val="single" w:sz="4" w:space="0" w:color="auto"/>
            </w:tcBorders>
            <w:noWrap/>
            <w:hideMark/>
          </w:tcPr>
          <w:p w14:paraId="3C4B7C83" w14:textId="1865C788" w:rsidR="00F22E58" w:rsidRPr="004817FD" w:rsidRDefault="00F22E58" w:rsidP="00547323">
            <w:pPr>
              <w:rPr>
                <w:rFonts w:ascii="Arial" w:hAnsi="Arial" w:cs="Arial"/>
                <w:color w:val="000000" w:themeColor="text1"/>
                <w:sz w:val="16"/>
                <w:szCs w:val="16"/>
              </w:rPr>
            </w:pPr>
            <w:r w:rsidRPr="004817FD">
              <w:rPr>
                <w:rFonts w:ascii="Arial" w:hAnsi="Arial" w:cs="Arial"/>
                <w:color w:val="000000" w:themeColor="text1"/>
                <w:sz w:val="16"/>
                <w:szCs w:val="16"/>
              </w:rPr>
              <w:t>rs1390360</w:t>
            </w:r>
          </w:p>
        </w:tc>
        <w:tc>
          <w:tcPr>
            <w:tcW w:w="747" w:type="dxa"/>
            <w:tcBorders>
              <w:top w:val="single" w:sz="4" w:space="0" w:color="auto"/>
              <w:bottom w:val="single" w:sz="4" w:space="0" w:color="auto"/>
            </w:tcBorders>
          </w:tcPr>
          <w:p w14:paraId="2D1CE066" w14:textId="2494AC0D" w:rsidR="00F22E58" w:rsidRPr="004817FD" w:rsidRDefault="00F22E58" w:rsidP="00547323">
            <w:pPr>
              <w:jc w:val="center"/>
              <w:rPr>
                <w:rFonts w:ascii="Arial" w:hAnsi="Arial" w:cs="Arial"/>
                <w:color w:val="000000" w:themeColor="text1"/>
                <w:sz w:val="16"/>
                <w:szCs w:val="16"/>
              </w:rPr>
            </w:pPr>
            <w:r w:rsidRPr="004817FD">
              <w:rPr>
                <w:rFonts w:ascii="Arial" w:hAnsi="Arial" w:cs="Arial"/>
                <w:color w:val="000000" w:themeColor="text1"/>
                <w:sz w:val="16"/>
                <w:szCs w:val="16"/>
              </w:rPr>
              <w:t>Non-coding</w:t>
            </w:r>
          </w:p>
        </w:tc>
        <w:tc>
          <w:tcPr>
            <w:tcW w:w="852" w:type="dxa"/>
            <w:tcBorders>
              <w:top w:val="single" w:sz="4" w:space="0" w:color="auto"/>
              <w:bottom w:val="single" w:sz="4" w:space="0" w:color="auto"/>
            </w:tcBorders>
            <w:noWrap/>
            <w:hideMark/>
          </w:tcPr>
          <w:p w14:paraId="36F478AB" w14:textId="6E11F58E" w:rsidR="00F22E58" w:rsidRPr="004817FD" w:rsidRDefault="00F22E58" w:rsidP="00547323">
            <w:pPr>
              <w:jc w:val="center"/>
              <w:rPr>
                <w:rFonts w:ascii="Arial" w:hAnsi="Arial" w:cs="Arial"/>
                <w:color w:val="000000" w:themeColor="text1"/>
                <w:sz w:val="16"/>
                <w:szCs w:val="16"/>
              </w:rPr>
            </w:pPr>
            <w:r w:rsidRPr="004817FD">
              <w:rPr>
                <w:rFonts w:ascii="Arial" w:hAnsi="Arial" w:cs="Arial"/>
                <w:color w:val="000000" w:themeColor="text1"/>
                <w:sz w:val="16"/>
                <w:szCs w:val="16"/>
              </w:rPr>
              <w:t>A</w:t>
            </w:r>
          </w:p>
        </w:tc>
        <w:tc>
          <w:tcPr>
            <w:tcW w:w="1143" w:type="dxa"/>
            <w:tcBorders>
              <w:top w:val="single" w:sz="4" w:space="0" w:color="auto"/>
              <w:bottom w:val="single" w:sz="4" w:space="0" w:color="auto"/>
            </w:tcBorders>
            <w:noWrap/>
            <w:hideMark/>
          </w:tcPr>
          <w:p w14:paraId="5BC6121C" w14:textId="05544872" w:rsidR="00F22E58" w:rsidRPr="004817FD" w:rsidRDefault="00F22E58" w:rsidP="00547323">
            <w:pPr>
              <w:rPr>
                <w:rFonts w:ascii="Arial" w:hAnsi="Arial" w:cs="Arial"/>
                <w:color w:val="000000" w:themeColor="text1"/>
                <w:sz w:val="16"/>
                <w:szCs w:val="16"/>
              </w:rPr>
            </w:pPr>
            <w:r w:rsidRPr="004817FD">
              <w:rPr>
                <w:rFonts w:ascii="Arial" w:hAnsi="Arial" w:cs="Arial"/>
                <w:color w:val="000000" w:themeColor="text1"/>
                <w:sz w:val="16"/>
                <w:szCs w:val="16"/>
              </w:rPr>
              <w:t>7 x 10</w:t>
            </w:r>
            <w:r w:rsidRPr="004817FD">
              <w:rPr>
                <w:rFonts w:ascii="Arial" w:hAnsi="Arial" w:cs="Arial"/>
                <w:color w:val="000000" w:themeColor="text1"/>
                <w:sz w:val="16"/>
                <w:szCs w:val="16"/>
                <w:vertAlign w:val="superscript"/>
              </w:rPr>
              <w:t>-13</w:t>
            </w:r>
          </w:p>
        </w:tc>
        <w:tc>
          <w:tcPr>
            <w:tcW w:w="973" w:type="dxa"/>
            <w:tcBorders>
              <w:top w:val="single" w:sz="4" w:space="0" w:color="auto"/>
              <w:bottom w:val="single" w:sz="4" w:space="0" w:color="auto"/>
            </w:tcBorders>
          </w:tcPr>
          <w:p w14:paraId="7759E41B" w14:textId="1B118CE8" w:rsidR="00F22E58" w:rsidRPr="004817FD" w:rsidRDefault="00E915EB" w:rsidP="00547323">
            <w:pPr>
              <w:jc w:val="center"/>
              <w:rPr>
                <w:rFonts w:ascii="Arial" w:hAnsi="Arial" w:cs="Arial"/>
                <w:sz w:val="16"/>
                <w:szCs w:val="16"/>
              </w:rPr>
            </w:pPr>
            <w:r>
              <w:rPr>
                <w:rFonts w:ascii="Arial" w:hAnsi="Arial" w:cs="Arial"/>
                <w:sz w:val="16"/>
                <w:szCs w:val="16"/>
              </w:rPr>
              <w:t>0.56</w:t>
            </w:r>
          </w:p>
        </w:tc>
        <w:tc>
          <w:tcPr>
            <w:tcW w:w="1084" w:type="dxa"/>
            <w:tcBorders>
              <w:top w:val="single" w:sz="4" w:space="0" w:color="auto"/>
              <w:bottom w:val="single" w:sz="4" w:space="0" w:color="auto"/>
            </w:tcBorders>
            <w:noWrap/>
            <w:hideMark/>
          </w:tcPr>
          <w:p w14:paraId="30B218CE" w14:textId="691575ED" w:rsidR="00F22E58" w:rsidRPr="004817FD" w:rsidRDefault="00F22E58" w:rsidP="00547323">
            <w:pPr>
              <w:jc w:val="center"/>
              <w:rPr>
                <w:rFonts w:cstheme="minorHAnsi"/>
                <w:color w:val="000000" w:themeColor="text1"/>
                <w:sz w:val="16"/>
                <w:szCs w:val="16"/>
              </w:rPr>
            </w:pPr>
            <w:r w:rsidRPr="004817FD">
              <w:rPr>
                <w:rFonts w:cstheme="minorHAnsi"/>
                <w:sz w:val="16"/>
                <w:szCs w:val="16"/>
              </w:rPr>
              <w:t>↑</w:t>
            </w:r>
          </w:p>
        </w:tc>
        <w:tc>
          <w:tcPr>
            <w:tcW w:w="4301" w:type="dxa"/>
            <w:tcBorders>
              <w:top w:val="single" w:sz="4" w:space="0" w:color="auto"/>
              <w:bottom w:val="single" w:sz="4" w:space="0" w:color="auto"/>
            </w:tcBorders>
            <w:noWrap/>
            <w:hideMark/>
          </w:tcPr>
          <w:p w14:paraId="1544A146" w14:textId="07CBB61F" w:rsidR="00F22E58" w:rsidRPr="004817FD" w:rsidRDefault="00F22E58" w:rsidP="00547323">
            <w:pPr>
              <w:rPr>
                <w:rFonts w:ascii="Arial" w:hAnsi="Arial" w:cs="Arial"/>
                <w:color w:val="000000" w:themeColor="text1"/>
                <w:sz w:val="16"/>
                <w:szCs w:val="16"/>
              </w:rPr>
            </w:pPr>
            <w:r w:rsidRPr="004817FD">
              <w:rPr>
                <w:rFonts w:ascii="Arial" w:hAnsi="Arial" w:cs="Arial"/>
                <w:color w:val="000000" w:themeColor="text1"/>
                <w:sz w:val="16"/>
                <w:szCs w:val="16"/>
              </w:rPr>
              <w:t>Serum albumin levels</w:t>
            </w:r>
          </w:p>
        </w:tc>
        <w:tc>
          <w:tcPr>
            <w:tcW w:w="3109" w:type="dxa"/>
            <w:tcBorders>
              <w:top w:val="single" w:sz="4" w:space="0" w:color="auto"/>
              <w:bottom w:val="single" w:sz="4" w:space="0" w:color="auto"/>
            </w:tcBorders>
            <w:noWrap/>
            <w:hideMark/>
          </w:tcPr>
          <w:p w14:paraId="04EBC390" w14:textId="2917BC5E" w:rsidR="00F22E58" w:rsidRPr="004817FD" w:rsidRDefault="00F22E58" w:rsidP="00547323">
            <w:pPr>
              <w:rPr>
                <w:rFonts w:ascii="Arial" w:hAnsi="Arial" w:cs="Arial"/>
                <w:color w:val="000000" w:themeColor="text1"/>
                <w:sz w:val="16"/>
                <w:szCs w:val="16"/>
              </w:rPr>
            </w:pPr>
            <w:r w:rsidRPr="004817FD">
              <w:rPr>
                <w:rFonts w:ascii="Arial" w:hAnsi="Arial" w:cs="Arial"/>
                <w:color w:val="000000" w:themeColor="text1"/>
                <w:sz w:val="16"/>
                <w:szCs w:val="16"/>
              </w:rPr>
              <w:fldChar w:fldCharType="begin"/>
            </w:r>
            <w:r w:rsidR="000C28EC">
              <w:rPr>
                <w:rFonts w:ascii="Arial" w:hAnsi="Arial" w:cs="Arial"/>
                <w:color w:val="000000" w:themeColor="text1"/>
                <w:sz w:val="16"/>
                <w:szCs w:val="16"/>
              </w:rPr>
              <w:instrText xml:space="preserve"> ADDIN ZOTERO_ITEM CSL_CITATION {"citationID":"kLL8qAU4","properties":{"formattedCitation":"(Sakaue et al., 2021)","plainCitation":"(Sakaue et al., 2021)","noteIndex":0},"citationItems":[{"id":"8dHjENI5/FJjpKmRp","uris":["http://zotero.org/users/9763947/items/ZZU6BFA4"],"itemData":{"id":274,"type":"article-journal","abstract":"Current genome-wide association studies do not yet capture sufficient diversity in populations and scope of phenotypes. To expand an atlas of genetic associations in non-European populations, we conducted 220 deep-phenotype genome-wide association studies (diseases, biomarkers and medication usage) in BioBank Japan (n = 179,000), by incorporating past medical history and text-mining of electronic medical records. Meta-analyses with the UK Biobank and FinnGen (ntotal = 628,000) identified ~5,000 new loci, which improved the resolution of the genomic map of human traits. This atlas elucidated the landscape of pleiotropy as represented by the major histocompatibility complex locus, where we conducted HLA fine-mapping. Finally, we performed statistical decomposition of matrices of phenome-wide summary statistics, and identified latent genetic components, which pinpointed responsible variants and biological mechanisms underlying current disease classifications across populations. The decomposed components enabled genetically informed subtyping of similar diseases (for example, allergic diseases). Our study suggests a potential avenue for hypothesis-free re-investigation of human diseases through genetics.","container-title":"Nature Genetics","DOI":"10.1038/s41588-021-00931-x","ISSN":"1546-1718","issue":"10","journalAbbreviation":"Nat Genet","language":"eng","note":"PMID: 34594039","page":"1415-1424","source":"PubMed","title":"A cross-population atlas of genetic associations for 220 human phenotypes","volume":"53","author":[{"family":"Sakaue","given":"Saori"},{"family":"Kanai","given":"Masahiro"},{"family":"Tanigawa","given":"Yosuke"},{"family":"Karjalainen","given":"Juha"},{"family":"Kurki","given":"Mitja"},{"family":"Koshiba","given":"Seizo"},{"family":"Narita","given":"Akira"},{"family":"Konuma","given":"Takahiro"},{"family":"Yamamoto","given":"Kenichi"},{"family":"Akiyama","given":"Masato"},{"family":"Ishigaki","given":"Kazuyoshi"},{"family":"Suzuki","given":"Akari"},{"family":"Suzuki","given":"Ken"},{"family":"Obara","given":"Wataru"},{"family":"Yamaji","given":"Ken"},{"family":"Takahashi","given":"Kazuhisa"},{"family":"Asai","given":"Satoshi"},{"family":"Takahashi","given":"Yasuo"},{"family":"Suzuki","given":"Takao"},{"family":"Shinozaki","given":"Nobuaki"},{"family":"Yamaguchi","given":"Hiroki"},{"family":"Minami","given":"Shiro"},{"family":"Murayama","given":"Shigeo"},{"family":"Yoshimori","given":"Kozo"},{"family":"Nagayama","given":"Satoshi"},{"family":"Obata","given":"Daisuke"},{"family":"Higashiyama","given":"Masahiko"},{"family":"Masumoto","given":"Akihide"},{"family":"Koretsune","given":"Yukihiro"},{"literal":"FinnGen"},{"family":"Ito","given":"Kaoru"},{"family":"Terao","given":"Chikashi"},{"family":"Yamauchi","given":"Toshimasa"},{"family":"Komuro","given":"Issei"},{"family":"Kadowaki","given":"Takashi"},{"family":"Tamiya","given":"Gen"},{"family":"Yamamoto","given":"Masayuki"},{"family":"Nakamura","given":"Yusuke"},{"family":"Kubo","given":"Michiaki"},{"family":"Murakami","given":"Yoshinori"},{"family":"Yamamoto","given":"Kazuhiko"},{"family":"Kamatani","given":"Yoichiro"},{"family":"Palotie","given":"Aarno"},{"family":"Rivas","given":"Manuel A."},{"family":"Daly","given":"Mark J."},{"family":"Matsuda","given":"Koichi"},{"family":"Okada","given":"Yukinori"}],"issued":{"date-parts":[["2021",10]]}}}],"schema":"https://github.com/citation-style-language/schema/raw/master/csl-citation.json"} </w:instrText>
            </w:r>
            <w:r w:rsidRPr="004817FD">
              <w:rPr>
                <w:rFonts w:ascii="Arial" w:hAnsi="Arial" w:cs="Arial"/>
                <w:color w:val="000000" w:themeColor="text1"/>
                <w:sz w:val="16"/>
                <w:szCs w:val="16"/>
              </w:rPr>
              <w:fldChar w:fldCharType="separate"/>
            </w:r>
            <w:r w:rsidRPr="004817FD">
              <w:rPr>
                <w:rFonts w:ascii="Arial" w:hAnsi="Arial" w:cs="Arial"/>
                <w:color w:val="000000" w:themeColor="text1"/>
                <w:sz w:val="16"/>
                <w:szCs w:val="16"/>
              </w:rPr>
              <w:t>(Sakaue et al., 2021)</w:t>
            </w:r>
            <w:r w:rsidRPr="004817FD">
              <w:rPr>
                <w:rFonts w:ascii="Arial" w:hAnsi="Arial" w:cs="Arial"/>
                <w:color w:val="000000" w:themeColor="text1"/>
                <w:sz w:val="16"/>
                <w:szCs w:val="16"/>
              </w:rPr>
              <w:fldChar w:fldCharType="end"/>
            </w:r>
          </w:p>
        </w:tc>
        <w:tc>
          <w:tcPr>
            <w:tcW w:w="1082" w:type="dxa"/>
            <w:tcBorders>
              <w:top w:val="single" w:sz="4" w:space="0" w:color="auto"/>
              <w:bottom w:val="single" w:sz="4" w:space="0" w:color="auto"/>
            </w:tcBorders>
          </w:tcPr>
          <w:p w14:paraId="2C1BDEB7" w14:textId="156349F8" w:rsidR="00F22E58" w:rsidRPr="004817FD" w:rsidRDefault="00F22E58" w:rsidP="00547323">
            <w:pPr>
              <w:rPr>
                <w:rFonts w:ascii="Arial" w:hAnsi="Arial" w:cs="Arial"/>
                <w:color w:val="000000" w:themeColor="text1"/>
                <w:sz w:val="16"/>
                <w:szCs w:val="16"/>
              </w:rPr>
            </w:pPr>
            <w:r w:rsidRPr="004817FD">
              <w:rPr>
                <w:rFonts w:ascii="Arial" w:hAnsi="Arial" w:cs="Arial"/>
                <w:color w:val="000000" w:themeColor="text1"/>
                <w:sz w:val="16"/>
                <w:szCs w:val="16"/>
              </w:rPr>
              <w:t>8:18403983</w:t>
            </w:r>
          </w:p>
        </w:tc>
      </w:tr>
      <w:tr w:rsidR="00E915EB" w:rsidRPr="004817FD" w14:paraId="7FDC8030" w14:textId="77777777" w:rsidTr="00E915EB">
        <w:trPr>
          <w:trHeight w:val="300"/>
        </w:trPr>
        <w:tc>
          <w:tcPr>
            <w:tcW w:w="1384" w:type="dxa"/>
            <w:tcBorders>
              <w:top w:val="single" w:sz="4" w:space="0" w:color="auto"/>
            </w:tcBorders>
            <w:noWrap/>
          </w:tcPr>
          <w:p w14:paraId="20E5D02F" w14:textId="2F0020DB" w:rsidR="00E915EB" w:rsidRPr="004817FD" w:rsidRDefault="00E915EB" w:rsidP="00E915EB">
            <w:pPr>
              <w:rPr>
                <w:rFonts w:ascii="Arial" w:hAnsi="Arial" w:cs="Arial"/>
                <w:color w:val="000000" w:themeColor="text1"/>
                <w:sz w:val="16"/>
                <w:szCs w:val="16"/>
              </w:rPr>
            </w:pPr>
            <w:r w:rsidRPr="004817FD">
              <w:rPr>
                <w:rFonts w:ascii="Arial" w:hAnsi="Arial" w:cs="Arial"/>
                <w:color w:val="000000" w:themeColor="text1"/>
                <w:sz w:val="16"/>
                <w:szCs w:val="16"/>
              </w:rPr>
              <w:t>rs146812806</w:t>
            </w:r>
          </w:p>
        </w:tc>
        <w:tc>
          <w:tcPr>
            <w:tcW w:w="747" w:type="dxa"/>
            <w:tcBorders>
              <w:top w:val="single" w:sz="4" w:space="0" w:color="auto"/>
            </w:tcBorders>
          </w:tcPr>
          <w:p w14:paraId="2B705944" w14:textId="32F9458E" w:rsidR="00E915EB" w:rsidRPr="004817FD" w:rsidRDefault="00E915EB" w:rsidP="00E915EB">
            <w:pPr>
              <w:jc w:val="center"/>
              <w:rPr>
                <w:rFonts w:ascii="Arial" w:hAnsi="Arial" w:cs="Arial"/>
                <w:color w:val="000000" w:themeColor="text1"/>
                <w:sz w:val="16"/>
                <w:szCs w:val="16"/>
              </w:rPr>
            </w:pPr>
            <w:r w:rsidRPr="004817FD">
              <w:rPr>
                <w:rFonts w:ascii="Arial" w:hAnsi="Arial" w:cs="Arial"/>
                <w:color w:val="000000" w:themeColor="text1"/>
                <w:sz w:val="16"/>
                <w:szCs w:val="16"/>
              </w:rPr>
              <w:t>Non-coding</w:t>
            </w:r>
          </w:p>
        </w:tc>
        <w:tc>
          <w:tcPr>
            <w:tcW w:w="852" w:type="dxa"/>
            <w:tcBorders>
              <w:top w:val="single" w:sz="4" w:space="0" w:color="auto"/>
            </w:tcBorders>
            <w:noWrap/>
          </w:tcPr>
          <w:p w14:paraId="101D5667" w14:textId="03D4552B" w:rsidR="00E915EB" w:rsidRPr="004817FD" w:rsidRDefault="00E915EB" w:rsidP="00E915EB">
            <w:pPr>
              <w:tabs>
                <w:tab w:val="left" w:pos="250"/>
                <w:tab w:val="center" w:pos="318"/>
              </w:tabs>
              <w:jc w:val="center"/>
              <w:rPr>
                <w:rFonts w:ascii="Arial" w:hAnsi="Arial" w:cs="Arial"/>
                <w:color w:val="000000" w:themeColor="text1"/>
                <w:sz w:val="16"/>
                <w:szCs w:val="16"/>
              </w:rPr>
            </w:pPr>
            <w:r w:rsidRPr="004817FD">
              <w:rPr>
                <w:rFonts w:ascii="Arial" w:hAnsi="Arial" w:cs="Arial"/>
                <w:color w:val="000000" w:themeColor="text1"/>
                <w:sz w:val="16"/>
                <w:szCs w:val="16"/>
              </w:rPr>
              <w:t>Ins</w:t>
            </w:r>
          </w:p>
        </w:tc>
        <w:tc>
          <w:tcPr>
            <w:tcW w:w="1143" w:type="dxa"/>
            <w:tcBorders>
              <w:top w:val="single" w:sz="4" w:space="0" w:color="auto"/>
            </w:tcBorders>
            <w:noWrap/>
          </w:tcPr>
          <w:p w14:paraId="508878F2" w14:textId="0DE0CA7E" w:rsidR="00E915EB" w:rsidRPr="004817FD" w:rsidRDefault="00E915EB" w:rsidP="00E915EB">
            <w:pPr>
              <w:rPr>
                <w:rFonts w:ascii="Arial" w:hAnsi="Arial" w:cs="Arial"/>
                <w:color w:val="000000" w:themeColor="text1"/>
                <w:sz w:val="16"/>
                <w:szCs w:val="16"/>
              </w:rPr>
            </w:pPr>
            <w:r w:rsidRPr="004817FD">
              <w:rPr>
                <w:rFonts w:ascii="Arial" w:hAnsi="Arial" w:cs="Arial"/>
                <w:color w:val="000000" w:themeColor="text1"/>
                <w:sz w:val="16"/>
                <w:szCs w:val="16"/>
              </w:rPr>
              <w:t>9 x 10</w:t>
            </w:r>
            <w:r w:rsidRPr="004817FD">
              <w:rPr>
                <w:rFonts w:ascii="Arial" w:hAnsi="Arial" w:cs="Arial"/>
                <w:color w:val="000000" w:themeColor="text1"/>
                <w:sz w:val="16"/>
                <w:szCs w:val="16"/>
                <w:vertAlign w:val="superscript"/>
              </w:rPr>
              <w:t>-32</w:t>
            </w:r>
          </w:p>
        </w:tc>
        <w:tc>
          <w:tcPr>
            <w:tcW w:w="973" w:type="dxa"/>
            <w:tcBorders>
              <w:top w:val="single" w:sz="4" w:space="0" w:color="auto"/>
            </w:tcBorders>
          </w:tcPr>
          <w:p w14:paraId="1E94B95A" w14:textId="4B1FCAFF" w:rsidR="00E915EB" w:rsidRPr="00D823AD" w:rsidRDefault="00E915EB" w:rsidP="00E915EB">
            <w:pPr>
              <w:jc w:val="center"/>
              <w:rPr>
                <w:rFonts w:ascii="Arial" w:hAnsi="Arial" w:cs="Arial"/>
                <w:sz w:val="16"/>
                <w:szCs w:val="16"/>
              </w:rPr>
            </w:pPr>
            <w:r w:rsidRPr="00D823AD">
              <w:rPr>
                <w:rFonts w:ascii="Arial" w:hAnsi="Arial" w:cs="Arial"/>
                <w:sz w:val="16"/>
                <w:szCs w:val="16"/>
              </w:rPr>
              <w:t>0.3</w:t>
            </w:r>
            <w:r w:rsidR="00D823AD">
              <w:rPr>
                <w:rFonts w:ascii="Arial" w:hAnsi="Arial" w:cs="Arial"/>
                <w:sz w:val="16"/>
                <w:szCs w:val="16"/>
              </w:rPr>
              <w:t>5</w:t>
            </w:r>
          </w:p>
        </w:tc>
        <w:tc>
          <w:tcPr>
            <w:tcW w:w="1084" w:type="dxa"/>
            <w:tcBorders>
              <w:top w:val="single" w:sz="4" w:space="0" w:color="auto"/>
            </w:tcBorders>
            <w:noWrap/>
          </w:tcPr>
          <w:p w14:paraId="4A977894" w14:textId="35EF4831" w:rsidR="00E915EB" w:rsidRPr="004817FD" w:rsidRDefault="00E915EB" w:rsidP="00E915EB">
            <w:pPr>
              <w:jc w:val="center"/>
              <w:rPr>
                <w:rFonts w:cstheme="minorHAnsi"/>
                <w:sz w:val="16"/>
                <w:szCs w:val="16"/>
              </w:rPr>
            </w:pPr>
            <w:r w:rsidRPr="004817FD">
              <w:rPr>
                <w:rFonts w:cstheme="minorHAnsi"/>
                <w:sz w:val="16"/>
                <w:szCs w:val="16"/>
              </w:rPr>
              <w:t>↑</w:t>
            </w:r>
          </w:p>
        </w:tc>
        <w:tc>
          <w:tcPr>
            <w:tcW w:w="4301" w:type="dxa"/>
            <w:tcBorders>
              <w:top w:val="single" w:sz="4" w:space="0" w:color="auto"/>
            </w:tcBorders>
            <w:noWrap/>
          </w:tcPr>
          <w:p w14:paraId="2FF9992A" w14:textId="37B147BC" w:rsidR="00E915EB" w:rsidRPr="004817FD" w:rsidRDefault="00E915EB" w:rsidP="00E915EB">
            <w:pPr>
              <w:rPr>
                <w:rFonts w:ascii="Arial" w:hAnsi="Arial" w:cs="Arial"/>
                <w:color w:val="000000" w:themeColor="text1"/>
                <w:sz w:val="16"/>
                <w:szCs w:val="16"/>
              </w:rPr>
            </w:pPr>
            <w:r w:rsidRPr="004817FD">
              <w:rPr>
                <w:rFonts w:ascii="Arial" w:hAnsi="Arial" w:cs="Arial"/>
                <w:color w:val="000000" w:themeColor="text1"/>
                <w:sz w:val="16"/>
                <w:szCs w:val="16"/>
              </w:rPr>
              <w:t>Serum metabolite levels (5-acetylamino-6-amino-3-methyluracil)</w:t>
            </w:r>
          </w:p>
        </w:tc>
        <w:tc>
          <w:tcPr>
            <w:tcW w:w="3109" w:type="dxa"/>
            <w:tcBorders>
              <w:top w:val="single" w:sz="4" w:space="0" w:color="auto"/>
            </w:tcBorders>
            <w:noWrap/>
          </w:tcPr>
          <w:p w14:paraId="15759A1B" w14:textId="2719B929" w:rsidR="00E915EB" w:rsidRPr="004817FD" w:rsidRDefault="00E915EB" w:rsidP="00E915EB">
            <w:pPr>
              <w:rPr>
                <w:rFonts w:ascii="Arial" w:hAnsi="Arial" w:cs="Arial"/>
                <w:color w:val="000000" w:themeColor="text1"/>
                <w:sz w:val="16"/>
                <w:szCs w:val="16"/>
              </w:rPr>
            </w:pPr>
            <w:r w:rsidRPr="004817FD">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ADDIN ZOTERO_ITEM CSL_CITATION {"citationID":"9lXdVsXR","properties":{"formattedCitation":"(Feofanova et al., 2020)","plainCitation":"(Feofanova et al., 2020)","noteIndex":0},"citationItems":[{"id":"8dHjENI5/cP2RLLPI","uris":["http://zotero.org/users/9763947/items/BIRNKA6U"],"itemData":{"id":276,"type":"article-journal","abstract":"Variation in levels of the human metabolome reflect changes in homeostasis, providing a window into health and disease. The genetic impact on circulating metabolites in Hispanics, a population with high cardiometabolic disease burden, is largely unknown. We conducted genome-wide association analyses on 640 circulating metabolites in 3,926 Hispanic Community Health Study/Study of Latinos participants. The estimated heritability for 640 metabolites ranged between 0%-54% with a median at 2.5%. We discovered 46 variant-metabolite pairs (p value &lt; 1.2 × 10-10, minor allele frequency ≥ 1%, proportion of variance explained [PEV] mean = 3.4%, PEVrange = 1%-22%) with generalized effects in two population-based studies and confirmed 301 known locus-metabolite associations. Half of the identified variants with generalized effect were located in genes, including five nonsynonymous variants. We identified co-localization with the expression quantitative trait loci at 105 discovered and 151 known loci-metabolites sets. rs5855544, upstream of SLC51A, was associated with higher levels of three steroid sulfates and co-localized with expression levels of SLC51A in several tissues. Mendelian randomization (MR) analysis identified several metabolites associated with coronary heart disease (CHD) and type 2 diabetes. For example, two variants located in or near CYP4F2 (rs2108622 and rs79400241, respectively), involved in vitamin E metabolism, were associated with the levels of octadecanedioate and vitamin E metabolites (gamma-CEHC and gamma-CEHC glucuronide); MR analysis showed that genetically high levels of these metabolites were associated with lower odds of CHD. Our findings document the genetic architecture of circulating metabolites in an underrepresented Hispanic/Latino community, shedding light on disease etiology.","container-title":"American Journal of Human Genetics","DOI":"10.1016/j.ajhg.2020.09.003","ISSN":"1537-6605","issue":"5","journalAbbreviation":"Am J Hum Genet","language":"eng","note":"PMID: 33031748\nPMCID: PMC7675000","page":"849-863","source":"PubMed","title":"A Genome-wide Association Study Discovers 46 Loci of the Human Metabolome in the Hispanic Community Health Study/Study of Latinos","volume":"107","author":[{"family":"Feofanova","given":"Elena V."},{"family":"Chen","given":"Han"},{"family":"Dai","given":"Yulin"},{"family":"Jia","given":"Peilin"},{"family":"Grove","given":"Megan L."},{"family":"Morrison","given":"Alanna C."},{"family":"Qi","given":"Qibin"},{"family":"Daviglus","given":"Martha"},{"family":"Cai","given":"Jianwen"},{"family":"North","given":"Kari E."},{"family":"Laurie","given":"Cathy C."},{"family":"Kaplan","given":"Robert C."},{"family":"Boerwinkle","given":"Eric"},{"family":"Yu","given":"Bing"}],"issued":{"date-parts":[["2020",11,5]]}}}],"schema":"https://github.com/citation-style-language/schema/raw/master/csl-citation.json"} </w:instrText>
            </w:r>
            <w:r w:rsidRPr="004817FD">
              <w:rPr>
                <w:rFonts w:ascii="Arial" w:hAnsi="Arial" w:cs="Arial"/>
                <w:color w:val="000000" w:themeColor="text1"/>
                <w:sz w:val="16"/>
                <w:szCs w:val="16"/>
              </w:rPr>
              <w:fldChar w:fldCharType="separate"/>
            </w:r>
            <w:r w:rsidRPr="004817FD">
              <w:rPr>
                <w:rFonts w:ascii="Arial" w:hAnsi="Arial" w:cs="Arial"/>
                <w:color w:val="000000" w:themeColor="text1"/>
                <w:sz w:val="16"/>
                <w:szCs w:val="16"/>
              </w:rPr>
              <w:t>(Feofanova et al., 2020)</w:t>
            </w:r>
            <w:r w:rsidRPr="004817FD">
              <w:rPr>
                <w:rFonts w:ascii="Arial" w:hAnsi="Arial" w:cs="Arial"/>
                <w:color w:val="000000" w:themeColor="text1"/>
                <w:sz w:val="16"/>
                <w:szCs w:val="16"/>
              </w:rPr>
              <w:fldChar w:fldCharType="end"/>
            </w:r>
          </w:p>
        </w:tc>
        <w:tc>
          <w:tcPr>
            <w:tcW w:w="1082" w:type="dxa"/>
            <w:tcBorders>
              <w:top w:val="single" w:sz="4" w:space="0" w:color="auto"/>
            </w:tcBorders>
          </w:tcPr>
          <w:p w14:paraId="5BA5B9FA" w14:textId="20E126C6" w:rsidR="00E915EB" w:rsidRPr="004817FD" w:rsidRDefault="00E915EB" w:rsidP="00E915EB">
            <w:pPr>
              <w:rPr>
                <w:rFonts w:ascii="Arial" w:hAnsi="Arial" w:cs="Arial"/>
                <w:color w:val="000000" w:themeColor="text1"/>
                <w:sz w:val="16"/>
                <w:szCs w:val="16"/>
              </w:rPr>
            </w:pPr>
            <w:r w:rsidRPr="004817FD">
              <w:rPr>
                <w:rFonts w:ascii="Arial" w:hAnsi="Arial" w:cs="Arial"/>
                <w:color w:val="000000" w:themeColor="text1"/>
                <w:sz w:val="16"/>
                <w:szCs w:val="16"/>
              </w:rPr>
              <w:t>8:18414994</w:t>
            </w:r>
          </w:p>
        </w:tc>
      </w:tr>
      <w:tr w:rsidR="00E915EB" w:rsidRPr="004817FD" w14:paraId="359354E8" w14:textId="443BE846" w:rsidTr="00E915EB">
        <w:trPr>
          <w:trHeight w:val="300"/>
        </w:trPr>
        <w:tc>
          <w:tcPr>
            <w:tcW w:w="1384" w:type="dxa"/>
            <w:tcBorders>
              <w:bottom w:val="single" w:sz="4" w:space="0" w:color="auto"/>
            </w:tcBorders>
            <w:noWrap/>
          </w:tcPr>
          <w:p w14:paraId="77D9EA6E" w14:textId="29866866" w:rsidR="00E915EB" w:rsidRPr="004817FD" w:rsidRDefault="00E915EB" w:rsidP="00E915EB">
            <w:pPr>
              <w:rPr>
                <w:rFonts w:ascii="Arial" w:hAnsi="Arial" w:cs="Arial"/>
                <w:color w:val="000000" w:themeColor="text1"/>
                <w:sz w:val="16"/>
                <w:szCs w:val="16"/>
              </w:rPr>
            </w:pPr>
          </w:p>
        </w:tc>
        <w:tc>
          <w:tcPr>
            <w:tcW w:w="747" w:type="dxa"/>
            <w:tcBorders>
              <w:bottom w:val="single" w:sz="4" w:space="0" w:color="auto"/>
            </w:tcBorders>
          </w:tcPr>
          <w:p w14:paraId="79945581" w14:textId="78993B57" w:rsidR="00E915EB" w:rsidRPr="004817FD" w:rsidRDefault="00E915EB" w:rsidP="00E915EB">
            <w:pPr>
              <w:jc w:val="center"/>
              <w:rPr>
                <w:rFonts w:ascii="Arial" w:hAnsi="Arial" w:cs="Arial"/>
                <w:color w:val="000000" w:themeColor="text1"/>
                <w:sz w:val="16"/>
                <w:szCs w:val="16"/>
              </w:rPr>
            </w:pPr>
          </w:p>
        </w:tc>
        <w:tc>
          <w:tcPr>
            <w:tcW w:w="852" w:type="dxa"/>
            <w:tcBorders>
              <w:bottom w:val="single" w:sz="4" w:space="0" w:color="auto"/>
            </w:tcBorders>
            <w:noWrap/>
            <w:hideMark/>
          </w:tcPr>
          <w:p w14:paraId="7E036BBA" w14:textId="03D3F4B8" w:rsidR="00E915EB" w:rsidRPr="004817FD" w:rsidRDefault="00E915EB" w:rsidP="00E915EB">
            <w:pPr>
              <w:jc w:val="center"/>
              <w:rPr>
                <w:rFonts w:ascii="Arial" w:hAnsi="Arial" w:cs="Arial"/>
                <w:color w:val="000000" w:themeColor="text1"/>
                <w:sz w:val="16"/>
                <w:szCs w:val="16"/>
              </w:rPr>
            </w:pPr>
            <w:r>
              <w:rPr>
                <w:rFonts w:ascii="Arial" w:hAnsi="Arial" w:cs="Arial"/>
                <w:color w:val="000000" w:themeColor="text1"/>
                <w:sz w:val="16"/>
                <w:szCs w:val="16"/>
              </w:rPr>
              <w:t>Ins</w:t>
            </w:r>
          </w:p>
        </w:tc>
        <w:tc>
          <w:tcPr>
            <w:tcW w:w="1143" w:type="dxa"/>
            <w:tcBorders>
              <w:bottom w:val="single" w:sz="4" w:space="0" w:color="auto"/>
            </w:tcBorders>
            <w:noWrap/>
            <w:hideMark/>
          </w:tcPr>
          <w:p w14:paraId="6448C2D1" w14:textId="5F44BAE4" w:rsidR="00E915EB" w:rsidRPr="004817FD" w:rsidRDefault="00E915EB" w:rsidP="00E915EB">
            <w:pPr>
              <w:rPr>
                <w:rFonts w:ascii="Arial" w:hAnsi="Arial" w:cs="Arial"/>
                <w:color w:val="000000" w:themeColor="text1"/>
                <w:sz w:val="16"/>
                <w:szCs w:val="16"/>
              </w:rPr>
            </w:pPr>
            <w:r w:rsidRPr="004817FD">
              <w:rPr>
                <w:rFonts w:ascii="Arial" w:hAnsi="Arial" w:cs="Arial"/>
                <w:color w:val="000000" w:themeColor="text1"/>
                <w:sz w:val="16"/>
                <w:szCs w:val="16"/>
              </w:rPr>
              <w:t>9 x 10</w:t>
            </w:r>
            <w:r w:rsidRPr="004817FD">
              <w:rPr>
                <w:rFonts w:ascii="Arial" w:hAnsi="Arial" w:cs="Arial"/>
                <w:color w:val="000000" w:themeColor="text1"/>
                <w:sz w:val="16"/>
                <w:szCs w:val="16"/>
                <w:vertAlign w:val="superscript"/>
              </w:rPr>
              <w:t>-14</w:t>
            </w:r>
          </w:p>
        </w:tc>
        <w:tc>
          <w:tcPr>
            <w:tcW w:w="973" w:type="dxa"/>
            <w:tcBorders>
              <w:bottom w:val="single" w:sz="4" w:space="0" w:color="auto"/>
            </w:tcBorders>
          </w:tcPr>
          <w:p w14:paraId="230651D8" w14:textId="44367401" w:rsidR="00E915EB" w:rsidRPr="004817FD" w:rsidRDefault="00E915EB" w:rsidP="00E915EB">
            <w:pPr>
              <w:jc w:val="center"/>
              <w:rPr>
                <w:rFonts w:ascii="Arial" w:hAnsi="Arial" w:cs="Arial"/>
                <w:sz w:val="16"/>
                <w:szCs w:val="16"/>
              </w:rPr>
            </w:pPr>
          </w:p>
        </w:tc>
        <w:tc>
          <w:tcPr>
            <w:tcW w:w="1084" w:type="dxa"/>
            <w:tcBorders>
              <w:bottom w:val="single" w:sz="4" w:space="0" w:color="auto"/>
            </w:tcBorders>
            <w:noWrap/>
            <w:hideMark/>
          </w:tcPr>
          <w:p w14:paraId="3E61BA4D" w14:textId="4E90C5EF" w:rsidR="00E915EB" w:rsidRPr="004817FD" w:rsidRDefault="00E915EB" w:rsidP="00E915EB">
            <w:pPr>
              <w:jc w:val="center"/>
              <w:rPr>
                <w:rFonts w:cstheme="minorHAnsi"/>
                <w:color w:val="000000" w:themeColor="text1"/>
                <w:sz w:val="16"/>
                <w:szCs w:val="16"/>
              </w:rPr>
            </w:pPr>
            <w:r w:rsidRPr="004817FD">
              <w:rPr>
                <w:rFonts w:cstheme="minorHAnsi"/>
                <w:sz w:val="16"/>
                <w:szCs w:val="16"/>
              </w:rPr>
              <w:t>↓</w:t>
            </w:r>
          </w:p>
        </w:tc>
        <w:tc>
          <w:tcPr>
            <w:tcW w:w="4301" w:type="dxa"/>
            <w:tcBorders>
              <w:bottom w:val="single" w:sz="4" w:space="0" w:color="auto"/>
            </w:tcBorders>
            <w:noWrap/>
            <w:hideMark/>
          </w:tcPr>
          <w:p w14:paraId="79737679" w14:textId="2089042B" w:rsidR="00E915EB" w:rsidRPr="004817FD" w:rsidRDefault="00E915EB" w:rsidP="00E915EB">
            <w:pPr>
              <w:rPr>
                <w:rFonts w:ascii="Arial" w:hAnsi="Arial" w:cs="Arial"/>
                <w:color w:val="000000" w:themeColor="text1"/>
                <w:sz w:val="16"/>
                <w:szCs w:val="16"/>
              </w:rPr>
            </w:pPr>
            <w:r w:rsidRPr="004817FD">
              <w:rPr>
                <w:rFonts w:ascii="Arial" w:hAnsi="Arial" w:cs="Arial"/>
                <w:color w:val="000000" w:themeColor="text1"/>
                <w:sz w:val="16"/>
                <w:szCs w:val="16"/>
              </w:rPr>
              <w:t>Mean corpuscular hemoglobin concentration</w:t>
            </w:r>
          </w:p>
        </w:tc>
        <w:tc>
          <w:tcPr>
            <w:tcW w:w="3109" w:type="dxa"/>
            <w:tcBorders>
              <w:bottom w:val="single" w:sz="4" w:space="0" w:color="auto"/>
            </w:tcBorders>
            <w:noWrap/>
            <w:hideMark/>
          </w:tcPr>
          <w:p w14:paraId="5D94EEA0" w14:textId="3E0AB8D4" w:rsidR="00E915EB" w:rsidRPr="004817FD" w:rsidRDefault="00E915EB" w:rsidP="00E915EB">
            <w:pPr>
              <w:rPr>
                <w:rFonts w:ascii="Arial" w:hAnsi="Arial" w:cs="Arial"/>
                <w:color w:val="000000" w:themeColor="text1"/>
                <w:sz w:val="16"/>
                <w:szCs w:val="16"/>
              </w:rPr>
            </w:pPr>
            <w:r w:rsidRPr="004817FD">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ADDIN ZOTERO_ITEM CSL_CITATION {"citationID":"o5HtvdcC","properties":{"formattedCitation":"(Chen et al., 2020)","plainCitation":"(Chen et al., 2020)","noteIndex":0},"citationItems":[{"id":"8dHjENI5/Pbh0r7Ls","uris":["http://zotero.org/users/9763947/items/APABK56Q"],"itemData":{"id":257,"type":"article-journal","abstract":"Most loci identified by GWASs have been found in populations of European ancestry (EUR). In trans-ethnic meta-analyses for 15 hematological traits in 746,667 participants, including 184,535 non-EUR individuals, we identified 5,552 trait-variant associations at p &lt; 5 × 10-9, including 71 novel associations not found in EUR populations. We also identified 28 additional novel variants in ancestry-specific, non-EUR meta-analyses, including an IL7 missense variant in South Asians associated with lymphocyte count in vivo and IL-7 secretion levels in vitro. Fine-mapping prioritized variants annotated as functional and generated 95% credible sets that were 30% smaller when using the trans-ethnic as opposed to the EUR-only results. We explored the clinical significance and predictive value of trans-ethnic variants in multiple populations and compared genetic architecture and the effect of natural selection on these blood phenotypes between populations. Altogether, our results for hematological traits highlight the value of a more global representation of populations in genetic studies.","container-title":"Cell","DOI":"10.1016/j.cell.2020.06.045","ISSN":"1097-4172","issue":"5","journalAbbreviation":"Cell","language":"eng","note":"PMID: 32888493\nPMCID: PMC7480402","page":"1198-1213.e14","source":"PubMed","title":"Trans-ethnic and Ancestry-Specific Blood-Cell Genetics in 746,667 Individuals from 5 Global Populations","volume":"182","author":[{"family":"Chen","given":"Ming-Huei"},{"family":"Raffield","given":"Laura M."},{"family":"Mousas","given":"Abdou"},{"family":"Sakaue","given":"Saori"},{"family":"Huffman","given":"Jennifer E."},{"family":"Moscati","given":"Arden"},{"family":"Trivedi","given":"Bhavi"},{"family":"Jiang","given":"Tao"},{"family":"Akbari","given":"Parsa"},{"family":"Vuckovic","given":"Dragana"},{"family":"Bao","given":"Erik L."},{"family":"Zhong","given":"Xue"},{"family":"Manansala","given":"Regina"},{"family":"Laplante","given":"Véronique"},{"family":"Chen","given":"Minhui"},{"family":"Lo","given":"Ken Sin"},{"family":"Qian","given":"Huijun"},{"family":"Lareau","given":"Caleb A."},{"family":"Beaudoin","given":"Mélissa"},{"family":"Hunt","given":"Karen A."},{"family":"Akiyama","given":"Masato"},{"family":"Bartz","given":"Traci M."},{"family":"Ben-Shlomo","given":"Yoav"},{"family":"Beswick","given":"Andrew"},{"family":"Bork-Jensen","given":"Jette"},{"family":"Bottinger","given":"Erwin P."},{"family":"Brody","given":"Jennifer A."},{"family":"Rooij","given":"Frank J. A.","non-dropping-particle":"van"},{"family":"Chitrala","given":"Kumaraswamynaidu"},{"family":"Cho","given":"Kelly"},{"family":"Choquet","given":"Hélène"},{"family":"Correa","given":"Adolfo"},{"family":"Danesh","given":"John"},{"family":"Di Angelantonio","given":"Emanuele"},{"family":"Dimou","given":"Niki"},{"family":"Ding","given":"Jingzhong"},{"family":"Elliott","given":"Paul"},{"family":"Esko","given":"Tõnu"},{"family":"Evans","given":"Michele K."},{"family":"Floyd","given":"James S."},{"family":"Broer","given":"Linda"},{"family":"Grarup","given":"Niels"},{"family":"Guo","given":"Michael H."},{"family":"Greinacher","given":"Andreas"},{"family":"Haessler","given":"Jeff"},{"family":"Hansen","given":"Torben"},{"family":"Howson","given":"Joanna M. M."},{"family":"Huang","given":"Qin Qin"},{"family":"Huang","given":"Wei"},{"family":"Jorgenson","given":"Eric"},{"family":"Kacprowski","given":"Tim"},{"family":"Kähönen","given":"Mika"},{"family":"Kamatani","given":"Yoichiro"},{"family":"Kanai","given":"Masahiro"},{"family":"Karthikeyan","given":"Savita"},{"family":"Koskeridis","given":"Fotis"},{"family":"Lange","given":"Leslie A."},{"family":"Lehtimäki","given":"Terho"},{"family":"Lerch","given":"Markus M."},{"family":"Linneberg","given":"Allan"},{"family":"Liu","given":"Yongmei"},{"family":"Lyytikäinen","given":"Leo-Pekka"},{"family":"Manichaikul","given":"Ani"},{"family":"Martin","given":"Hilary C."},{"family":"Matsuda","given":"Koichi"},{"family":"Mohlke","given":"Karen L."},{"family":"Mononen","given":"Nina"},{"family":"Murakami","given":"Yoshinori"},{"family":"Nadkarni","given":"Girish N."},{"family":"Nauck","given":"Matthias"},{"family":"Nikus","given":"Kjell"},{"family":"Ouwehand","given":"Willem H."},{"family":"Pankratz","given":"Nathan"},{"family":"Pedersen","given":"Oluf"},{"family":"Preuss","given":"Michael"},{"family":"Psaty","given":"Bruce M."},{"family":"Raitakari","given":"Olli T."},{"family":"Roberts","given":"David J."},{"family":"Rich","given":"Stephen S."},{"family":"Rodriguez","given":"Benjamin A. T."},{"family":"Rosen","given":"Jonathan D."},{"family":"Rotter","given":"Jerome I."},{"family":"Schubert","given":"Petra"},{"family":"Spracklen","given":"Cassandra N."},{"family":"Surendran","given":"Praveen"},{"family":"Tang","given":"Hua"},{"family":"Tardif","given":"Jean-Claude"},{"family":"Trembath","given":"Richard C."},{"family":"Ghanbari","given":"Mohsen"},{"family":"Völker","given":"Uwe"},{"family":"Völzke","given":"Henry"},{"family":"Watkins","given":"Nicholas A."},{"family":"Zonderman","given":"Alan B."},{"literal":"VA Million Veteran Program"},{"family":"Wilson","given":"Peter W. F."},{"family":"Li","given":"Yun"},{"family":"Butterworth","given":"Adam S."},{"family":"Gauchat","given":"Jean-François"},{"family":"Chiang","given":"Charleston W. K."},{"family":"Li","given":"Bingshan"},{"family":"Loos","given":"Ruth J. F."},{"family":"Astle","given":"William J."},{"family":"Evangelou","given":"Evangelos"},{"family":"Heel","given":"David A.","non-dropping-particle":"van"},{"family":"Sankaran","given":"Vijay G."},{"family":"Okada","given":"Yukinori"},{"family":"Soranzo","given":"Nicole"},{"family":"Johnson","given":"Andrew D."},{"family":"Reiner","given":"Alexander P."},{"family":"Auer","given":"Paul L."},{"family":"Lettre","given":"Guillaume"}],"issued":{"date-parts":[["2020",9,3]]}}}],"schema":"https://github.com/citation-style-language/schema/raw/master/csl-citation.json"} </w:instrText>
            </w:r>
            <w:r w:rsidRPr="004817FD">
              <w:rPr>
                <w:rFonts w:ascii="Arial" w:hAnsi="Arial" w:cs="Arial"/>
                <w:color w:val="000000" w:themeColor="text1"/>
                <w:sz w:val="16"/>
                <w:szCs w:val="16"/>
              </w:rPr>
              <w:fldChar w:fldCharType="separate"/>
            </w:r>
            <w:r w:rsidRPr="004817FD">
              <w:rPr>
                <w:rFonts w:ascii="Arial" w:hAnsi="Arial" w:cs="Arial"/>
                <w:color w:val="000000" w:themeColor="text1"/>
                <w:sz w:val="16"/>
                <w:szCs w:val="16"/>
              </w:rPr>
              <w:t>(Chen et al., 2020)</w:t>
            </w:r>
            <w:r w:rsidRPr="004817FD">
              <w:rPr>
                <w:rFonts w:ascii="Arial" w:hAnsi="Arial" w:cs="Arial"/>
                <w:color w:val="000000" w:themeColor="text1"/>
                <w:sz w:val="16"/>
                <w:szCs w:val="16"/>
              </w:rPr>
              <w:fldChar w:fldCharType="end"/>
            </w:r>
          </w:p>
        </w:tc>
        <w:tc>
          <w:tcPr>
            <w:tcW w:w="1082" w:type="dxa"/>
            <w:tcBorders>
              <w:bottom w:val="single" w:sz="4" w:space="0" w:color="auto"/>
            </w:tcBorders>
          </w:tcPr>
          <w:p w14:paraId="494A9E72" w14:textId="780D2420" w:rsidR="00E915EB" w:rsidRPr="004817FD" w:rsidRDefault="00E915EB" w:rsidP="00E915EB">
            <w:pPr>
              <w:rPr>
                <w:rFonts w:ascii="Arial" w:hAnsi="Arial" w:cs="Arial"/>
                <w:color w:val="000000" w:themeColor="text1"/>
                <w:sz w:val="16"/>
                <w:szCs w:val="16"/>
              </w:rPr>
            </w:pPr>
          </w:p>
        </w:tc>
      </w:tr>
      <w:tr w:rsidR="00E915EB" w:rsidRPr="004817FD" w14:paraId="5F4077D8" w14:textId="4EAD4D29" w:rsidTr="00E915EB">
        <w:trPr>
          <w:trHeight w:val="300"/>
        </w:trPr>
        <w:tc>
          <w:tcPr>
            <w:tcW w:w="1384" w:type="dxa"/>
            <w:tcBorders>
              <w:top w:val="single" w:sz="4" w:space="0" w:color="auto"/>
            </w:tcBorders>
            <w:noWrap/>
            <w:hideMark/>
          </w:tcPr>
          <w:p w14:paraId="702D0785" w14:textId="65AFD946" w:rsidR="00E915EB" w:rsidRPr="004817FD" w:rsidRDefault="00E915EB" w:rsidP="00E915EB">
            <w:pPr>
              <w:rPr>
                <w:rFonts w:ascii="Arial" w:hAnsi="Arial" w:cs="Arial"/>
                <w:color w:val="000000" w:themeColor="text1"/>
                <w:sz w:val="16"/>
                <w:szCs w:val="16"/>
              </w:rPr>
            </w:pPr>
            <w:r w:rsidRPr="004817FD">
              <w:rPr>
                <w:rFonts w:ascii="Arial" w:hAnsi="Arial" w:cs="Arial"/>
                <w:color w:val="000000" w:themeColor="text1"/>
                <w:sz w:val="16"/>
                <w:szCs w:val="16"/>
              </w:rPr>
              <w:t>rs1495741</w:t>
            </w:r>
          </w:p>
        </w:tc>
        <w:tc>
          <w:tcPr>
            <w:tcW w:w="747" w:type="dxa"/>
            <w:tcBorders>
              <w:top w:val="single" w:sz="4" w:space="0" w:color="auto"/>
            </w:tcBorders>
          </w:tcPr>
          <w:p w14:paraId="25DD7957" w14:textId="7E31BD29" w:rsidR="00E915EB" w:rsidRPr="004817FD" w:rsidRDefault="00E915EB" w:rsidP="00E915EB">
            <w:pPr>
              <w:jc w:val="center"/>
              <w:rPr>
                <w:rFonts w:ascii="Arial" w:hAnsi="Arial" w:cs="Arial"/>
                <w:color w:val="000000" w:themeColor="text1"/>
                <w:sz w:val="16"/>
                <w:szCs w:val="16"/>
              </w:rPr>
            </w:pPr>
            <w:r w:rsidRPr="004817FD">
              <w:rPr>
                <w:rFonts w:ascii="Arial" w:hAnsi="Arial" w:cs="Arial"/>
                <w:color w:val="000000" w:themeColor="text1"/>
                <w:sz w:val="16"/>
                <w:szCs w:val="16"/>
              </w:rPr>
              <w:t>Non-coding</w:t>
            </w:r>
          </w:p>
        </w:tc>
        <w:tc>
          <w:tcPr>
            <w:tcW w:w="852" w:type="dxa"/>
            <w:noWrap/>
            <w:hideMark/>
          </w:tcPr>
          <w:p w14:paraId="0A865ED9" w14:textId="5CDC246B" w:rsidR="00E915EB" w:rsidRPr="004817FD" w:rsidRDefault="00E915EB" w:rsidP="00E915EB">
            <w:pPr>
              <w:jc w:val="center"/>
              <w:rPr>
                <w:rFonts w:ascii="Arial" w:hAnsi="Arial" w:cs="Arial"/>
                <w:color w:val="000000" w:themeColor="text1"/>
                <w:sz w:val="16"/>
                <w:szCs w:val="16"/>
              </w:rPr>
            </w:pPr>
            <w:r w:rsidRPr="004817FD">
              <w:rPr>
                <w:rFonts w:ascii="Arial" w:hAnsi="Arial" w:cs="Arial"/>
                <w:sz w:val="16"/>
                <w:szCs w:val="16"/>
              </w:rPr>
              <w:t>NR</w:t>
            </w:r>
          </w:p>
        </w:tc>
        <w:tc>
          <w:tcPr>
            <w:tcW w:w="1143" w:type="dxa"/>
            <w:noWrap/>
            <w:hideMark/>
          </w:tcPr>
          <w:p w14:paraId="5FF1631A" w14:textId="2D474DC6" w:rsidR="00E915EB" w:rsidRPr="004817FD" w:rsidRDefault="00E915EB" w:rsidP="00E915EB">
            <w:pPr>
              <w:rPr>
                <w:rFonts w:ascii="Arial" w:hAnsi="Arial" w:cs="Arial"/>
                <w:color w:val="000000" w:themeColor="text1"/>
                <w:sz w:val="16"/>
                <w:szCs w:val="16"/>
              </w:rPr>
            </w:pPr>
            <w:r w:rsidRPr="004817FD">
              <w:rPr>
                <w:rFonts w:ascii="Arial" w:hAnsi="Arial" w:cs="Arial"/>
                <w:color w:val="000000" w:themeColor="text1"/>
                <w:sz w:val="16"/>
                <w:szCs w:val="16"/>
              </w:rPr>
              <w:t>4 x 10</w:t>
            </w:r>
            <w:r w:rsidRPr="004817FD">
              <w:rPr>
                <w:rFonts w:ascii="Arial" w:hAnsi="Arial" w:cs="Arial"/>
                <w:color w:val="000000" w:themeColor="text1"/>
                <w:sz w:val="16"/>
                <w:szCs w:val="16"/>
                <w:vertAlign w:val="superscript"/>
              </w:rPr>
              <w:t>-11</w:t>
            </w:r>
          </w:p>
        </w:tc>
        <w:tc>
          <w:tcPr>
            <w:tcW w:w="973" w:type="dxa"/>
          </w:tcPr>
          <w:p w14:paraId="470656FD" w14:textId="0A77C285" w:rsidR="00E915EB" w:rsidRPr="004817FD" w:rsidRDefault="00E915EB" w:rsidP="00E915EB">
            <w:pPr>
              <w:jc w:val="center"/>
              <w:rPr>
                <w:rFonts w:ascii="Arial" w:hAnsi="Arial" w:cs="Arial"/>
                <w:sz w:val="16"/>
                <w:szCs w:val="16"/>
              </w:rPr>
            </w:pPr>
            <w:r>
              <w:rPr>
                <w:rFonts w:ascii="Arial" w:hAnsi="Arial" w:cs="Arial"/>
                <w:sz w:val="16"/>
                <w:szCs w:val="16"/>
              </w:rPr>
              <w:t>-</w:t>
            </w:r>
          </w:p>
        </w:tc>
        <w:tc>
          <w:tcPr>
            <w:tcW w:w="1084" w:type="dxa"/>
            <w:noWrap/>
            <w:hideMark/>
          </w:tcPr>
          <w:p w14:paraId="568364E7" w14:textId="2DC983A4" w:rsidR="00E915EB" w:rsidRPr="004817FD" w:rsidRDefault="00E915EB" w:rsidP="00E915EB">
            <w:pPr>
              <w:jc w:val="center"/>
              <w:rPr>
                <w:rFonts w:cstheme="minorHAnsi"/>
                <w:color w:val="000000" w:themeColor="text1"/>
                <w:sz w:val="16"/>
                <w:szCs w:val="16"/>
              </w:rPr>
            </w:pPr>
            <w:r w:rsidRPr="004817FD">
              <w:rPr>
                <w:rFonts w:ascii="Arial" w:hAnsi="Arial" w:cs="Arial"/>
                <w:sz w:val="16"/>
                <w:szCs w:val="16"/>
              </w:rPr>
              <w:t>NA</w:t>
            </w:r>
          </w:p>
        </w:tc>
        <w:tc>
          <w:tcPr>
            <w:tcW w:w="4301" w:type="dxa"/>
            <w:noWrap/>
            <w:hideMark/>
          </w:tcPr>
          <w:p w14:paraId="12E9EDD0" w14:textId="5365C5E4" w:rsidR="00E915EB" w:rsidRPr="004817FD" w:rsidRDefault="00E915EB" w:rsidP="00E915EB">
            <w:pPr>
              <w:rPr>
                <w:rFonts w:ascii="Arial" w:hAnsi="Arial" w:cs="Arial"/>
                <w:color w:val="000000" w:themeColor="text1"/>
                <w:sz w:val="16"/>
                <w:szCs w:val="16"/>
              </w:rPr>
            </w:pPr>
            <w:r w:rsidRPr="004817FD">
              <w:rPr>
                <w:rFonts w:ascii="Arial" w:hAnsi="Arial" w:cs="Arial"/>
                <w:color w:val="000000" w:themeColor="text1"/>
                <w:sz w:val="16"/>
                <w:szCs w:val="16"/>
              </w:rPr>
              <w:t>Bladder cancer</w:t>
            </w:r>
          </w:p>
        </w:tc>
        <w:tc>
          <w:tcPr>
            <w:tcW w:w="3109" w:type="dxa"/>
            <w:noWrap/>
            <w:hideMark/>
          </w:tcPr>
          <w:p w14:paraId="33550228" w14:textId="38A396A5" w:rsidR="00E915EB" w:rsidRPr="004817FD" w:rsidRDefault="00E915EB" w:rsidP="00E915EB">
            <w:pPr>
              <w:rPr>
                <w:rFonts w:ascii="Arial" w:hAnsi="Arial" w:cs="Arial"/>
                <w:color w:val="000000" w:themeColor="text1"/>
                <w:sz w:val="16"/>
                <w:szCs w:val="16"/>
              </w:rPr>
            </w:pPr>
            <w:r w:rsidRPr="004817FD">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ADDIN ZOTERO_ITEM CSL_CITATION {"citationID":"NdIsuUoK","properties":{"formattedCitation":"(Rothman et al., 2010)","plainCitation":"(Rothman et al., 2010)","noteIndex":0},"citationItems":[{"id":"8dHjENI5/efK7JwMI","uris":["http://zotero.org/users/9763947/items/PZPRRXRU"],"itemData":{"id":289,"type":"article-journal","abstract":"Montserrat Garcia-Closas and colleagues report a genome-wide association study for bladder cancer. They identify three new susceptibility loci on chromosomes 22q13.1, 19q12 and 2q37.1.","container-title":"Nature Genetics","DOI":"10.1038/ng.687","ISSN":"1546-1718","issue":"11","journalAbbreviation":"Nat Genet","language":"en","license":"2010 Nature Publishing Group, a division of Macmillan Publishers Limited. All Rights Reserved.","note":"number: 11\npublisher: Nature Publishing Group","page":"978-984","source":"www.nature.com","title":"A multi-stage genome-wide association study of bladder cancer identifies multiple susceptibility loci","volume":"42","author":[{"family":"Rothman","given":"Nathaniel"},{"family":"Garcia-Closas","given":"Montserrat"},{"family":"Chatterjee","given":"Nilanjan"},{"family":"Malats","given":"Nuria"},{"family":"Wu","given":"Xifeng"},{"family":"Figueroa","given":"Jonine D."},{"family":"Real","given":"Francisco X."},{"family":"Van Den Berg","given":"David"},{"family":"Matullo","given":"Giuseppe"},{"family":"Baris","given":"Dalsu"},{"family":"Thun","given":"Michael"},{"family":"Kiemeney","given":"Lambertus A."},{"family":"Vineis","given":"Paolo"},{"family":"De Vivo","given":"Immaculata"},{"family":"Albanes","given":"Demetrius"},{"family":"Purdue","given":"Mark P."},{"family":"Rafnar","given":"Thorunn"},{"family":"Hildebrandt","given":"Michelle A. T."},{"family":"Kiltie","given":"Anne E."},{"family":"Cussenot","given":"Olivier"},{"family":"Golka","given":"Klaus"},{"family":"Kumar","given":"Rajiv"},{"family":"Taylor","given":"Jack A."},{"family":"Mayordomo","given":"Jose I."},{"family":"Jacobs","given":"Kevin B."},{"family":"Kogevinas","given":"Manolis"},{"family":"Hutchinson","given":"Amy"},{"family":"Wang","given":"Zhaoming"},{"family":"Fu","given":"Yi-Ping"},{"family":"Prokunina-Olsson","given":"Ludmila"},{"family":"Burdett","given":"Laurie"},{"family":"Yeager","given":"Meredith"},{"family":"Wheeler","given":"William"},{"family":"Tardón","given":"Adonina"},{"family":"Serra","given":"Consol"},{"family":"Carrato","given":"Alfredo"},{"family":"García-Closas","given":"Reina"},{"family":"Lloreta","given":"Josep"},{"family":"Johnson","given":"Alison"},{"family":"Schwenn","given":"Molly"},{"family":"Karagas","given":"Margaret R."},{"family":"Schned","given":"Alan"},{"family":"Andriole","given":"Gerald"},{"family":"Grubb","given":"Robert"},{"family":"Black","given":"Amanda"},{"family":"Jacobs","given":"Eric J."},{"family":"Diver","given":"W. Ryan"},{"family":"Gapstur","given":"Susan M."},{"family":"Weinstein","given":"Stephanie J."},{"family":"Virtamo","given":"Jarmo"},{"family":"Cortessis","given":"Victoria K."},{"family":"Gago-Dominguez","given":"Manuela"},{"family":"Pike","given":"Malcolm C."},{"family":"Stern","given":"Mariana C."},{"family":"Yuan","given":"Jian-Min"},{"family":"Hunter","given":"David J."},{"family":"McGrath","given":"Monica"},{"family":"Dinney","given":"Colin P."},{"family":"Czerniak","given":"Bogdan"},{"family":"Chen","given":"Meng"},{"family":"Yang","given":"Hushan"},{"family":"Vermeulen","given":"Sita H."},{"family":"Aben","given":"Katja K."},{"family":"Witjes","given":"J. Alfred"},{"family":"Makkinje","given":"Remco R."},{"family":"Sulem","given":"Patrick"},{"family":"Besenbacher","given":"Soren"},{"family":"Stefansson","given":"Kari"},{"family":"Riboli","given":"Elio"},{"family":"Brennan","given":"Paul"},{"family":"Panico","given":"Salvatore"},{"family":"Navarro","given":"Carmen"},{"family":"Allen","given":"Naomi E."},{"family":"Bueno-de-Mesquita","given":"H. Bas"},{"family":"Trichopoulos","given":"Dimitrios"},{"family":"Caporaso","given":"Neil"},{"family":"Landi","given":"Maria Teresa"},{"family":"Canzian","given":"Federico"},{"family":"Ljungberg","given":"Borje"},{"family":"Tjonneland","given":"Anne"},{"family":"Clavel-Chapelon","given":"Francoise"},{"family":"Bishop","given":"David T."},{"family":"Teo","given":"Mark T. W."},{"family":"Knowles","given":"Margaret A."},{"family":"Guarrera","given":"Simonetta"},{"family":"Polidoro","given":"Silvia"},{"family":"Ricceri","given":"Fulvio"},{"family":"Sacerdote","given":"Carlotta"},{"family":"Allione","given":"Alessandra"},{"family":"Cancel-Tassin","given":"Geraldine"},{"family":"Selinski","given":"Silvia"},{"family":"Hengstler","given":"Jan G."},{"family":"Dietrich","given":"Holger"},{"family":"Fletcher","given":"Tony"},{"family":"Rudnai","given":"Peter"},{"family":"Gurzau","given":"Eugen"},{"family":"Koppova","given":"Kvetoslava"},{"family":"Bolick","given":"Sophia C. E."},{"family":"Godfrey","given":"Ashley"},{"family":"Xu","given":"Zongli"},{"family":"Sanz-Velez","given":"José I."},{"family":"D García-Prats","given":"María"},{"family":"Sanchez","given":"Manuel"},{"family":"Valdivia","given":"Gabriel"},{"family":"Porru","given":"Stefano"},{"family":"Benhamou","given":"Simone"},{"family":"Hoover","given":"Robert N."},{"family":"Fraumeni","given":"Joseph F."},{"family":"Silverman","given":"Debra T."},{"family":"Chanock","given":"Stephen J."}],"issued":{"date-parts":[["2010",11]]}}}],"schema":"https://github.com/citation-style-language/schema/raw/master/csl-citation.json"} </w:instrText>
            </w:r>
            <w:r w:rsidRPr="004817FD">
              <w:rPr>
                <w:rFonts w:ascii="Arial" w:hAnsi="Arial" w:cs="Arial"/>
                <w:color w:val="000000" w:themeColor="text1"/>
                <w:sz w:val="16"/>
                <w:szCs w:val="16"/>
              </w:rPr>
              <w:fldChar w:fldCharType="separate"/>
            </w:r>
            <w:r w:rsidRPr="004817FD">
              <w:rPr>
                <w:rFonts w:ascii="Arial" w:hAnsi="Arial" w:cs="Arial"/>
                <w:color w:val="000000" w:themeColor="text1"/>
                <w:sz w:val="16"/>
                <w:szCs w:val="16"/>
              </w:rPr>
              <w:t>(Rothman et al., 2010)</w:t>
            </w:r>
            <w:r w:rsidRPr="004817FD">
              <w:rPr>
                <w:rFonts w:ascii="Arial" w:hAnsi="Arial" w:cs="Arial"/>
                <w:color w:val="000000" w:themeColor="text1"/>
                <w:sz w:val="16"/>
                <w:szCs w:val="16"/>
              </w:rPr>
              <w:fldChar w:fldCharType="end"/>
            </w:r>
            <w:r w:rsidRPr="004817FD">
              <w:rPr>
                <w:rFonts w:ascii="Arial" w:hAnsi="Arial" w:cs="Arial"/>
                <w:color w:val="000000" w:themeColor="text1"/>
                <w:sz w:val="16"/>
                <w:szCs w:val="16"/>
              </w:rPr>
              <w:t xml:space="preserve"> </w:t>
            </w:r>
          </w:p>
        </w:tc>
        <w:tc>
          <w:tcPr>
            <w:tcW w:w="1082" w:type="dxa"/>
          </w:tcPr>
          <w:p w14:paraId="6975FE40" w14:textId="343D60A1" w:rsidR="00E915EB" w:rsidRPr="004817FD" w:rsidRDefault="00E915EB" w:rsidP="00E915EB">
            <w:pPr>
              <w:rPr>
                <w:rFonts w:ascii="Arial" w:hAnsi="Arial" w:cs="Arial"/>
                <w:color w:val="000000" w:themeColor="text1"/>
                <w:sz w:val="16"/>
                <w:szCs w:val="16"/>
              </w:rPr>
            </w:pPr>
            <w:r w:rsidRPr="004817FD">
              <w:rPr>
                <w:rFonts w:ascii="Arial" w:hAnsi="Arial" w:cs="Arial"/>
                <w:color w:val="000000" w:themeColor="text1"/>
                <w:sz w:val="16"/>
                <w:szCs w:val="16"/>
              </w:rPr>
              <w:t>8:18415371</w:t>
            </w:r>
          </w:p>
        </w:tc>
      </w:tr>
      <w:tr w:rsidR="00E915EB" w:rsidRPr="004817FD" w14:paraId="183BBE88" w14:textId="6EA7CDB7" w:rsidTr="00E915EB">
        <w:trPr>
          <w:trHeight w:val="300"/>
        </w:trPr>
        <w:tc>
          <w:tcPr>
            <w:tcW w:w="1384" w:type="dxa"/>
            <w:noWrap/>
            <w:hideMark/>
          </w:tcPr>
          <w:p w14:paraId="474285F7" w14:textId="7B96AC91" w:rsidR="00E915EB" w:rsidRPr="004817FD" w:rsidRDefault="00E915EB" w:rsidP="00E915EB">
            <w:pPr>
              <w:rPr>
                <w:rFonts w:ascii="Arial" w:hAnsi="Arial" w:cs="Arial"/>
                <w:color w:val="000000" w:themeColor="text1"/>
                <w:sz w:val="16"/>
                <w:szCs w:val="16"/>
              </w:rPr>
            </w:pPr>
          </w:p>
        </w:tc>
        <w:tc>
          <w:tcPr>
            <w:tcW w:w="747" w:type="dxa"/>
          </w:tcPr>
          <w:p w14:paraId="49D03FE1" w14:textId="5E6725F1" w:rsidR="00E915EB" w:rsidRPr="004817FD" w:rsidRDefault="00E915EB" w:rsidP="00E915EB">
            <w:pPr>
              <w:jc w:val="center"/>
              <w:rPr>
                <w:rFonts w:ascii="Arial" w:hAnsi="Arial" w:cs="Arial"/>
                <w:color w:val="000000" w:themeColor="text1"/>
                <w:sz w:val="16"/>
                <w:szCs w:val="16"/>
              </w:rPr>
            </w:pPr>
          </w:p>
        </w:tc>
        <w:tc>
          <w:tcPr>
            <w:tcW w:w="852" w:type="dxa"/>
            <w:noWrap/>
            <w:hideMark/>
          </w:tcPr>
          <w:p w14:paraId="5E1A2F2B" w14:textId="77D32FCF" w:rsidR="00E915EB" w:rsidRPr="004817FD" w:rsidRDefault="00E915EB" w:rsidP="00E915EB">
            <w:pPr>
              <w:jc w:val="center"/>
              <w:rPr>
                <w:rFonts w:ascii="Arial" w:hAnsi="Arial" w:cs="Arial"/>
                <w:color w:val="000000" w:themeColor="text1"/>
                <w:sz w:val="16"/>
                <w:szCs w:val="16"/>
              </w:rPr>
            </w:pPr>
            <w:r w:rsidRPr="004817FD">
              <w:rPr>
                <w:rFonts w:ascii="Arial" w:hAnsi="Arial" w:cs="Arial"/>
                <w:color w:val="000000" w:themeColor="text1"/>
                <w:sz w:val="16"/>
                <w:szCs w:val="16"/>
              </w:rPr>
              <w:t>A</w:t>
            </w:r>
          </w:p>
        </w:tc>
        <w:tc>
          <w:tcPr>
            <w:tcW w:w="1143" w:type="dxa"/>
            <w:noWrap/>
            <w:hideMark/>
          </w:tcPr>
          <w:p w14:paraId="2D9067AE" w14:textId="127A97D2" w:rsidR="00E915EB" w:rsidRPr="004817FD" w:rsidRDefault="00E915EB" w:rsidP="00E915EB">
            <w:pPr>
              <w:rPr>
                <w:rFonts w:ascii="Arial" w:hAnsi="Arial" w:cs="Arial"/>
                <w:color w:val="000000" w:themeColor="text1"/>
                <w:sz w:val="16"/>
                <w:szCs w:val="16"/>
              </w:rPr>
            </w:pPr>
            <w:r w:rsidRPr="004817FD">
              <w:rPr>
                <w:rFonts w:ascii="Arial" w:hAnsi="Arial" w:cs="Arial"/>
                <w:color w:val="000000" w:themeColor="text1"/>
                <w:sz w:val="16"/>
                <w:szCs w:val="16"/>
              </w:rPr>
              <w:t>1 x 10</w:t>
            </w:r>
            <w:r w:rsidRPr="004817FD">
              <w:rPr>
                <w:rFonts w:ascii="Arial" w:hAnsi="Arial" w:cs="Arial"/>
                <w:color w:val="000000" w:themeColor="text1"/>
                <w:sz w:val="16"/>
                <w:szCs w:val="16"/>
                <w:vertAlign w:val="superscript"/>
              </w:rPr>
              <w:t>-27</w:t>
            </w:r>
          </w:p>
        </w:tc>
        <w:tc>
          <w:tcPr>
            <w:tcW w:w="973" w:type="dxa"/>
          </w:tcPr>
          <w:p w14:paraId="1EA56FB6" w14:textId="2C86C7A8" w:rsidR="00E915EB" w:rsidRPr="004817FD" w:rsidRDefault="00E915EB" w:rsidP="00E915EB">
            <w:pPr>
              <w:jc w:val="center"/>
              <w:rPr>
                <w:rFonts w:ascii="Arial" w:hAnsi="Arial" w:cs="Arial"/>
                <w:sz w:val="16"/>
                <w:szCs w:val="16"/>
              </w:rPr>
            </w:pPr>
            <w:r>
              <w:rPr>
                <w:rFonts w:ascii="Arial" w:hAnsi="Arial" w:cs="Arial"/>
                <w:sz w:val="16"/>
                <w:szCs w:val="16"/>
              </w:rPr>
              <w:t>0.65</w:t>
            </w:r>
          </w:p>
        </w:tc>
        <w:tc>
          <w:tcPr>
            <w:tcW w:w="1084" w:type="dxa"/>
            <w:noWrap/>
            <w:hideMark/>
          </w:tcPr>
          <w:p w14:paraId="75CAB612" w14:textId="5943F1F0" w:rsidR="00E915EB" w:rsidRPr="004817FD" w:rsidRDefault="00E915EB" w:rsidP="00E915EB">
            <w:pPr>
              <w:jc w:val="center"/>
              <w:rPr>
                <w:rFonts w:cstheme="minorHAnsi"/>
                <w:color w:val="000000" w:themeColor="text1"/>
                <w:sz w:val="16"/>
                <w:szCs w:val="16"/>
              </w:rPr>
            </w:pPr>
            <w:r w:rsidRPr="004817FD">
              <w:rPr>
                <w:rFonts w:cstheme="minorHAnsi"/>
                <w:sz w:val="16"/>
                <w:szCs w:val="16"/>
              </w:rPr>
              <w:t>↑</w:t>
            </w:r>
          </w:p>
        </w:tc>
        <w:tc>
          <w:tcPr>
            <w:tcW w:w="4301" w:type="dxa"/>
            <w:noWrap/>
            <w:hideMark/>
          </w:tcPr>
          <w:p w14:paraId="323A617F" w14:textId="0DD90F46" w:rsidR="00E915EB" w:rsidRPr="004817FD" w:rsidRDefault="00E915EB" w:rsidP="00E915EB">
            <w:pPr>
              <w:rPr>
                <w:rFonts w:ascii="Arial" w:hAnsi="Arial" w:cs="Arial"/>
                <w:color w:val="000000" w:themeColor="text1"/>
                <w:sz w:val="16"/>
                <w:szCs w:val="16"/>
              </w:rPr>
            </w:pPr>
            <w:r w:rsidRPr="004817FD">
              <w:rPr>
                <w:rFonts w:ascii="Arial" w:hAnsi="Arial" w:cs="Arial"/>
                <w:color w:val="000000" w:themeColor="text1"/>
                <w:sz w:val="16"/>
                <w:szCs w:val="16"/>
              </w:rPr>
              <w:t>Blood metabolite levels (1-methylurate)</w:t>
            </w:r>
          </w:p>
        </w:tc>
        <w:tc>
          <w:tcPr>
            <w:tcW w:w="3109" w:type="dxa"/>
            <w:noWrap/>
            <w:hideMark/>
          </w:tcPr>
          <w:p w14:paraId="04BB15B0" w14:textId="555065AD" w:rsidR="00E915EB" w:rsidRPr="004817FD" w:rsidRDefault="00E915EB" w:rsidP="00E915EB">
            <w:pPr>
              <w:rPr>
                <w:rFonts w:ascii="Arial" w:hAnsi="Arial" w:cs="Arial"/>
                <w:color w:val="000000" w:themeColor="text1"/>
                <w:sz w:val="16"/>
                <w:szCs w:val="16"/>
              </w:rPr>
            </w:pPr>
            <w:r w:rsidRPr="004817FD">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ADDIN ZOTERO_ITEM CSL_CITATION {"citationID":"03E9BvNm","properties":{"formattedCitation":"(Shin et al., 2014)","plainCitation":"(Shin et al., 2014)","noteIndex":0},"citationItems":[{"id":"8dHjENI5/LsUnqTFx","uris":["http://zotero.org/users/9763947/items/QS7JIHZA"],"itemData":{"id":295,"type":"article-journal","abstract":"Genome-wide association scans with high-throughput metabolic profiling provide unprecedented insights into how genetic variation influences metabolism and complex disease. Here we report the most comprehensive exploration of genetic loci influencing human metabolism thus far, comprising 7,824 adult individuals from 2 European population studies. We report genome-wide significant associations at 145 metabolic loci and their biochemical connectivity with more than 400 metabolites in human blood. We extensively characterize the resulting in vivo blueprint of metabolism in human blood by integrating it with information on gene expression, heritability and overlap with known loci for complex disorders, inborn errors of metabolism and pharmacological targets. We further developed a database and web-based resources for data mining and results visualization. Our findings provide new insights into the role of inherited variation in blood metabolic diversity and identify potential new opportunities for drug development and for understanding disease.","container-title":"Nature Genetics","DOI":"10.1038/ng.2982","ISSN":"1546-1718","issue":"6","journalAbbreviation":"Nat Genet","language":"eng","note":"PMID: 24816252\nPMCID: PMC4064254","page":"543-550","source":"PubMed","title":"An atlas of genetic influences on human blood metabolites","volume":"46","author":[{"family":"Shin","given":"So-Youn"},{"family":"Fauman","given":"Eric B."},{"family":"Petersen","given":"Ann-Kristin"},{"family":"Krumsiek","given":"Jan"},{"family":"Santos","given":"Rita"},{"family":"Huang","given":"Jie"},{"family":"Arnold","given":"Matthias"},{"family":"Erte","given":"Idil"},{"family":"Forgetta","given":"Vincenzo"},{"family":"Yang","given":"Tsun-Po"},{"family":"Walter","given":"Klaudia"},{"family":"Menni","given":"Cristina"},{"family":"Chen","given":"Lu"},{"family":"Vasquez","given":"Louella"},{"family":"Valdes","given":"Ana M."},{"family":"Hyde","given":"Craig L."},{"family":"Wang","given":"Vicky"},{"family":"Ziemek","given":"Daniel"},{"family":"Roberts","given":"Phoebe"},{"family":"Xi","given":"Li"},{"family":"Grundberg","given":"Elin"},{"literal":"Multiple Tissue Human Expression Resource (MuTHER) Consortium"},{"family":"Waldenberger","given":"Melanie"},{"family":"Richards","given":"J. Brent"},{"family":"Mohney","given":"Robert P."},{"family":"Milburn","given":"Michael V."},{"family":"John","given":"Sally L."},{"family":"Trimmer","given":"Jeff"},{"family":"Theis","given":"Fabian J."},{"family":"Overington","given":"John P."},{"family":"Suhre","given":"Karsten"},{"family":"Brosnan","given":"M. Julia"},{"family":"Gieger","given":"Christian"},{"family":"Kastenmüller","given":"Gabi"},{"family":"Spector","given":"Tim D."},{"family":"Soranzo","given":"Nicole"}],"issued":{"date-parts":[["2014",6]]}}}],"schema":"https://github.com/citation-style-language/schema/raw/master/csl-citation.json"} </w:instrText>
            </w:r>
            <w:r w:rsidRPr="004817FD">
              <w:rPr>
                <w:rFonts w:ascii="Arial" w:hAnsi="Arial" w:cs="Arial"/>
                <w:color w:val="000000" w:themeColor="text1"/>
                <w:sz w:val="16"/>
                <w:szCs w:val="16"/>
              </w:rPr>
              <w:fldChar w:fldCharType="separate"/>
            </w:r>
            <w:r w:rsidRPr="004817FD">
              <w:rPr>
                <w:rFonts w:ascii="Arial" w:hAnsi="Arial" w:cs="Arial"/>
                <w:color w:val="000000" w:themeColor="text1"/>
                <w:sz w:val="16"/>
                <w:szCs w:val="16"/>
              </w:rPr>
              <w:t>(Shin et al., 2014)</w:t>
            </w:r>
            <w:r w:rsidRPr="004817FD">
              <w:rPr>
                <w:rFonts w:ascii="Arial" w:hAnsi="Arial" w:cs="Arial"/>
                <w:color w:val="000000" w:themeColor="text1"/>
                <w:sz w:val="16"/>
                <w:szCs w:val="16"/>
              </w:rPr>
              <w:fldChar w:fldCharType="end"/>
            </w:r>
          </w:p>
        </w:tc>
        <w:tc>
          <w:tcPr>
            <w:tcW w:w="1082" w:type="dxa"/>
          </w:tcPr>
          <w:p w14:paraId="368BD7F9" w14:textId="3C8FC217" w:rsidR="00E915EB" w:rsidRPr="004817FD" w:rsidRDefault="00E915EB" w:rsidP="00E915EB">
            <w:pPr>
              <w:rPr>
                <w:rFonts w:ascii="Arial" w:hAnsi="Arial" w:cs="Arial"/>
                <w:color w:val="000000" w:themeColor="text1"/>
                <w:sz w:val="16"/>
                <w:szCs w:val="16"/>
              </w:rPr>
            </w:pPr>
          </w:p>
        </w:tc>
      </w:tr>
      <w:tr w:rsidR="00E915EB" w:rsidRPr="004817FD" w14:paraId="095B309E" w14:textId="2DE933EA" w:rsidTr="00E915EB">
        <w:trPr>
          <w:trHeight w:val="300"/>
        </w:trPr>
        <w:tc>
          <w:tcPr>
            <w:tcW w:w="1384" w:type="dxa"/>
            <w:noWrap/>
            <w:hideMark/>
          </w:tcPr>
          <w:p w14:paraId="470926B8" w14:textId="4179F99F" w:rsidR="00E915EB" w:rsidRPr="004817FD" w:rsidRDefault="00E915EB" w:rsidP="00E915EB">
            <w:pPr>
              <w:rPr>
                <w:rFonts w:ascii="Arial" w:hAnsi="Arial" w:cs="Arial"/>
                <w:color w:val="000000" w:themeColor="text1"/>
                <w:sz w:val="16"/>
                <w:szCs w:val="16"/>
              </w:rPr>
            </w:pPr>
          </w:p>
        </w:tc>
        <w:tc>
          <w:tcPr>
            <w:tcW w:w="747" w:type="dxa"/>
          </w:tcPr>
          <w:p w14:paraId="177B903E" w14:textId="7F6A2213" w:rsidR="00E915EB" w:rsidRPr="004817FD" w:rsidRDefault="00E915EB" w:rsidP="00E915EB">
            <w:pPr>
              <w:jc w:val="center"/>
              <w:rPr>
                <w:rFonts w:ascii="Arial" w:hAnsi="Arial" w:cs="Arial"/>
                <w:color w:val="000000" w:themeColor="text1"/>
                <w:sz w:val="16"/>
                <w:szCs w:val="16"/>
              </w:rPr>
            </w:pPr>
          </w:p>
        </w:tc>
        <w:tc>
          <w:tcPr>
            <w:tcW w:w="852" w:type="dxa"/>
            <w:noWrap/>
            <w:hideMark/>
          </w:tcPr>
          <w:p w14:paraId="451F4D57" w14:textId="72434C36" w:rsidR="00E915EB" w:rsidRPr="004817FD" w:rsidRDefault="00E915EB" w:rsidP="00E915EB">
            <w:pPr>
              <w:jc w:val="center"/>
              <w:rPr>
                <w:rFonts w:ascii="Arial" w:hAnsi="Arial" w:cs="Arial"/>
                <w:color w:val="000000" w:themeColor="text1"/>
                <w:sz w:val="16"/>
                <w:szCs w:val="16"/>
              </w:rPr>
            </w:pPr>
            <w:r w:rsidRPr="004817FD">
              <w:rPr>
                <w:rFonts w:ascii="Arial" w:hAnsi="Arial" w:cs="Arial"/>
                <w:color w:val="000000" w:themeColor="text1"/>
                <w:sz w:val="16"/>
                <w:szCs w:val="16"/>
              </w:rPr>
              <w:t>A</w:t>
            </w:r>
          </w:p>
        </w:tc>
        <w:tc>
          <w:tcPr>
            <w:tcW w:w="1143" w:type="dxa"/>
            <w:noWrap/>
            <w:hideMark/>
          </w:tcPr>
          <w:p w14:paraId="5CE6DD0B" w14:textId="2D7D0DAD" w:rsidR="00E915EB" w:rsidRPr="004817FD" w:rsidRDefault="00E915EB" w:rsidP="00E915EB">
            <w:pPr>
              <w:rPr>
                <w:rFonts w:ascii="Arial" w:hAnsi="Arial" w:cs="Arial"/>
                <w:color w:val="000000" w:themeColor="text1"/>
                <w:sz w:val="16"/>
                <w:szCs w:val="16"/>
              </w:rPr>
            </w:pPr>
            <w:r w:rsidRPr="004817FD">
              <w:rPr>
                <w:rFonts w:ascii="Arial" w:hAnsi="Arial" w:cs="Arial"/>
                <w:color w:val="000000" w:themeColor="text1"/>
                <w:sz w:val="16"/>
                <w:szCs w:val="16"/>
              </w:rPr>
              <w:t>2 x 10</w:t>
            </w:r>
            <w:r w:rsidRPr="004817FD">
              <w:rPr>
                <w:rFonts w:ascii="Arial" w:hAnsi="Arial" w:cs="Arial"/>
                <w:color w:val="000000" w:themeColor="text1"/>
                <w:sz w:val="16"/>
                <w:szCs w:val="16"/>
                <w:vertAlign w:val="superscript"/>
              </w:rPr>
              <w:t>-10</w:t>
            </w:r>
          </w:p>
        </w:tc>
        <w:tc>
          <w:tcPr>
            <w:tcW w:w="973" w:type="dxa"/>
          </w:tcPr>
          <w:p w14:paraId="6CE1195D" w14:textId="12970477" w:rsidR="00E915EB" w:rsidRDefault="00E915EB" w:rsidP="00E915EB">
            <w:pPr>
              <w:tabs>
                <w:tab w:val="left" w:pos="388"/>
                <w:tab w:val="center" w:pos="434"/>
              </w:tabs>
              <w:jc w:val="center"/>
              <w:rPr>
                <w:rFonts w:ascii="Arial" w:hAnsi="Arial" w:cs="Arial"/>
                <w:sz w:val="16"/>
                <w:szCs w:val="16"/>
              </w:rPr>
            </w:pPr>
            <w:r>
              <w:rPr>
                <w:rFonts w:ascii="Arial" w:hAnsi="Arial" w:cs="Arial"/>
                <w:sz w:val="16"/>
                <w:szCs w:val="16"/>
              </w:rPr>
              <w:t>.</w:t>
            </w:r>
          </w:p>
          <w:p w14:paraId="6F392990" w14:textId="2855566B" w:rsidR="00E915EB" w:rsidRPr="004817FD" w:rsidRDefault="00E915EB" w:rsidP="00E915EB">
            <w:pPr>
              <w:tabs>
                <w:tab w:val="left" w:pos="388"/>
                <w:tab w:val="center" w:pos="434"/>
              </w:tabs>
              <w:rPr>
                <w:rFonts w:ascii="Arial" w:hAnsi="Arial" w:cs="Arial"/>
                <w:sz w:val="16"/>
                <w:szCs w:val="16"/>
              </w:rPr>
            </w:pPr>
          </w:p>
        </w:tc>
        <w:tc>
          <w:tcPr>
            <w:tcW w:w="1084" w:type="dxa"/>
            <w:noWrap/>
            <w:hideMark/>
          </w:tcPr>
          <w:p w14:paraId="5D191B81" w14:textId="72A0DDD0" w:rsidR="00E915EB" w:rsidRPr="004817FD" w:rsidRDefault="00E915EB" w:rsidP="00E915EB">
            <w:pPr>
              <w:tabs>
                <w:tab w:val="left" w:pos="388"/>
                <w:tab w:val="center" w:pos="434"/>
              </w:tabs>
              <w:jc w:val="center"/>
              <w:rPr>
                <w:rFonts w:cstheme="minorHAnsi"/>
                <w:sz w:val="16"/>
                <w:szCs w:val="16"/>
              </w:rPr>
            </w:pPr>
            <w:r w:rsidRPr="004817FD">
              <w:rPr>
                <w:rFonts w:ascii="Arial" w:hAnsi="Arial" w:cs="Arial"/>
                <w:sz w:val="16"/>
                <w:szCs w:val="16"/>
              </w:rPr>
              <w:t>NA</w:t>
            </w:r>
          </w:p>
        </w:tc>
        <w:tc>
          <w:tcPr>
            <w:tcW w:w="4301" w:type="dxa"/>
            <w:noWrap/>
            <w:hideMark/>
          </w:tcPr>
          <w:p w14:paraId="07C6E0B9" w14:textId="23734982" w:rsidR="00E915EB" w:rsidRPr="004817FD" w:rsidRDefault="00E915EB" w:rsidP="00E915EB">
            <w:pPr>
              <w:rPr>
                <w:rFonts w:ascii="Arial" w:hAnsi="Arial" w:cs="Arial"/>
                <w:color w:val="000000" w:themeColor="text1"/>
                <w:sz w:val="16"/>
                <w:szCs w:val="16"/>
              </w:rPr>
            </w:pPr>
            <w:r w:rsidRPr="004817FD">
              <w:rPr>
                <w:rFonts w:ascii="Arial" w:hAnsi="Arial" w:cs="Arial"/>
                <w:color w:val="000000" w:themeColor="text1"/>
                <w:sz w:val="16"/>
                <w:szCs w:val="16"/>
              </w:rPr>
              <w:t>Bladder cancer</w:t>
            </w:r>
          </w:p>
        </w:tc>
        <w:tc>
          <w:tcPr>
            <w:tcW w:w="3109" w:type="dxa"/>
            <w:noWrap/>
            <w:hideMark/>
          </w:tcPr>
          <w:p w14:paraId="73A7D9CB" w14:textId="215A2FC2" w:rsidR="00E915EB" w:rsidRPr="004817FD" w:rsidRDefault="00E915EB" w:rsidP="00E915EB">
            <w:pPr>
              <w:rPr>
                <w:rFonts w:ascii="Arial" w:hAnsi="Arial" w:cs="Arial"/>
                <w:color w:val="000000" w:themeColor="text1"/>
                <w:sz w:val="16"/>
                <w:szCs w:val="16"/>
              </w:rPr>
            </w:pPr>
            <w:r w:rsidRPr="004817FD">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ADDIN ZOTERO_ITEM CSL_CITATION {"citationID":"lMOM7up6","properties":{"formattedCitation":"(Figueroa et al., 2014)","plainCitation":"(Figueroa et al., 2014)","noteIndex":0},"citationItems":[{"id":"8dHjENI5/gOlJjj2y","uris":["http://zotero.org/users/9763947/items/ZYZ8LBVA"],"itemData":{"id":298,"type":"article-journal","abstract":"Candidate gene and genome-wide association studies (GWAS) have identified 11 independent susceptibility loci associated with bladder cancer risk. To discover additional risk variants, we conducted a new GWAS of 2422 bladder cancer cases and 5751 controls, followed by a meta-analysis with two independently published bladder cancer GWAS, resulting in a combined analysis of 6911 cases and 11 814 controls of European descent. TaqMan genotyping of 13 promising single nucleotide polymorphisms with P &lt; 1 × 10(-5) was pursued in a follow-up set of 801 cases and 1307 controls. Two new loci achieved genome-wide statistical significance: rs10936599 on 3q26.2 (P = 4.53 × 10(-9)) and rs907611 on 11p15.5 (P = 4.11 × 10(-8)). Two notable loci were also identified that approached genome-wide statistical significance: rs6104690 on 20p12.2 (P = 7.13 × 10(-7)) and rs4510656 on 6p22.3 (P = 6.98 × 10(-7)); these require further studies for confirmation. In conclusion, our study has identified new susceptibility alleles for bladder cancer risk that require fine-mapping and laboratory investigation, which could further understanding into the biological underpinnings of bladder carcinogenesis.","container-title":"Human Molecular Genetics","DOI":"10.1093/hmg/ddt519","ISSN":"1460-2083","issue":"5","journalAbbreviation":"Hum Mol Genet","language":"eng","note":"PMID: 24163127\nPMCID: PMC3919005","page":"1387-1398","source":"PubMed","title":"Genome-wide association study identifies multiple loci associated with bladder cancer risk","volume":"23","author":[{"family":"Figueroa","given":"Jonine D."},{"family":"Ye","given":"Yuanqing"},{"family":"Siddiq","given":"Afshan"},{"family":"Garcia-Closas","given":"Montserrat"},{"family":"Chatterjee","given":"Nilanjan"},{"family":"Prokunina-Olsson","given":"Ludmila"},{"family":"Cortessis","given":"Victoria K."},{"family":"Kooperberg","given":"Charles"},{"family":"Cussenot","given":"Olivier"},{"family":"Benhamou","given":"Simone"},{"family":"Prescott","given":"Jennifer"},{"family":"Porru","given":"Stefano"},{"family":"Dinney","given":"Colin P."},{"family":"Malats","given":"Núria"},{"family":"Baris","given":"Dalsu"},{"family":"Purdue","given":"Mark"},{"family":"Jacobs","given":"Eric J."},{"family":"Albanes","given":"Demetrius"},{"family":"Wang","given":"Zhaoming"},{"family":"Deng","given":"Xiang"},{"family":"Chung","given":"Charles C."},{"family":"Tang","given":"Wei"},{"family":"Bas Bueno-de-Mesquita","given":"H."},{"family":"Trichopoulos","given":"Dimitrios"},{"family":"Ljungberg","given":"Börje"},{"family":"Clavel-Chapelon","given":"Françoise"},{"family":"Weiderpass","given":"Elisabete"},{"family":"Krogh","given":"Vittorio"},{"family":"Dorronsoro","given":"Miren"},{"family":"Travis","given":"Ruth"},{"family":"Tjønneland","given":"Anne"},{"family":"Brenan","given":"Paul"},{"family":"Chang-Claude","given":"Jenny"},{"family":"Riboli","given":"Elio"},{"family":"Conti","given":"David"},{"family":"Gago-Dominguez","given":"Manuela"},{"family":"Stern","given":"Mariana C."},{"family":"Pike","given":"Malcolm C."},{"family":"Van Den Berg","given":"David"},{"family":"Yuan","given":"Jian-Min"},{"family":"Hohensee","given":"Chancellor"},{"family":"Rodabough","given":"Rebecca"},{"family":"Cancel-Tassin","given":"Geraldine"},{"family":"Roupret","given":"Morgan"},{"family":"Comperat","given":"Eva"},{"family":"Chen","given":"Constance"},{"family":"De Vivo","given":"Immaculata"},{"family":"Giovannucci","given":"Edward"},{"family":"Hunter","given":"David J."},{"family":"Kraft","given":"Peter"},{"family":"Lindstrom","given":"Sara"},{"family":"Carta","given":"Angela"},{"family":"Pavanello","given":"Sofia"},{"family":"Arici","given":"Cecilia"},{"family":"Mastrangelo","given":"Giuseppe"},{"family":"Kamat","given":"Ashish M."},{"family":"Lerner","given":"Seth P."},{"family":"Barton Grossman","given":"H."},{"family":"Lin","given":"Jie"},{"family":"Gu","given":"Jian"},{"family":"Pu","given":"Xia"},{"family":"Hutchinson","given":"Amy"},{"family":"Burdette","given":"Laurie"},{"family":"Wheeler","given":"William"},{"family":"Kogevinas","given":"Manolis"},{"family":"Tardón","given":"Adonina"},{"family":"Serra","given":"Consol"},{"family":"Carrato","given":"Alfredo"},{"family":"García-Closas","given":"Reina"},{"family":"Lloreta","given":"Josep"},{"family":"Schwenn","given":"Molly"},{"family":"Karagas","given":"Margaret R."},{"family":"Johnson","given":"Alison"},{"family":"Schned","given":"Alan"},{"family":"Armenti","given":"Karla R."},{"family":"Hosain","given":"G. M."},{"family":"Andriole","given":"Gerald"},{"family":"Grubb","given":"Robert"},{"family":"Black","given":"Amanda"},{"family":"Ryan Diver","given":"W."},{"family":"Gapstur","given":"Susan M."},{"family":"Weinstein","given":"Stephanie J."},{"family":"Virtamo","given":"Jarmo"},{"family":"Haiman","given":"Chris A."},{"family":"Landi","given":"Maria T."},{"family":"Caporaso","given":"Neil"},{"family":"Fraumeni","given":"Joseph F."},{"family":"Vineis","given":"Paolo"},{"family":"Wu","given":"Xifeng"},{"family":"Silverman","given":"Debra T."},{"family":"Chanock","given":"Stephen"},{"family":"Rothman","given":"Nathaniel"}],"issued":{"date-parts":[["2014",3,1]]}}}],"schema":"https://github.com/citation-style-language/schema/raw/master/csl-citation.json"} </w:instrText>
            </w:r>
            <w:r w:rsidRPr="004817FD">
              <w:rPr>
                <w:rFonts w:ascii="Arial" w:hAnsi="Arial" w:cs="Arial"/>
                <w:color w:val="000000" w:themeColor="text1"/>
                <w:sz w:val="16"/>
                <w:szCs w:val="16"/>
              </w:rPr>
              <w:fldChar w:fldCharType="separate"/>
            </w:r>
            <w:r w:rsidRPr="004817FD">
              <w:rPr>
                <w:rFonts w:ascii="Arial" w:hAnsi="Arial" w:cs="Arial"/>
                <w:color w:val="000000" w:themeColor="text1"/>
                <w:sz w:val="16"/>
                <w:szCs w:val="16"/>
              </w:rPr>
              <w:t>(Figueroa et al., 2014)</w:t>
            </w:r>
            <w:r w:rsidRPr="004817FD">
              <w:rPr>
                <w:rFonts w:ascii="Arial" w:hAnsi="Arial" w:cs="Arial"/>
                <w:color w:val="000000" w:themeColor="text1"/>
                <w:sz w:val="16"/>
                <w:szCs w:val="16"/>
              </w:rPr>
              <w:fldChar w:fldCharType="end"/>
            </w:r>
          </w:p>
        </w:tc>
        <w:tc>
          <w:tcPr>
            <w:tcW w:w="1082" w:type="dxa"/>
          </w:tcPr>
          <w:p w14:paraId="66796448" w14:textId="7215BA34" w:rsidR="00E915EB" w:rsidRPr="004817FD" w:rsidRDefault="00E915EB" w:rsidP="00E915EB">
            <w:pPr>
              <w:rPr>
                <w:rFonts w:ascii="Arial" w:hAnsi="Arial" w:cs="Arial"/>
                <w:color w:val="000000" w:themeColor="text1"/>
                <w:sz w:val="16"/>
                <w:szCs w:val="16"/>
              </w:rPr>
            </w:pPr>
          </w:p>
        </w:tc>
      </w:tr>
      <w:tr w:rsidR="00E915EB" w:rsidRPr="004817FD" w14:paraId="191F197D" w14:textId="5A091AE9" w:rsidTr="00E915EB">
        <w:trPr>
          <w:trHeight w:val="300"/>
        </w:trPr>
        <w:tc>
          <w:tcPr>
            <w:tcW w:w="1384" w:type="dxa"/>
            <w:noWrap/>
            <w:hideMark/>
          </w:tcPr>
          <w:p w14:paraId="0A64D839" w14:textId="47EC9A75" w:rsidR="00E915EB" w:rsidRPr="004817FD" w:rsidRDefault="00E915EB" w:rsidP="00E915EB">
            <w:pPr>
              <w:rPr>
                <w:rFonts w:ascii="Arial" w:hAnsi="Arial" w:cs="Arial"/>
                <w:color w:val="000000" w:themeColor="text1"/>
                <w:sz w:val="16"/>
                <w:szCs w:val="16"/>
              </w:rPr>
            </w:pPr>
          </w:p>
        </w:tc>
        <w:tc>
          <w:tcPr>
            <w:tcW w:w="747" w:type="dxa"/>
          </w:tcPr>
          <w:p w14:paraId="52A71E6B" w14:textId="77777777" w:rsidR="00E915EB" w:rsidRPr="004817FD" w:rsidRDefault="00E915EB" w:rsidP="00E915EB">
            <w:pPr>
              <w:jc w:val="center"/>
              <w:rPr>
                <w:rFonts w:ascii="Arial" w:hAnsi="Arial" w:cs="Arial"/>
                <w:color w:val="000000" w:themeColor="text1"/>
                <w:sz w:val="16"/>
                <w:szCs w:val="16"/>
              </w:rPr>
            </w:pPr>
          </w:p>
        </w:tc>
        <w:tc>
          <w:tcPr>
            <w:tcW w:w="852" w:type="dxa"/>
            <w:noWrap/>
            <w:hideMark/>
          </w:tcPr>
          <w:p w14:paraId="59C7A65F" w14:textId="1F7DDDD1" w:rsidR="00E915EB" w:rsidRPr="004817FD" w:rsidRDefault="00E915EB" w:rsidP="00E915EB">
            <w:pPr>
              <w:jc w:val="center"/>
              <w:rPr>
                <w:rFonts w:ascii="Arial" w:hAnsi="Arial" w:cs="Arial"/>
                <w:color w:val="000000" w:themeColor="text1"/>
                <w:sz w:val="16"/>
                <w:szCs w:val="16"/>
              </w:rPr>
            </w:pPr>
            <w:r w:rsidRPr="004817FD">
              <w:rPr>
                <w:rFonts w:ascii="Arial" w:hAnsi="Arial" w:cs="Arial"/>
                <w:color w:val="000000" w:themeColor="text1"/>
                <w:sz w:val="16"/>
                <w:szCs w:val="16"/>
              </w:rPr>
              <w:t>A</w:t>
            </w:r>
          </w:p>
        </w:tc>
        <w:tc>
          <w:tcPr>
            <w:tcW w:w="1143" w:type="dxa"/>
            <w:noWrap/>
            <w:hideMark/>
          </w:tcPr>
          <w:p w14:paraId="5B467608" w14:textId="0CD08BB6" w:rsidR="00E915EB" w:rsidRPr="004817FD" w:rsidRDefault="00E915EB" w:rsidP="00E915EB">
            <w:pPr>
              <w:rPr>
                <w:rFonts w:ascii="Arial" w:hAnsi="Arial" w:cs="Arial"/>
                <w:color w:val="000000" w:themeColor="text1"/>
                <w:sz w:val="16"/>
                <w:szCs w:val="16"/>
              </w:rPr>
            </w:pPr>
            <w:r w:rsidRPr="004817FD">
              <w:rPr>
                <w:rFonts w:ascii="Arial" w:hAnsi="Arial" w:cs="Arial"/>
                <w:color w:val="000000" w:themeColor="text1"/>
                <w:sz w:val="16"/>
                <w:szCs w:val="16"/>
              </w:rPr>
              <w:t>7 x 10</w:t>
            </w:r>
            <w:r w:rsidRPr="004817FD">
              <w:rPr>
                <w:rFonts w:ascii="Arial" w:hAnsi="Arial" w:cs="Arial"/>
                <w:color w:val="000000" w:themeColor="text1"/>
                <w:sz w:val="16"/>
                <w:szCs w:val="16"/>
                <w:vertAlign w:val="superscript"/>
              </w:rPr>
              <w:t>-11</w:t>
            </w:r>
          </w:p>
        </w:tc>
        <w:tc>
          <w:tcPr>
            <w:tcW w:w="973" w:type="dxa"/>
          </w:tcPr>
          <w:p w14:paraId="36D16E7F" w14:textId="4693107D" w:rsidR="00E915EB" w:rsidRPr="004817FD" w:rsidRDefault="00E915EB" w:rsidP="00E915EB">
            <w:pPr>
              <w:jc w:val="center"/>
              <w:rPr>
                <w:rFonts w:ascii="Arial" w:hAnsi="Arial" w:cs="Arial"/>
                <w:sz w:val="16"/>
                <w:szCs w:val="16"/>
              </w:rPr>
            </w:pPr>
          </w:p>
        </w:tc>
        <w:tc>
          <w:tcPr>
            <w:tcW w:w="1084" w:type="dxa"/>
            <w:noWrap/>
            <w:hideMark/>
          </w:tcPr>
          <w:p w14:paraId="423F67BC" w14:textId="06FFA350" w:rsidR="00E915EB" w:rsidRPr="004817FD" w:rsidRDefault="00E915EB" w:rsidP="00E915EB">
            <w:pPr>
              <w:jc w:val="center"/>
              <w:rPr>
                <w:rFonts w:cstheme="minorHAnsi"/>
                <w:sz w:val="16"/>
                <w:szCs w:val="16"/>
              </w:rPr>
            </w:pPr>
            <w:r w:rsidRPr="004817FD">
              <w:rPr>
                <w:rFonts w:ascii="Arial" w:hAnsi="Arial" w:cs="Arial"/>
                <w:sz w:val="16"/>
                <w:szCs w:val="16"/>
              </w:rPr>
              <w:t>NA</w:t>
            </w:r>
          </w:p>
        </w:tc>
        <w:tc>
          <w:tcPr>
            <w:tcW w:w="4301" w:type="dxa"/>
            <w:noWrap/>
            <w:hideMark/>
          </w:tcPr>
          <w:p w14:paraId="3BB2FD42" w14:textId="37182E21" w:rsidR="00E915EB" w:rsidRPr="004817FD" w:rsidRDefault="00E915EB" w:rsidP="00E915EB">
            <w:pPr>
              <w:rPr>
                <w:rFonts w:ascii="Arial" w:hAnsi="Arial" w:cs="Arial"/>
                <w:color w:val="000000" w:themeColor="text1"/>
                <w:sz w:val="16"/>
                <w:szCs w:val="16"/>
              </w:rPr>
            </w:pPr>
            <w:r w:rsidRPr="004817FD">
              <w:rPr>
                <w:rFonts w:ascii="Arial" w:hAnsi="Arial" w:cs="Arial"/>
                <w:color w:val="000000" w:themeColor="text1"/>
                <w:sz w:val="16"/>
                <w:szCs w:val="16"/>
              </w:rPr>
              <w:t>Liver injury in anti-tuberculosis drug treatment</w:t>
            </w:r>
          </w:p>
        </w:tc>
        <w:tc>
          <w:tcPr>
            <w:tcW w:w="3109" w:type="dxa"/>
            <w:noWrap/>
            <w:hideMark/>
          </w:tcPr>
          <w:p w14:paraId="5CAAA23E" w14:textId="4DC303A8" w:rsidR="00E915EB" w:rsidRPr="004817FD" w:rsidRDefault="00E915EB" w:rsidP="00E915EB">
            <w:pPr>
              <w:rPr>
                <w:rFonts w:ascii="Arial" w:hAnsi="Arial" w:cs="Arial"/>
                <w:color w:val="000000" w:themeColor="text1"/>
                <w:sz w:val="16"/>
                <w:szCs w:val="16"/>
              </w:rPr>
            </w:pPr>
            <w:r w:rsidRPr="004817FD">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ADDIN ZOTERO_ITEM CSL_CITATION {"citationID":"V7tFUPyi","properties":{"formattedCitation":"(Suvichapanich et al., 2019)","plainCitation":"(Suvichapanich et al., 2019)","noteIndex":0},"citationItems":[{"id":"8dHjENI5/VtJ1VheI","uris":["http://zotero.org/users/9763947/items/WJXP7Y9C"],"itemData":{"id":303,"type":"article-journal","abstract":"Antituberculosis drug-induced liver injury (ATDILI) is a common side effect leading to tuberculosis (TB) treatment disruption. The mechanism of the disease remains poorly understood. We conducted a genomewide association study (GWAS) to investigate all possible genetic factors of ATDILI in Thai patients. This study was carried out in Thai TB patients, including 79 ATDILI cases and 239 tolerant controls from our network hospitals in Thailand. Nearly 1 million single-nucleotide polymorphisms (SNPs) were genotyped across the whole genome using an Illumina OmniExpress Exome BeadChip array. In the discovery stage, we identified strong association signals on chromosome 8 originating from the N-acetyltransferase (NAT2) region. The A allele of rs1495741, the top SNP in the intergenic region of NAT2 and PSD3 (14 kb from NAT2), was significantly associated with ATDILI (recessive model, odds ratio of 6.01 [95% confidence interval, 3.42 to 10.57]; P = 6.86E-11). This particular SNP was reported as a tag SNP for NAT2 inferred phenotypes. The AA, AG, and GG genotypes represented NAT2 slow acetylators, intermediate acetylators, and fast acetylators, respectively. The tag SNP genotypes demonstrated a concordance rate of 94.98% with NAT2 acetylator phenotypes. This GWAS shows that NAT2 is the most important risk factor for ATDILI in the Thai population.","container-title":"Antimicrobial Agents and Chemotherapy","DOI":"10.1128/AAC.02692-18","ISSN":"1098-6596","issue":"8","journalAbbreviation":"Antimicrob Agents Chemother","language":"eng","note":"PMID: 31109976\nPMCID: PMC6658740","page":"e02692-18","source":"PubMed","title":"Genomewide Association Study Confirming the Association of NAT2 with Susceptibility to Antituberculosis Drug-Induced Liver Injury in Thai Patients","volume":"63","author":[{"family":"Suvichapanich","given":"Supharat"},{"family":"Wattanapokayakit","given":"Sukanya"},{"family":"Mushiroda","given":"Taisei"},{"family":"Yanai","given":"Hideki"},{"family":"Chuchottawon","given":"Charoen"},{"family":"Kantima","given":"Tassawan"},{"family":"Nedsuwan","given":"Supalert"},{"family":"Suwankesawong","given":"Wimon"},{"family":"Sonsupap","given":"Cholticha"},{"family":"Pannarunothai","given":"Roongkarn"},{"family":"Tumpattanakul","given":"Sukanya"},{"family":"Bamrungram","given":"Warawut"},{"family":"Chaiwong","given":"Achara"},{"family":"Mahasirimongkol","given":"Surakameth"},{"family":"Mameechai","given":"Sasithorn"},{"family":"Panthong","given":"Weerapat"},{"family":"Klungtes","given":"Nantawan"},{"family":"Munsoo","given":"Amara"},{"family":"Chauychana","given":"Udomrat"},{"family":"Maneerat","given":"Molrudee"},{"family":"Fukunaga","given":"Koya"},{"family":"Omae","given":"Yosuke"},{"family":"Tokunaga","given":"Katsushi"}],"issued":{"date-parts":[["2019",8]]}}}],"schema":"https://github.com/citation-style-language/schema/raw/master/csl-citation.json"} </w:instrText>
            </w:r>
            <w:r w:rsidRPr="004817FD">
              <w:rPr>
                <w:rFonts w:ascii="Arial" w:hAnsi="Arial" w:cs="Arial"/>
                <w:color w:val="000000" w:themeColor="text1"/>
                <w:sz w:val="16"/>
                <w:szCs w:val="16"/>
              </w:rPr>
              <w:fldChar w:fldCharType="separate"/>
            </w:r>
            <w:r w:rsidRPr="004817FD">
              <w:rPr>
                <w:rFonts w:ascii="Arial" w:hAnsi="Arial" w:cs="Arial"/>
                <w:color w:val="000000" w:themeColor="text1"/>
                <w:sz w:val="16"/>
                <w:szCs w:val="16"/>
              </w:rPr>
              <w:t>(Suvichapanich et al., 2019)</w:t>
            </w:r>
            <w:r w:rsidRPr="004817FD">
              <w:rPr>
                <w:rFonts w:ascii="Arial" w:hAnsi="Arial" w:cs="Arial"/>
                <w:color w:val="000000" w:themeColor="text1"/>
                <w:sz w:val="16"/>
                <w:szCs w:val="16"/>
              </w:rPr>
              <w:fldChar w:fldCharType="end"/>
            </w:r>
          </w:p>
        </w:tc>
        <w:tc>
          <w:tcPr>
            <w:tcW w:w="1082" w:type="dxa"/>
          </w:tcPr>
          <w:p w14:paraId="2A5A470B" w14:textId="46955287" w:rsidR="00E915EB" w:rsidRPr="004817FD" w:rsidRDefault="00E915EB" w:rsidP="00E915EB">
            <w:pPr>
              <w:rPr>
                <w:rFonts w:ascii="Arial" w:hAnsi="Arial" w:cs="Arial"/>
                <w:color w:val="000000" w:themeColor="text1"/>
                <w:sz w:val="16"/>
                <w:szCs w:val="16"/>
              </w:rPr>
            </w:pPr>
          </w:p>
        </w:tc>
      </w:tr>
      <w:tr w:rsidR="00E915EB" w:rsidRPr="004817FD" w14:paraId="07A26A00" w14:textId="64644823" w:rsidTr="00E915EB">
        <w:trPr>
          <w:trHeight w:val="300"/>
        </w:trPr>
        <w:tc>
          <w:tcPr>
            <w:tcW w:w="1384" w:type="dxa"/>
            <w:noWrap/>
            <w:hideMark/>
          </w:tcPr>
          <w:p w14:paraId="592198A4" w14:textId="3E712953" w:rsidR="00E915EB" w:rsidRPr="004817FD" w:rsidRDefault="00E915EB" w:rsidP="00E915EB">
            <w:pPr>
              <w:rPr>
                <w:rFonts w:ascii="Arial" w:hAnsi="Arial" w:cs="Arial"/>
                <w:color w:val="000000" w:themeColor="text1"/>
                <w:sz w:val="16"/>
                <w:szCs w:val="16"/>
              </w:rPr>
            </w:pPr>
          </w:p>
        </w:tc>
        <w:tc>
          <w:tcPr>
            <w:tcW w:w="747" w:type="dxa"/>
          </w:tcPr>
          <w:p w14:paraId="64F69227" w14:textId="164B361D" w:rsidR="00E915EB" w:rsidRPr="004817FD" w:rsidRDefault="00E915EB" w:rsidP="00E915EB">
            <w:pPr>
              <w:jc w:val="center"/>
              <w:rPr>
                <w:rFonts w:ascii="Arial" w:hAnsi="Arial" w:cs="Arial"/>
                <w:color w:val="000000" w:themeColor="text1"/>
                <w:sz w:val="16"/>
                <w:szCs w:val="16"/>
              </w:rPr>
            </w:pPr>
          </w:p>
        </w:tc>
        <w:tc>
          <w:tcPr>
            <w:tcW w:w="852" w:type="dxa"/>
            <w:noWrap/>
            <w:hideMark/>
          </w:tcPr>
          <w:p w14:paraId="78E9A94F" w14:textId="7D5EBB0B" w:rsidR="00E915EB" w:rsidRPr="004817FD" w:rsidRDefault="00E915EB" w:rsidP="00E915EB">
            <w:pPr>
              <w:jc w:val="center"/>
              <w:rPr>
                <w:rFonts w:ascii="Arial" w:hAnsi="Arial" w:cs="Arial"/>
                <w:color w:val="000000" w:themeColor="text1"/>
                <w:sz w:val="16"/>
                <w:szCs w:val="16"/>
              </w:rPr>
            </w:pPr>
            <w:r w:rsidRPr="004817FD">
              <w:rPr>
                <w:rFonts w:ascii="Arial" w:hAnsi="Arial" w:cs="Arial"/>
                <w:color w:val="000000" w:themeColor="text1"/>
                <w:sz w:val="16"/>
                <w:szCs w:val="16"/>
              </w:rPr>
              <w:t>A</w:t>
            </w:r>
          </w:p>
        </w:tc>
        <w:tc>
          <w:tcPr>
            <w:tcW w:w="1143" w:type="dxa"/>
            <w:noWrap/>
            <w:hideMark/>
          </w:tcPr>
          <w:p w14:paraId="371144D2" w14:textId="01A869A0" w:rsidR="00E915EB" w:rsidRPr="004817FD" w:rsidRDefault="00E915EB" w:rsidP="00E915EB">
            <w:pPr>
              <w:rPr>
                <w:rFonts w:ascii="Arial" w:hAnsi="Arial" w:cs="Arial"/>
                <w:color w:val="000000" w:themeColor="text1"/>
                <w:sz w:val="16"/>
                <w:szCs w:val="16"/>
              </w:rPr>
            </w:pPr>
            <w:r w:rsidRPr="004817FD">
              <w:rPr>
                <w:rFonts w:ascii="Arial" w:hAnsi="Arial" w:cs="Arial"/>
                <w:color w:val="000000" w:themeColor="text1"/>
                <w:sz w:val="16"/>
                <w:szCs w:val="16"/>
              </w:rPr>
              <w:t>1 x 10</w:t>
            </w:r>
            <w:r w:rsidRPr="004817FD">
              <w:rPr>
                <w:rFonts w:ascii="Arial" w:hAnsi="Arial" w:cs="Arial"/>
                <w:color w:val="000000" w:themeColor="text1"/>
                <w:sz w:val="16"/>
                <w:szCs w:val="16"/>
                <w:vertAlign w:val="superscript"/>
              </w:rPr>
              <w:t>-24</w:t>
            </w:r>
          </w:p>
        </w:tc>
        <w:tc>
          <w:tcPr>
            <w:tcW w:w="973" w:type="dxa"/>
          </w:tcPr>
          <w:p w14:paraId="6B25EB40" w14:textId="12EC5B49" w:rsidR="00E915EB" w:rsidRPr="004817FD" w:rsidRDefault="00E915EB" w:rsidP="00E915EB">
            <w:pPr>
              <w:jc w:val="center"/>
              <w:rPr>
                <w:rFonts w:ascii="Arial" w:hAnsi="Arial" w:cs="Arial"/>
                <w:sz w:val="16"/>
                <w:szCs w:val="16"/>
              </w:rPr>
            </w:pPr>
          </w:p>
        </w:tc>
        <w:tc>
          <w:tcPr>
            <w:tcW w:w="1084" w:type="dxa"/>
            <w:noWrap/>
            <w:hideMark/>
          </w:tcPr>
          <w:p w14:paraId="42B018FA" w14:textId="1B88D37C" w:rsidR="00E915EB" w:rsidRPr="004817FD" w:rsidRDefault="00E915EB" w:rsidP="00E915EB">
            <w:pPr>
              <w:jc w:val="center"/>
              <w:rPr>
                <w:rFonts w:cstheme="minorHAnsi"/>
                <w:color w:val="000000" w:themeColor="text1"/>
                <w:sz w:val="16"/>
                <w:szCs w:val="16"/>
              </w:rPr>
            </w:pPr>
            <w:r w:rsidRPr="004817FD">
              <w:rPr>
                <w:rFonts w:cstheme="minorHAnsi"/>
                <w:sz w:val="16"/>
                <w:szCs w:val="16"/>
              </w:rPr>
              <w:t>↓</w:t>
            </w:r>
          </w:p>
        </w:tc>
        <w:tc>
          <w:tcPr>
            <w:tcW w:w="4301" w:type="dxa"/>
            <w:noWrap/>
            <w:hideMark/>
          </w:tcPr>
          <w:p w14:paraId="383CE49B" w14:textId="267E3682" w:rsidR="00E915EB" w:rsidRPr="004817FD" w:rsidRDefault="00E915EB" w:rsidP="00E915EB">
            <w:pPr>
              <w:rPr>
                <w:rFonts w:ascii="Arial" w:hAnsi="Arial" w:cs="Arial"/>
                <w:color w:val="000000" w:themeColor="text1"/>
                <w:sz w:val="16"/>
                <w:szCs w:val="16"/>
              </w:rPr>
            </w:pPr>
            <w:r w:rsidRPr="004817FD">
              <w:rPr>
                <w:rFonts w:ascii="Arial" w:hAnsi="Arial" w:cs="Arial"/>
                <w:i/>
                <w:color w:val="000000" w:themeColor="text1"/>
                <w:sz w:val="16"/>
                <w:szCs w:val="16"/>
              </w:rPr>
              <w:t>N</w:t>
            </w:r>
            <w:r w:rsidRPr="004817FD">
              <w:rPr>
                <w:rFonts w:ascii="Arial" w:hAnsi="Arial" w:cs="Arial"/>
                <w:color w:val="000000" w:themeColor="text1"/>
                <w:sz w:val="16"/>
                <w:szCs w:val="16"/>
              </w:rPr>
              <w:t>-acetylputrescine levels (blood)</w:t>
            </w:r>
          </w:p>
        </w:tc>
        <w:tc>
          <w:tcPr>
            <w:tcW w:w="3109" w:type="dxa"/>
            <w:noWrap/>
            <w:hideMark/>
          </w:tcPr>
          <w:p w14:paraId="131AD678" w14:textId="2A96C65A" w:rsidR="00E915EB" w:rsidRPr="004817FD" w:rsidRDefault="00E915EB" w:rsidP="00E915EB">
            <w:pPr>
              <w:rPr>
                <w:rFonts w:ascii="Arial" w:hAnsi="Arial" w:cs="Arial"/>
                <w:color w:val="000000" w:themeColor="text1"/>
                <w:sz w:val="16"/>
                <w:szCs w:val="16"/>
              </w:rPr>
            </w:pPr>
            <w:r w:rsidRPr="004817FD">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ADDIN ZOTERO_ITEM CSL_CITATION {"citationID":"VxoAlQ2N","properties":{"formattedCitation":"(Rhee et al., 2022)","plainCitation":"(Rhee et al., 2022)","noteIndex":0},"citationItems":[{"id":"8dHjENI5/m9oEYJGV","uris":["http://zotero.org/users/9763947/items/P4ALS7RS"],"itemData":{"id":266,"type":"article-journal","abstract":"Metabolomics genome wide association study (GWAS) help outline the genetic contribution to human metabolism. However, studies to date have focused on relatively healthy, population-based samples of White individuals. Here, we conducted a GWAS of 537 blood metabolites measured in the Chronic Renal Insufficiency Cohort (CRIC) Study, with separate analyses in 822 White and 687 Black study participants. Trans-ethnic meta-analysis was then applied to improve fine-mapping of potential causal variants. Mean estimated glomerular filtration rate was 44.4 and 41.5 mL/min/1.73m2 in the White and Black participants, respectively. There were 45 significant metabolite associations at 19 loci, including novel associations at PYROXD2, PHYHD1, FADS1-3, ACOT2, MYRF, FAAH, and LIPC. The strength of associations was unchanged in models additionally adjusted for estimated glomerular filtration rate and proteinuria, consistent with a direct biochemical effect of gene products on associated metabolites. At several loci, trans-ethnic meta-analysis, which leverages differences in linkage disequilibrium across populations, reduced the number and/or genomic interval spanned by potentially causal single nucleotide polymorphisms compared to fine-mapping in the White participant cohort alone. Across all validated associations, we found strong concordance in effect sizes of the potentially causal single nucleotide polymorphisms between White and Black study participants. Thus, our study identifies novel genetic determinants of blood metabolites in chronic kidney disease, demonstrates the value of diverse cohorts to improve causal inference in metabolomics GWAS, and underscores the shared genetic basis of metabolism across race.","container-title":"Kidney International","DOI":"10.1016/j.kint.2022.01.014","ISSN":"1523-1755","issue":"4","journalAbbreviation":"Kidney Int","language":"eng","note":"PMID: 35120996\nPMCID: PMC8940669","page":"814-823","source":"PubMed","title":"Trans-ethnic genome-wide association study of blood metabolites in the Chronic Renal Insufficiency Cohort (CRIC) study","volume":"101","author":[{"family":"Rhee","given":"Eugene P."},{"family":"Surapaneni","given":"Aditya"},{"family":"Zheng","given":"Zihe"},{"family":"Zhou","given":"Linda"},{"family":"Dutta","given":"Diptavo"},{"family":"Arking","given":"Dan E."},{"family":"Zhang","given":"Jingning"},{"family":"Duong","given":"ThuyVy"},{"family":"Chatterjee","given":"Nilanjan"},{"family":"Luo","given":"Shengyuan"},{"family":"Schlosser","given":"Pascal"},{"family":"Mehta","given":"Rupal"},{"family":"Waikar","given":"Sushrut S."},{"family":"Saraf","given":"Santosh L."},{"family":"Kelly","given":"Tanika N."},{"family":"Hamm","given":"Lee L."},{"family":"Rao","given":"Panduranga S."},{"family":"Mathew","given":"Anna V."},{"family":"Hsu","given":"Chi-Yuan"},{"family":"Parsa","given":"Afshin"},{"family":"Vasan","given":"Ramachandran S."},{"family":"Kimmel","given":"Paul L."},{"family":"Clish","given":"Clary B."},{"family":"Coresh","given":"Josef"},{"family":"Feldman","given":"Harold I."},{"family":"Grams","given":"Morgan E."},{"literal":"CKD Biomarkers Consortium and the Chronic Renal Insufficiency Cohort (CRIC) Study Investigators"}],"issued":{"date-parts":[["2022",4]]}}}],"schema":"https://github.com/citation-style-language/schema/raw/master/csl-citation.json"} </w:instrText>
            </w:r>
            <w:r w:rsidRPr="004817FD">
              <w:rPr>
                <w:rFonts w:ascii="Arial" w:hAnsi="Arial" w:cs="Arial"/>
                <w:color w:val="000000" w:themeColor="text1"/>
                <w:sz w:val="16"/>
                <w:szCs w:val="16"/>
              </w:rPr>
              <w:fldChar w:fldCharType="separate"/>
            </w:r>
            <w:r w:rsidRPr="004817FD">
              <w:rPr>
                <w:rFonts w:ascii="Arial" w:hAnsi="Arial" w:cs="Arial"/>
                <w:color w:val="000000" w:themeColor="text1"/>
                <w:sz w:val="16"/>
                <w:szCs w:val="16"/>
              </w:rPr>
              <w:t>(Rhee et al., 2022)</w:t>
            </w:r>
            <w:r w:rsidRPr="004817FD">
              <w:rPr>
                <w:rFonts w:ascii="Arial" w:hAnsi="Arial" w:cs="Arial"/>
                <w:color w:val="000000" w:themeColor="text1"/>
                <w:sz w:val="16"/>
                <w:szCs w:val="16"/>
              </w:rPr>
              <w:fldChar w:fldCharType="end"/>
            </w:r>
          </w:p>
        </w:tc>
        <w:tc>
          <w:tcPr>
            <w:tcW w:w="1082" w:type="dxa"/>
          </w:tcPr>
          <w:p w14:paraId="76304A11" w14:textId="698BE5C6" w:rsidR="00E915EB" w:rsidRPr="004817FD" w:rsidRDefault="00E915EB" w:rsidP="00E915EB">
            <w:pPr>
              <w:rPr>
                <w:rFonts w:ascii="Arial" w:hAnsi="Arial" w:cs="Arial"/>
                <w:color w:val="000000" w:themeColor="text1"/>
                <w:sz w:val="16"/>
                <w:szCs w:val="16"/>
              </w:rPr>
            </w:pPr>
          </w:p>
        </w:tc>
      </w:tr>
      <w:tr w:rsidR="00E915EB" w:rsidRPr="004817FD" w14:paraId="30AF777C" w14:textId="577617FF" w:rsidTr="00E915EB">
        <w:trPr>
          <w:trHeight w:val="300"/>
        </w:trPr>
        <w:tc>
          <w:tcPr>
            <w:tcW w:w="1384" w:type="dxa"/>
            <w:noWrap/>
            <w:hideMark/>
          </w:tcPr>
          <w:p w14:paraId="7DDFAAEF" w14:textId="3A8BCCCA" w:rsidR="00E915EB" w:rsidRPr="004817FD" w:rsidRDefault="00E915EB" w:rsidP="00E915EB">
            <w:pPr>
              <w:rPr>
                <w:rFonts w:ascii="Arial" w:hAnsi="Arial" w:cs="Arial"/>
                <w:color w:val="000000" w:themeColor="text1"/>
                <w:sz w:val="16"/>
                <w:szCs w:val="16"/>
              </w:rPr>
            </w:pPr>
          </w:p>
        </w:tc>
        <w:tc>
          <w:tcPr>
            <w:tcW w:w="747" w:type="dxa"/>
          </w:tcPr>
          <w:p w14:paraId="760ADA5C" w14:textId="203C2844" w:rsidR="00E915EB" w:rsidRPr="004817FD" w:rsidRDefault="00E915EB" w:rsidP="00E915EB">
            <w:pPr>
              <w:jc w:val="center"/>
              <w:rPr>
                <w:rFonts w:ascii="Arial" w:hAnsi="Arial" w:cs="Arial"/>
                <w:color w:val="000000" w:themeColor="text1"/>
                <w:sz w:val="16"/>
                <w:szCs w:val="16"/>
              </w:rPr>
            </w:pPr>
          </w:p>
        </w:tc>
        <w:tc>
          <w:tcPr>
            <w:tcW w:w="852" w:type="dxa"/>
            <w:noWrap/>
            <w:hideMark/>
          </w:tcPr>
          <w:p w14:paraId="08AD882B" w14:textId="1EAAD08C" w:rsidR="00E915EB" w:rsidRPr="004817FD" w:rsidRDefault="00E915EB" w:rsidP="00E915EB">
            <w:pPr>
              <w:jc w:val="center"/>
              <w:rPr>
                <w:rFonts w:ascii="Arial" w:hAnsi="Arial" w:cs="Arial"/>
                <w:color w:val="000000" w:themeColor="text1"/>
                <w:sz w:val="16"/>
                <w:szCs w:val="16"/>
              </w:rPr>
            </w:pPr>
            <w:r w:rsidRPr="004817FD">
              <w:rPr>
                <w:rFonts w:ascii="Arial" w:hAnsi="Arial" w:cs="Arial"/>
                <w:color w:val="000000" w:themeColor="text1"/>
                <w:sz w:val="16"/>
                <w:szCs w:val="16"/>
              </w:rPr>
              <w:t>A</w:t>
            </w:r>
          </w:p>
        </w:tc>
        <w:tc>
          <w:tcPr>
            <w:tcW w:w="1143" w:type="dxa"/>
            <w:noWrap/>
            <w:hideMark/>
          </w:tcPr>
          <w:p w14:paraId="044D8F0D" w14:textId="5877DCA7" w:rsidR="00E915EB" w:rsidRPr="004817FD" w:rsidRDefault="00E915EB" w:rsidP="00E915EB">
            <w:pPr>
              <w:rPr>
                <w:rFonts w:ascii="Arial" w:hAnsi="Arial" w:cs="Arial"/>
                <w:color w:val="000000" w:themeColor="text1"/>
                <w:sz w:val="16"/>
                <w:szCs w:val="16"/>
              </w:rPr>
            </w:pPr>
            <w:r w:rsidRPr="004817FD">
              <w:rPr>
                <w:rFonts w:ascii="Arial" w:hAnsi="Arial" w:cs="Arial"/>
                <w:color w:val="000000" w:themeColor="text1"/>
                <w:sz w:val="16"/>
                <w:szCs w:val="16"/>
              </w:rPr>
              <w:t>2 x 10</w:t>
            </w:r>
            <w:r w:rsidRPr="004817FD">
              <w:rPr>
                <w:rFonts w:ascii="Arial" w:hAnsi="Arial" w:cs="Arial"/>
                <w:color w:val="000000" w:themeColor="text1"/>
                <w:sz w:val="16"/>
                <w:szCs w:val="16"/>
                <w:vertAlign w:val="superscript"/>
              </w:rPr>
              <w:t>-15</w:t>
            </w:r>
          </w:p>
        </w:tc>
        <w:tc>
          <w:tcPr>
            <w:tcW w:w="973" w:type="dxa"/>
          </w:tcPr>
          <w:p w14:paraId="3DBFF764" w14:textId="385B48AB" w:rsidR="00E915EB" w:rsidRPr="004817FD" w:rsidRDefault="00E915EB" w:rsidP="00E915EB">
            <w:pPr>
              <w:jc w:val="center"/>
              <w:rPr>
                <w:rFonts w:ascii="Arial" w:hAnsi="Arial" w:cs="Arial"/>
                <w:sz w:val="16"/>
                <w:szCs w:val="16"/>
              </w:rPr>
            </w:pPr>
          </w:p>
        </w:tc>
        <w:tc>
          <w:tcPr>
            <w:tcW w:w="1084" w:type="dxa"/>
            <w:noWrap/>
            <w:hideMark/>
          </w:tcPr>
          <w:p w14:paraId="6DB18BA8" w14:textId="28BEE0BA" w:rsidR="00E915EB" w:rsidRPr="004817FD" w:rsidRDefault="00E915EB" w:rsidP="00E915EB">
            <w:pPr>
              <w:jc w:val="center"/>
              <w:rPr>
                <w:rFonts w:cstheme="minorHAnsi"/>
                <w:b/>
                <w:bCs/>
                <w:sz w:val="16"/>
                <w:szCs w:val="16"/>
              </w:rPr>
            </w:pPr>
            <w:r w:rsidRPr="004817FD">
              <w:rPr>
                <w:rFonts w:cstheme="minorHAnsi"/>
                <w:sz w:val="16"/>
                <w:szCs w:val="16"/>
              </w:rPr>
              <w:t>↓</w:t>
            </w:r>
          </w:p>
        </w:tc>
        <w:tc>
          <w:tcPr>
            <w:tcW w:w="4301" w:type="dxa"/>
            <w:noWrap/>
            <w:hideMark/>
          </w:tcPr>
          <w:p w14:paraId="0B5F6EDB" w14:textId="112CFABB" w:rsidR="00E915EB" w:rsidRPr="004817FD" w:rsidRDefault="00E915EB" w:rsidP="00E915EB">
            <w:pPr>
              <w:rPr>
                <w:rFonts w:ascii="Arial" w:hAnsi="Arial" w:cs="Arial"/>
                <w:color w:val="000000" w:themeColor="text1"/>
                <w:sz w:val="16"/>
                <w:szCs w:val="16"/>
              </w:rPr>
            </w:pPr>
            <w:r w:rsidRPr="004817FD">
              <w:rPr>
                <w:rFonts w:ascii="Arial" w:hAnsi="Arial" w:cs="Arial"/>
                <w:color w:val="000000" w:themeColor="text1"/>
                <w:sz w:val="16"/>
                <w:szCs w:val="16"/>
              </w:rPr>
              <w:t>4-acetamidobutanoate levels (blood)</w:t>
            </w:r>
          </w:p>
        </w:tc>
        <w:tc>
          <w:tcPr>
            <w:tcW w:w="3109" w:type="dxa"/>
            <w:noWrap/>
            <w:hideMark/>
          </w:tcPr>
          <w:p w14:paraId="672C7C75" w14:textId="3427A969" w:rsidR="00E915EB" w:rsidRPr="004817FD" w:rsidRDefault="00E915EB" w:rsidP="00E915EB">
            <w:pPr>
              <w:rPr>
                <w:rFonts w:ascii="Arial" w:hAnsi="Arial" w:cs="Arial"/>
                <w:color w:val="000000" w:themeColor="text1"/>
                <w:sz w:val="16"/>
                <w:szCs w:val="16"/>
              </w:rPr>
            </w:pPr>
            <w:r w:rsidRPr="004817FD">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ADDIN ZOTERO_ITEM CSL_CITATION {"citationID":"POrajqVh","properties":{"formattedCitation":"(Rhee et al., 2022)","plainCitation":"(Rhee et al., 2022)","noteIndex":0},"citationItems":[{"id":"8dHjENI5/m9oEYJGV","uris":["http://zotero.org/users/9763947/items/P4ALS7RS"],"itemData":{"id":266,"type":"article-journal","abstract":"Metabolomics genome wide association study (GWAS) help outline the genetic contribution to human metabolism. However, studies to date have focused on relatively healthy, population-based samples of White individuals. Here, we conducted a GWAS of 537 blood metabolites measured in the Chronic Renal Insufficiency Cohort (CRIC) Study, with separate analyses in 822 White and 687 Black study participants. Trans-ethnic meta-analysis was then applied to improve fine-mapping of potential causal variants. Mean estimated glomerular filtration rate was 44.4 and 41.5 mL/min/1.73m2 in the White and Black participants, respectively. There were 45 significant metabolite associations at 19 loci, including novel associations at PYROXD2, PHYHD1, FADS1-3, ACOT2, MYRF, FAAH, and LIPC. The strength of associations was unchanged in models additionally adjusted for estimated glomerular filtration rate and proteinuria, consistent with a direct biochemical effect of gene products on associated metabolites. At several loci, trans-ethnic meta-analysis, which leverages differences in linkage disequilibrium across populations, reduced the number and/or genomic interval spanned by potentially causal single nucleotide polymorphisms compared to fine-mapping in the White participant cohort alone. Across all validated associations, we found strong concordance in effect sizes of the potentially causal single nucleotide polymorphisms between White and Black study participants. Thus, our study identifies novel genetic determinants of blood metabolites in chronic kidney disease, demonstrates the value of diverse cohorts to improve causal inference in metabolomics GWAS, and underscores the shared genetic basis of metabolism across race.","container-title":"Kidney International","DOI":"10.1016/j.kint.2022.01.014","ISSN":"1523-1755","issue":"4","journalAbbreviation":"Kidney Int","language":"eng","note":"PMID: 35120996\nPMCID: PMC8940669","page":"814-823","source":"PubMed","title":"Trans-ethnic genome-wide association study of blood metabolites in the Chronic Renal Insufficiency Cohort (CRIC) study","volume":"101","author":[{"family":"Rhee","given":"Eugene P."},{"family":"Surapaneni","given":"Aditya"},{"family":"Zheng","given":"Zihe"},{"family":"Zhou","given":"Linda"},{"family":"Dutta","given":"Diptavo"},{"family":"Arking","given":"Dan E."},{"family":"Zhang","given":"Jingning"},{"family":"Duong","given":"ThuyVy"},{"family":"Chatterjee","given":"Nilanjan"},{"family":"Luo","given":"Shengyuan"},{"family":"Schlosser","given":"Pascal"},{"family":"Mehta","given":"Rupal"},{"family":"Waikar","given":"Sushrut S."},{"family":"Saraf","given":"Santosh L."},{"family":"Kelly","given":"Tanika N."},{"family":"Hamm","given":"Lee L."},{"family":"Rao","given":"Panduranga S."},{"family":"Mathew","given":"Anna V."},{"family":"Hsu","given":"Chi-Yuan"},{"family":"Parsa","given":"Afshin"},{"family":"Vasan","given":"Ramachandran S."},{"family":"Kimmel","given":"Paul L."},{"family":"Clish","given":"Clary B."},{"family":"Coresh","given":"Josef"},{"family":"Feldman","given":"Harold I."},{"family":"Grams","given":"Morgan E."},{"literal":"CKD Biomarkers Consortium and the Chronic Renal Insufficiency Cohort (CRIC) Study Investigators"}],"issued":{"date-parts":[["2022",4]]}}}],"schema":"https://github.com/citation-style-language/schema/raw/master/csl-citation.json"} </w:instrText>
            </w:r>
            <w:r w:rsidRPr="004817FD">
              <w:rPr>
                <w:rFonts w:ascii="Arial" w:hAnsi="Arial" w:cs="Arial"/>
                <w:color w:val="000000" w:themeColor="text1"/>
                <w:sz w:val="16"/>
                <w:szCs w:val="16"/>
              </w:rPr>
              <w:fldChar w:fldCharType="separate"/>
            </w:r>
            <w:r w:rsidRPr="004817FD">
              <w:rPr>
                <w:rFonts w:ascii="Arial" w:hAnsi="Arial" w:cs="Arial"/>
                <w:color w:val="000000" w:themeColor="text1"/>
                <w:sz w:val="16"/>
                <w:szCs w:val="16"/>
              </w:rPr>
              <w:t>(Rhee et al., 2022)</w:t>
            </w:r>
            <w:r w:rsidRPr="004817FD">
              <w:rPr>
                <w:rFonts w:ascii="Arial" w:hAnsi="Arial" w:cs="Arial"/>
                <w:color w:val="000000" w:themeColor="text1"/>
                <w:sz w:val="16"/>
                <w:szCs w:val="16"/>
              </w:rPr>
              <w:fldChar w:fldCharType="end"/>
            </w:r>
          </w:p>
        </w:tc>
        <w:tc>
          <w:tcPr>
            <w:tcW w:w="1082" w:type="dxa"/>
          </w:tcPr>
          <w:p w14:paraId="68836661" w14:textId="36FAC9E0" w:rsidR="00E915EB" w:rsidRPr="004817FD" w:rsidRDefault="00E915EB" w:rsidP="00E915EB">
            <w:pPr>
              <w:rPr>
                <w:rFonts w:ascii="Arial" w:hAnsi="Arial" w:cs="Arial"/>
                <w:color w:val="000000" w:themeColor="text1"/>
                <w:sz w:val="16"/>
                <w:szCs w:val="16"/>
              </w:rPr>
            </w:pPr>
          </w:p>
        </w:tc>
      </w:tr>
      <w:tr w:rsidR="00E915EB" w:rsidRPr="004817FD" w14:paraId="5273BF2A" w14:textId="13FB81CA" w:rsidTr="00E915EB">
        <w:trPr>
          <w:trHeight w:val="300"/>
        </w:trPr>
        <w:tc>
          <w:tcPr>
            <w:tcW w:w="1384" w:type="dxa"/>
            <w:noWrap/>
            <w:hideMark/>
          </w:tcPr>
          <w:p w14:paraId="5687A7DD" w14:textId="1A7CA37E" w:rsidR="00E915EB" w:rsidRPr="004817FD" w:rsidRDefault="00E915EB" w:rsidP="00E915EB">
            <w:pPr>
              <w:rPr>
                <w:rFonts w:ascii="Arial" w:hAnsi="Arial" w:cs="Arial"/>
                <w:color w:val="000000" w:themeColor="text1"/>
                <w:sz w:val="16"/>
                <w:szCs w:val="16"/>
              </w:rPr>
            </w:pPr>
          </w:p>
        </w:tc>
        <w:tc>
          <w:tcPr>
            <w:tcW w:w="747" w:type="dxa"/>
          </w:tcPr>
          <w:p w14:paraId="434450DB" w14:textId="3A98E547" w:rsidR="00E915EB" w:rsidRPr="004817FD" w:rsidRDefault="00E915EB" w:rsidP="00E915EB">
            <w:pPr>
              <w:jc w:val="center"/>
              <w:rPr>
                <w:rFonts w:ascii="Arial" w:hAnsi="Arial" w:cs="Arial"/>
                <w:color w:val="000000" w:themeColor="text1"/>
                <w:sz w:val="16"/>
                <w:szCs w:val="16"/>
              </w:rPr>
            </w:pPr>
          </w:p>
        </w:tc>
        <w:tc>
          <w:tcPr>
            <w:tcW w:w="852" w:type="dxa"/>
            <w:noWrap/>
            <w:hideMark/>
          </w:tcPr>
          <w:p w14:paraId="2D3F9EA1" w14:textId="6FBCAC05" w:rsidR="00E915EB" w:rsidRPr="004817FD" w:rsidRDefault="00E915EB" w:rsidP="00E915EB">
            <w:pPr>
              <w:jc w:val="center"/>
              <w:rPr>
                <w:rFonts w:ascii="Arial" w:hAnsi="Arial" w:cs="Arial"/>
                <w:color w:val="000000" w:themeColor="text1"/>
                <w:sz w:val="16"/>
                <w:szCs w:val="16"/>
              </w:rPr>
            </w:pPr>
            <w:r w:rsidRPr="004817FD">
              <w:rPr>
                <w:rFonts w:ascii="Arial" w:eastAsia="Times New Roman" w:hAnsi="Arial" w:cs="Arial"/>
                <w:color w:val="000000" w:themeColor="text1"/>
                <w:sz w:val="16"/>
                <w:szCs w:val="16"/>
              </w:rPr>
              <w:t>G</w:t>
            </w:r>
          </w:p>
        </w:tc>
        <w:tc>
          <w:tcPr>
            <w:tcW w:w="1143" w:type="dxa"/>
            <w:noWrap/>
            <w:hideMark/>
          </w:tcPr>
          <w:p w14:paraId="7CB55C0E" w14:textId="5052C41A" w:rsidR="00E915EB" w:rsidRPr="004817FD" w:rsidRDefault="00E915EB" w:rsidP="00E915EB">
            <w:pPr>
              <w:rPr>
                <w:rFonts w:ascii="Arial" w:hAnsi="Arial" w:cs="Arial"/>
                <w:color w:val="000000" w:themeColor="text1"/>
                <w:sz w:val="16"/>
                <w:szCs w:val="16"/>
              </w:rPr>
            </w:pPr>
            <w:r w:rsidRPr="004817FD">
              <w:rPr>
                <w:rFonts w:ascii="Arial" w:eastAsia="Times New Roman" w:hAnsi="Arial" w:cs="Arial"/>
                <w:color w:val="000000" w:themeColor="text1"/>
                <w:sz w:val="16"/>
                <w:szCs w:val="16"/>
              </w:rPr>
              <w:t>4 x 10</w:t>
            </w:r>
            <w:r w:rsidRPr="004817FD">
              <w:rPr>
                <w:rFonts w:ascii="Arial" w:eastAsia="Times New Roman" w:hAnsi="Arial" w:cs="Arial"/>
                <w:color w:val="000000" w:themeColor="text1"/>
                <w:sz w:val="16"/>
                <w:szCs w:val="16"/>
                <w:vertAlign w:val="superscript"/>
              </w:rPr>
              <w:t>-8</w:t>
            </w:r>
          </w:p>
        </w:tc>
        <w:tc>
          <w:tcPr>
            <w:tcW w:w="973" w:type="dxa"/>
          </w:tcPr>
          <w:p w14:paraId="15E23AF5" w14:textId="3B6E64E2" w:rsidR="00E915EB" w:rsidRPr="004817FD" w:rsidRDefault="00E915EB" w:rsidP="00E915EB">
            <w:pPr>
              <w:jc w:val="center"/>
              <w:rPr>
                <w:rFonts w:ascii="Arial" w:hAnsi="Arial" w:cs="Arial"/>
                <w:sz w:val="16"/>
                <w:szCs w:val="16"/>
              </w:rPr>
            </w:pPr>
            <w:r>
              <w:rPr>
                <w:rFonts w:ascii="Arial" w:hAnsi="Arial" w:cs="Arial"/>
                <w:sz w:val="16"/>
                <w:szCs w:val="16"/>
              </w:rPr>
              <w:t>0.35</w:t>
            </w:r>
          </w:p>
        </w:tc>
        <w:tc>
          <w:tcPr>
            <w:tcW w:w="1084" w:type="dxa"/>
            <w:noWrap/>
            <w:hideMark/>
          </w:tcPr>
          <w:p w14:paraId="1D599F23" w14:textId="496E5A29" w:rsidR="00E915EB" w:rsidRPr="004817FD" w:rsidRDefault="00E915EB" w:rsidP="00E915EB">
            <w:pPr>
              <w:jc w:val="center"/>
              <w:rPr>
                <w:rFonts w:cstheme="minorHAnsi"/>
                <w:sz w:val="16"/>
                <w:szCs w:val="16"/>
              </w:rPr>
            </w:pPr>
            <w:r w:rsidRPr="004817FD">
              <w:rPr>
                <w:rFonts w:ascii="Arial" w:hAnsi="Arial" w:cs="Arial"/>
                <w:sz w:val="16"/>
                <w:szCs w:val="16"/>
              </w:rPr>
              <w:t>NA</w:t>
            </w:r>
          </w:p>
        </w:tc>
        <w:tc>
          <w:tcPr>
            <w:tcW w:w="4301" w:type="dxa"/>
            <w:noWrap/>
            <w:hideMark/>
          </w:tcPr>
          <w:p w14:paraId="73203522" w14:textId="1B4426E3" w:rsidR="00E915EB" w:rsidRPr="004817FD" w:rsidRDefault="00E915EB" w:rsidP="00E915EB">
            <w:pPr>
              <w:rPr>
                <w:rFonts w:ascii="Arial" w:hAnsi="Arial" w:cs="Arial"/>
                <w:color w:val="000000" w:themeColor="text1"/>
                <w:sz w:val="16"/>
                <w:szCs w:val="16"/>
              </w:rPr>
            </w:pPr>
            <w:r w:rsidRPr="004817FD">
              <w:rPr>
                <w:rFonts w:ascii="Arial" w:eastAsia="Times New Roman" w:hAnsi="Arial" w:cs="Arial"/>
                <w:color w:val="000000" w:themeColor="text1"/>
                <w:sz w:val="16"/>
                <w:szCs w:val="16"/>
              </w:rPr>
              <w:t>Youthful appearance (self-reported)</w:t>
            </w:r>
          </w:p>
        </w:tc>
        <w:tc>
          <w:tcPr>
            <w:tcW w:w="3109" w:type="dxa"/>
            <w:noWrap/>
            <w:hideMark/>
          </w:tcPr>
          <w:p w14:paraId="35A33D4F" w14:textId="580A2909" w:rsidR="00E915EB" w:rsidRPr="004817FD" w:rsidRDefault="00E915EB" w:rsidP="00E915EB">
            <w:pPr>
              <w:rPr>
                <w:rFonts w:ascii="Arial" w:hAnsi="Arial" w:cs="Arial"/>
                <w:color w:val="000000" w:themeColor="text1"/>
                <w:sz w:val="16"/>
                <w:szCs w:val="16"/>
              </w:rPr>
            </w:pPr>
            <w:r w:rsidRPr="004817FD">
              <w:rPr>
                <w:rFonts w:ascii="Arial" w:eastAsia="Times New Roman" w:hAnsi="Arial" w:cs="Arial"/>
                <w:color w:val="000000" w:themeColor="text1"/>
                <w:sz w:val="16"/>
                <w:szCs w:val="16"/>
              </w:rPr>
              <w:fldChar w:fldCharType="begin"/>
            </w:r>
            <w:r>
              <w:rPr>
                <w:rFonts w:ascii="Arial" w:eastAsia="Times New Roman" w:hAnsi="Arial" w:cs="Arial"/>
                <w:color w:val="000000" w:themeColor="text1"/>
                <w:sz w:val="16"/>
                <w:szCs w:val="16"/>
              </w:rPr>
              <w:instrText xml:space="preserve"> ADDIN ZOTERO_ITEM CSL_CITATION {"citationID":"UBNiMtkV","properties":{"formattedCitation":"(Roberts et al., 2020)","plainCitation":"(Roberts et al., 2020)","noteIndex":0},"citationItems":[{"id":"8dHjENI5/L2W4R4Ct","uris":["http://zotero.org/users/9763947/items/Q43J4CR5"],"itemData":{"id":328,"type":"article-journal","abstract":"Failure of dermal protection or repair mechanisms might lead to visibly aged skin. The study aimed to identify genetic associations with perceived age. A genome-wide association study was undertaken in 423,992 adult participants of UK Biobank, using questionnaire data on perceived age and genetic data imputed to the Haplotype Reference Consortium imputation panel. The study identified 74 independently associated genetic loci, to our knowledge previously unreported (P &lt; 5 × 10-8), which were enriched for cell signaling pathways, including the NEK6 and SMAD2 subnetworks. Common genetic variation was estimated to account for 14% of variation in perceived age, and the heritability of perceived age was partially shared with that of 75 other traits, including multiple traits representing adiposity, suggesting that perceived age may be a useful proxy trait in genetic association studies.","container-title":"The Journal of Investigative Dermatology","DOI":"10.1016/j.jid.2020.03.970","ISSN":"1523-1747","issue":"12","journalAbbreviation":"J Invest Dermatol","language":"eng","note":"PMID: 32339537\nPMCID: PMC7685007","page":"2380-2385","source":"PubMed","title":"Genome-Wide Association Study Identifies Genetic Associations with Perceived Age","volume":"140","author":[{"family":"Roberts","given":"Victoria"},{"family":"Main","given":"Barry"},{"family":"Timpson","given":"Nicholas J."},{"family":"Haworth","given":"Simon"}],"issued":{"date-parts":[["2020",12]]}}}],"schema":"https://github.com/citation-style-language/schema/raw/master/csl-citation.json"} </w:instrText>
            </w:r>
            <w:r w:rsidRPr="004817FD">
              <w:rPr>
                <w:rFonts w:ascii="Arial" w:eastAsia="Times New Roman" w:hAnsi="Arial" w:cs="Arial"/>
                <w:color w:val="000000" w:themeColor="text1"/>
                <w:sz w:val="16"/>
                <w:szCs w:val="16"/>
              </w:rPr>
              <w:fldChar w:fldCharType="separate"/>
            </w:r>
            <w:r w:rsidRPr="004817FD">
              <w:rPr>
                <w:rFonts w:ascii="Arial" w:hAnsi="Arial" w:cs="Arial"/>
                <w:color w:val="000000" w:themeColor="text1"/>
                <w:sz w:val="16"/>
                <w:szCs w:val="16"/>
              </w:rPr>
              <w:t>(Roberts et al., 2020)</w:t>
            </w:r>
            <w:r w:rsidRPr="004817FD">
              <w:rPr>
                <w:rFonts w:ascii="Arial" w:eastAsia="Times New Roman" w:hAnsi="Arial" w:cs="Arial"/>
                <w:color w:val="000000" w:themeColor="text1"/>
                <w:sz w:val="16"/>
                <w:szCs w:val="16"/>
              </w:rPr>
              <w:fldChar w:fldCharType="end"/>
            </w:r>
          </w:p>
        </w:tc>
        <w:tc>
          <w:tcPr>
            <w:tcW w:w="1082" w:type="dxa"/>
          </w:tcPr>
          <w:p w14:paraId="32AEE119" w14:textId="4E1F7442" w:rsidR="00E915EB" w:rsidRPr="004817FD" w:rsidRDefault="00E915EB" w:rsidP="00E915EB">
            <w:pPr>
              <w:rPr>
                <w:rFonts w:ascii="Arial" w:hAnsi="Arial" w:cs="Arial"/>
                <w:color w:val="000000" w:themeColor="text1"/>
                <w:sz w:val="16"/>
                <w:szCs w:val="16"/>
              </w:rPr>
            </w:pPr>
          </w:p>
        </w:tc>
      </w:tr>
      <w:tr w:rsidR="00E915EB" w:rsidRPr="004817FD" w14:paraId="260E55B7" w14:textId="79FE5731" w:rsidTr="00E915EB">
        <w:trPr>
          <w:trHeight w:val="300"/>
        </w:trPr>
        <w:tc>
          <w:tcPr>
            <w:tcW w:w="1384" w:type="dxa"/>
            <w:noWrap/>
          </w:tcPr>
          <w:p w14:paraId="3D798254" w14:textId="5AEE6726" w:rsidR="00E915EB" w:rsidRPr="004817FD" w:rsidRDefault="00E915EB" w:rsidP="00E915EB">
            <w:pPr>
              <w:rPr>
                <w:rFonts w:ascii="Arial" w:hAnsi="Arial" w:cs="Arial"/>
                <w:color w:val="000000" w:themeColor="text1"/>
                <w:sz w:val="16"/>
                <w:szCs w:val="16"/>
              </w:rPr>
            </w:pPr>
          </w:p>
        </w:tc>
        <w:tc>
          <w:tcPr>
            <w:tcW w:w="747" w:type="dxa"/>
          </w:tcPr>
          <w:p w14:paraId="34434D26" w14:textId="77777777" w:rsidR="00E915EB" w:rsidRPr="004817FD" w:rsidRDefault="00E915EB" w:rsidP="00E915EB">
            <w:pPr>
              <w:jc w:val="center"/>
              <w:rPr>
                <w:rFonts w:ascii="Arial" w:hAnsi="Arial" w:cs="Arial"/>
                <w:color w:val="000000" w:themeColor="text1"/>
                <w:sz w:val="16"/>
                <w:szCs w:val="16"/>
              </w:rPr>
            </w:pPr>
          </w:p>
        </w:tc>
        <w:tc>
          <w:tcPr>
            <w:tcW w:w="852" w:type="dxa"/>
            <w:noWrap/>
          </w:tcPr>
          <w:p w14:paraId="7989A2B5" w14:textId="66466C54" w:rsidR="00E915EB" w:rsidRPr="004817FD" w:rsidRDefault="00E915EB" w:rsidP="00E915EB">
            <w:pPr>
              <w:jc w:val="center"/>
              <w:rPr>
                <w:rFonts w:ascii="Arial" w:hAnsi="Arial" w:cs="Arial"/>
                <w:color w:val="000000" w:themeColor="text1"/>
                <w:sz w:val="16"/>
                <w:szCs w:val="16"/>
              </w:rPr>
            </w:pPr>
            <w:r w:rsidRPr="004817FD">
              <w:rPr>
                <w:rFonts w:ascii="Arial" w:eastAsia="Times New Roman" w:hAnsi="Arial" w:cs="Arial"/>
                <w:color w:val="000000" w:themeColor="text1"/>
                <w:sz w:val="16"/>
                <w:szCs w:val="16"/>
              </w:rPr>
              <w:t>G</w:t>
            </w:r>
          </w:p>
        </w:tc>
        <w:tc>
          <w:tcPr>
            <w:tcW w:w="1143" w:type="dxa"/>
            <w:noWrap/>
          </w:tcPr>
          <w:p w14:paraId="303403EC" w14:textId="1CA526B4" w:rsidR="00E915EB" w:rsidRPr="004817FD" w:rsidRDefault="00E915EB" w:rsidP="00E915EB">
            <w:pPr>
              <w:rPr>
                <w:rFonts w:ascii="Arial" w:hAnsi="Arial" w:cs="Arial"/>
                <w:color w:val="000000" w:themeColor="text1"/>
                <w:sz w:val="16"/>
                <w:szCs w:val="16"/>
              </w:rPr>
            </w:pPr>
            <w:r w:rsidRPr="004817FD">
              <w:rPr>
                <w:rFonts w:ascii="Arial" w:eastAsia="Times New Roman" w:hAnsi="Arial" w:cs="Arial"/>
                <w:color w:val="000000" w:themeColor="text1"/>
                <w:sz w:val="16"/>
                <w:szCs w:val="16"/>
              </w:rPr>
              <w:t>6 x 10</w:t>
            </w:r>
            <w:r w:rsidRPr="004817FD">
              <w:rPr>
                <w:rFonts w:ascii="Arial" w:eastAsia="Times New Roman" w:hAnsi="Arial" w:cs="Arial"/>
                <w:color w:val="000000" w:themeColor="text1"/>
                <w:sz w:val="16"/>
                <w:szCs w:val="16"/>
                <w:vertAlign w:val="superscript"/>
              </w:rPr>
              <w:t>-21</w:t>
            </w:r>
          </w:p>
        </w:tc>
        <w:tc>
          <w:tcPr>
            <w:tcW w:w="973" w:type="dxa"/>
          </w:tcPr>
          <w:p w14:paraId="4CC45AE5" w14:textId="668224D7" w:rsidR="00E915EB" w:rsidRPr="004817FD" w:rsidRDefault="00E915EB" w:rsidP="00E915EB">
            <w:pPr>
              <w:jc w:val="center"/>
              <w:rPr>
                <w:rFonts w:ascii="Arial" w:hAnsi="Arial" w:cs="Arial"/>
                <w:sz w:val="16"/>
                <w:szCs w:val="16"/>
              </w:rPr>
            </w:pPr>
          </w:p>
        </w:tc>
        <w:tc>
          <w:tcPr>
            <w:tcW w:w="1084" w:type="dxa"/>
            <w:noWrap/>
          </w:tcPr>
          <w:p w14:paraId="1F8DB2B3" w14:textId="22FC8699" w:rsidR="00E915EB" w:rsidRPr="004817FD" w:rsidRDefault="00E915EB" w:rsidP="00E915EB">
            <w:pPr>
              <w:jc w:val="center"/>
              <w:rPr>
                <w:rFonts w:cstheme="minorHAnsi"/>
                <w:sz w:val="16"/>
                <w:szCs w:val="16"/>
              </w:rPr>
            </w:pPr>
            <w:r w:rsidRPr="004817FD">
              <w:rPr>
                <w:rFonts w:cstheme="minorHAnsi"/>
                <w:sz w:val="16"/>
                <w:szCs w:val="16"/>
              </w:rPr>
              <w:t>↓</w:t>
            </w:r>
          </w:p>
        </w:tc>
        <w:tc>
          <w:tcPr>
            <w:tcW w:w="4301" w:type="dxa"/>
            <w:noWrap/>
          </w:tcPr>
          <w:p w14:paraId="0704D6CC" w14:textId="55B949D8" w:rsidR="00E915EB" w:rsidRPr="004817FD" w:rsidRDefault="00E915EB" w:rsidP="00E915EB">
            <w:pPr>
              <w:rPr>
                <w:rFonts w:ascii="Arial" w:hAnsi="Arial" w:cs="Arial"/>
                <w:color w:val="000000" w:themeColor="text1"/>
                <w:sz w:val="16"/>
                <w:szCs w:val="16"/>
              </w:rPr>
            </w:pPr>
            <w:r w:rsidRPr="004817FD">
              <w:rPr>
                <w:rFonts w:ascii="Arial" w:eastAsia="Times New Roman" w:hAnsi="Arial" w:cs="Arial"/>
                <w:color w:val="000000" w:themeColor="text1"/>
                <w:sz w:val="16"/>
                <w:szCs w:val="16"/>
              </w:rPr>
              <w:t>Urinary metabolite levels in chronic kidney disease</w:t>
            </w:r>
          </w:p>
        </w:tc>
        <w:tc>
          <w:tcPr>
            <w:tcW w:w="3109" w:type="dxa"/>
            <w:noWrap/>
          </w:tcPr>
          <w:p w14:paraId="5FB10B60" w14:textId="44DC1FC6" w:rsidR="00E915EB" w:rsidRPr="004817FD" w:rsidRDefault="00E915EB" w:rsidP="00E915EB">
            <w:pPr>
              <w:rPr>
                <w:rFonts w:ascii="Arial" w:hAnsi="Arial" w:cs="Arial"/>
                <w:color w:val="000000" w:themeColor="text1"/>
                <w:sz w:val="16"/>
                <w:szCs w:val="16"/>
              </w:rPr>
            </w:pPr>
            <w:r w:rsidRPr="004817FD">
              <w:rPr>
                <w:rFonts w:ascii="Arial" w:eastAsia="Times New Roman" w:hAnsi="Arial" w:cs="Arial"/>
                <w:color w:val="000000" w:themeColor="text1"/>
                <w:sz w:val="16"/>
                <w:szCs w:val="16"/>
              </w:rPr>
              <w:fldChar w:fldCharType="begin"/>
            </w:r>
            <w:r>
              <w:rPr>
                <w:rFonts w:ascii="Arial" w:eastAsia="Times New Roman" w:hAnsi="Arial" w:cs="Arial"/>
                <w:color w:val="000000" w:themeColor="text1"/>
                <w:sz w:val="16"/>
                <w:szCs w:val="16"/>
              </w:rPr>
              <w:instrText xml:space="preserve"> ADDIN ZOTERO_ITEM CSL_CITATION {"citationID":"1EW5HCz7","properties":{"formattedCitation":"(Schlosser et al., 2020)","plainCitation":"(Schlosser et al., 2020)","noteIndex":0},"citationItems":[{"id":"8dHjENI5/EWWs8qTS","uris":["http://zotero.org/users/9763947/items/B8LZW9V2"],"itemData":{"id":331,"type":"article-journal","abstract":"The kidneys integrate information from continuous systemic processes related to the absorption, distribution, metabolism and excretion (ADME) of metabolites. To identify underlying molecular mechanisms, we performed genome-wide association studies of the urinary concentrations of 1,172 metabolites among 1,627 patients with reduced kidney function. The 240 unique metabolite-locus associations (metabolite quantitative trait loci, mQTLs) that were identified and replicated highlight novel candidate substrates for transport proteins. The identified genes are enriched in ADME-relevant tissues and cell types, and they reveal novel candidates for biotransformation and detoxification reactions. Fine mapping of mQTLs and integration with single-cell gene expression permitted the prioritization of causal genes, functional variants and target cell types. The combination of mQTLs with genetic and health information from 450,000 UK Biobank participants illuminated metabolic mediators, and hence, novel urinary biomarkers of disease risk. This comprehensive resource of genetic targets and their substrates is informative for ADME processes in humans and is relevant to basic science, clinical medicine and pharmaceutical research.","container-title":"Nature Genetics","DOI":"10.1038/s41588-019-0567-8","ISSN":"1546-1718","issue":"2","journalAbbreviation":"Nat Genet","language":"eng","note":"PMID: 31959995\nPMCID: PMC7484970","page":"167-176","source":"PubMed","title":"Genetic studies of urinary metabolites illuminate mechanisms of detoxification and excretion in humans","volume":"52","author":[{"family":"Schlosser","given":"Pascal"},{"family":"Li","given":"Yong"},{"family":"Sekula","given":"Peggy"},{"family":"Raffler","given":"Johannes"},{"family":"Grundner-Culemann","given":"Franziska"},{"family":"Pietzner","given":"Maik"},{"family":"Cheng","given":"Yurong"},{"family":"Wuttke","given":"Matthias"},{"family":"Steinbrenner","given":"Inga"},{"family":"Schultheiss","given":"Ulla T."},{"family":"Kotsis","given":"Fruzsina"},{"family":"Kacprowski","given":"Tim"},{"family":"Forer","given":"Lukas"},{"family":"Hausknecht","given":"Birgit"},{"family":"Ekici","given":"Arif B."},{"family":"Nauck","given":"Matthias"},{"family":"Völker","given":"Uwe"},{"literal":"GCKD Investigators"},{"family":"Walz","given":"Gerd"},{"family":"Oefner","given":"Peter J."},{"family":"Kronenberg","given":"Florian"},{"family":"Mohney","given":"Robert P."},{"family":"Köttgen","given":"Michael"},{"family":"Suhre","given":"Karsten"},{"family":"Eckardt","given":"Kai-Uwe"},{"family":"Kastenmüller","given":"Gabi"},{"family":"Köttgen","given":"Anna"}],"issued":{"date-parts":[["2020",2]]}}}],"schema":"https://github.com/citation-style-language/schema/raw/master/csl-citation.json"} </w:instrText>
            </w:r>
            <w:r w:rsidRPr="004817FD">
              <w:rPr>
                <w:rFonts w:ascii="Arial" w:eastAsia="Times New Roman" w:hAnsi="Arial" w:cs="Arial"/>
                <w:color w:val="000000" w:themeColor="text1"/>
                <w:sz w:val="16"/>
                <w:szCs w:val="16"/>
              </w:rPr>
              <w:fldChar w:fldCharType="separate"/>
            </w:r>
            <w:r w:rsidRPr="004817FD">
              <w:rPr>
                <w:rFonts w:ascii="Arial" w:hAnsi="Arial" w:cs="Arial"/>
                <w:color w:val="000000" w:themeColor="text1"/>
                <w:sz w:val="16"/>
                <w:szCs w:val="16"/>
              </w:rPr>
              <w:t>(Schlosser et al., 2020)</w:t>
            </w:r>
            <w:r w:rsidRPr="004817FD">
              <w:rPr>
                <w:rFonts w:ascii="Arial" w:eastAsia="Times New Roman" w:hAnsi="Arial" w:cs="Arial"/>
                <w:color w:val="000000" w:themeColor="text1"/>
                <w:sz w:val="16"/>
                <w:szCs w:val="16"/>
              </w:rPr>
              <w:fldChar w:fldCharType="end"/>
            </w:r>
          </w:p>
        </w:tc>
        <w:tc>
          <w:tcPr>
            <w:tcW w:w="1082" w:type="dxa"/>
          </w:tcPr>
          <w:p w14:paraId="2D63EE36" w14:textId="27BBF8AC" w:rsidR="00E915EB" w:rsidRPr="004817FD" w:rsidRDefault="00E915EB" w:rsidP="00E915EB">
            <w:pPr>
              <w:rPr>
                <w:rFonts w:ascii="Arial" w:hAnsi="Arial" w:cs="Arial"/>
                <w:color w:val="000000" w:themeColor="text1"/>
                <w:sz w:val="16"/>
                <w:szCs w:val="16"/>
              </w:rPr>
            </w:pPr>
          </w:p>
        </w:tc>
      </w:tr>
      <w:tr w:rsidR="00E915EB" w:rsidRPr="004817FD" w14:paraId="77D2FCBC" w14:textId="6DB64762" w:rsidTr="00E915EB">
        <w:trPr>
          <w:trHeight w:val="300"/>
        </w:trPr>
        <w:tc>
          <w:tcPr>
            <w:tcW w:w="1384" w:type="dxa"/>
            <w:tcBorders>
              <w:top w:val="single" w:sz="4" w:space="0" w:color="auto"/>
            </w:tcBorders>
            <w:noWrap/>
          </w:tcPr>
          <w:p w14:paraId="0EFB2048" w14:textId="4A2989D2" w:rsidR="00E915EB" w:rsidRPr="004817FD" w:rsidRDefault="00E915EB" w:rsidP="00E915EB">
            <w:pPr>
              <w:rPr>
                <w:rFonts w:ascii="Arial" w:hAnsi="Arial" w:cs="Arial"/>
                <w:color w:val="000000" w:themeColor="text1"/>
                <w:sz w:val="16"/>
                <w:szCs w:val="16"/>
              </w:rPr>
            </w:pPr>
            <w:r w:rsidRPr="004817FD">
              <w:rPr>
                <w:rFonts w:ascii="Arial" w:eastAsia="Times New Roman" w:hAnsi="Arial" w:cs="Arial"/>
                <w:color w:val="000000" w:themeColor="text1"/>
                <w:sz w:val="16"/>
                <w:szCs w:val="16"/>
              </w:rPr>
              <w:t>rs1495743</w:t>
            </w:r>
          </w:p>
        </w:tc>
        <w:tc>
          <w:tcPr>
            <w:tcW w:w="747" w:type="dxa"/>
            <w:tcBorders>
              <w:top w:val="single" w:sz="4" w:space="0" w:color="auto"/>
            </w:tcBorders>
          </w:tcPr>
          <w:p w14:paraId="58E1D167" w14:textId="36991E52" w:rsidR="00E915EB" w:rsidRPr="004817FD" w:rsidRDefault="00E915EB" w:rsidP="00E915EB">
            <w:pPr>
              <w:jc w:val="center"/>
              <w:rPr>
                <w:rFonts w:ascii="Arial" w:hAnsi="Arial" w:cs="Arial"/>
                <w:color w:val="000000" w:themeColor="text1"/>
                <w:sz w:val="16"/>
                <w:szCs w:val="16"/>
              </w:rPr>
            </w:pPr>
            <w:r w:rsidRPr="004817FD">
              <w:rPr>
                <w:rFonts w:ascii="Arial" w:hAnsi="Arial" w:cs="Arial"/>
                <w:color w:val="000000" w:themeColor="text1"/>
                <w:sz w:val="16"/>
                <w:szCs w:val="16"/>
              </w:rPr>
              <w:t>Non-coding</w:t>
            </w:r>
          </w:p>
        </w:tc>
        <w:tc>
          <w:tcPr>
            <w:tcW w:w="852" w:type="dxa"/>
            <w:tcBorders>
              <w:top w:val="single" w:sz="4" w:space="0" w:color="auto"/>
            </w:tcBorders>
            <w:noWrap/>
          </w:tcPr>
          <w:p w14:paraId="5312129E" w14:textId="0E4A3FFE" w:rsidR="00E915EB" w:rsidRPr="004817FD" w:rsidRDefault="00E915EB" w:rsidP="00E915EB">
            <w:pPr>
              <w:jc w:val="center"/>
              <w:rPr>
                <w:rFonts w:ascii="Arial" w:hAnsi="Arial" w:cs="Arial"/>
                <w:color w:val="000000" w:themeColor="text1"/>
                <w:sz w:val="16"/>
                <w:szCs w:val="16"/>
              </w:rPr>
            </w:pPr>
            <w:r w:rsidRPr="004817FD">
              <w:rPr>
                <w:rFonts w:ascii="Arial" w:hAnsi="Arial" w:cs="Arial"/>
                <w:sz w:val="16"/>
                <w:szCs w:val="16"/>
              </w:rPr>
              <w:t>NR</w:t>
            </w:r>
          </w:p>
        </w:tc>
        <w:tc>
          <w:tcPr>
            <w:tcW w:w="1143" w:type="dxa"/>
            <w:tcBorders>
              <w:top w:val="single" w:sz="4" w:space="0" w:color="auto"/>
            </w:tcBorders>
            <w:noWrap/>
          </w:tcPr>
          <w:p w14:paraId="77611488" w14:textId="2D5BFFBC" w:rsidR="00E915EB" w:rsidRPr="004817FD" w:rsidRDefault="00E915EB" w:rsidP="00E915EB">
            <w:pPr>
              <w:rPr>
                <w:rFonts w:ascii="Arial" w:hAnsi="Arial" w:cs="Arial"/>
                <w:color w:val="000000" w:themeColor="text1"/>
                <w:sz w:val="16"/>
                <w:szCs w:val="16"/>
              </w:rPr>
            </w:pPr>
            <w:r w:rsidRPr="004817FD">
              <w:rPr>
                <w:rFonts w:ascii="Arial" w:eastAsia="Times New Roman" w:hAnsi="Arial" w:cs="Arial"/>
                <w:color w:val="000000" w:themeColor="text1"/>
                <w:sz w:val="16"/>
                <w:szCs w:val="16"/>
              </w:rPr>
              <w:t>6 x 10</w:t>
            </w:r>
            <w:r w:rsidRPr="004817FD">
              <w:rPr>
                <w:rFonts w:ascii="Arial" w:eastAsia="Times New Roman" w:hAnsi="Arial" w:cs="Arial"/>
                <w:color w:val="000000" w:themeColor="text1"/>
                <w:sz w:val="16"/>
                <w:szCs w:val="16"/>
                <w:vertAlign w:val="superscript"/>
              </w:rPr>
              <w:t>-16</w:t>
            </w:r>
          </w:p>
        </w:tc>
        <w:tc>
          <w:tcPr>
            <w:tcW w:w="973" w:type="dxa"/>
            <w:tcBorders>
              <w:top w:val="single" w:sz="4" w:space="0" w:color="auto"/>
            </w:tcBorders>
          </w:tcPr>
          <w:p w14:paraId="60FB0D60" w14:textId="1CFA2B7D" w:rsidR="00E915EB" w:rsidRPr="004817FD" w:rsidRDefault="00E915EB" w:rsidP="00E915EB">
            <w:pPr>
              <w:jc w:val="center"/>
              <w:rPr>
                <w:rFonts w:ascii="Arial" w:hAnsi="Arial" w:cs="Arial"/>
                <w:sz w:val="16"/>
                <w:szCs w:val="16"/>
              </w:rPr>
            </w:pPr>
            <w:r>
              <w:rPr>
                <w:rFonts w:ascii="Arial" w:hAnsi="Arial" w:cs="Arial"/>
                <w:sz w:val="16"/>
                <w:szCs w:val="16"/>
              </w:rPr>
              <w:t>-</w:t>
            </w:r>
          </w:p>
        </w:tc>
        <w:tc>
          <w:tcPr>
            <w:tcW w:w="1084" w:type="dxa"/>
            <w:tcBorders>
              <w:top w:val="single" w:sz="4" w:space="0" w:color="auto"/>
            </w:tcBorders>
            <w:noWrap/>
          </w:tcPr>
          <w:p w14:paraId="3C62521C" w14:textId="23DFEFB1" w:rsidR="00E915EB" w:rsidRPr="004817FD" w:rsidRDefault="00E915EB" w:rsidP="00E915EB">
            <w:pPr>
              <w:jc w:val="center"/>
              <w:rPr>
                <w:rFonts w:cstheme="minorHAnsi"/>
                <w:color w:val="000000" w:themeColor="text1"/>
                <w:sz w:val="16"/>
                <w:szCs w:val="16"/>
              </w:rPr>
            </w:pPr>
            <w:r w:rsidRPr="004817FD">
              <w:rPr>
                <w:rFonts w:cstheme="minorHAnsi"/>
                <w:sz w:val="16"/>
                <w:szCs w:val="16"/>
              </w:rPr>
              <w:t>↓</w:t>
            </w:r>
          </w:p>
        </w:tc>
        <w:tc>
          <w:tcPr>
            <w:tcW w:w="4301" w:type="dxa"/>
            <w:tcBorders>
              <w:top w:val="single" w:sz="4" w:space="0" w:color="auto"/>
            </w:tcBorders>
            <w:noWrap/>
          </w:tcPr>
          <w:p w14:paraId="22D4C485" w14:textId="06D201A8" w:rsidR="00E915EB" w:rsidRPr="004817FD" w:rsidRDefault="00E915EB" w:rsidP="00E915EB">
            <w:pPr>
              <w:rPr>
                <w:rFonts w:ascii="Arial" w:hAnsi="Arial" w:cs="Arial"/>
                <w:color w:val="000000" w:themeColor="text1"/>
                <w:sz w:val="16"/>
                <w:szCs w:val="16"/>
              </w:rPr>
            </w:pPr>
            <w:r w:rsidRPr="004817FD">
              <w:rPr>
                <w:rFonts w:ascii="Arial" w:eastAsia="Times New Roman" w:hAnsi="Arial" w:cs="Arial"/>
                <w:color w:val="000000" w:themeColor="text1"/>
                <w:sz w:val="16"/>
                <w:szCs w:val="16"/>
              </w:rPr>
              <w:t>Serum metabolite levels (1-methylxanthine)</w:t>
            </w:r>
          </w:p>
        </w:tc>
        <w:tc>
          <w:tcPr>
            <w:tcW w:w="3109" w:type="dxa"/>
            <w:tcBorders>
              <w:top w:val="single" w:sz="4" w:space="0" w:color="auto"/>
            </w:tcBorders>
            <w:noWrap/>
          </w:tcPr>
          <w:p w14:paraId="5783D6C4" w14:textId="37BD8097" w:rsidR="00E915EB" w:rsidRPr="004817FD" w:rsidRDefault="00E915EB" w:rsidP="00E915EB">
            <w:pPr>
              <w:rPr>
                <w:rFonts w:ascii="Arial" w:hAnsi="Arial" w:cs="Arial"/>
                <w:color w:val="000000" w:themeColor="text1"/>
                <w:sz w:val="16"/>
                <w:szCs w:val="16"/>
              </w:rPr>
            </w:pPr>
            <w:r w:rsidRPr="004817FD">
              <w:rPr>
                <w:rFonts w:ascii="Arial" w:eastAsia="Times New Roman" w:hAnsi="Arial" w:cs="Arial"/>
                <w:color w:val="000000" w:themeColor="text1"/>
                <w:sz w:val="16"/>
                <w:szCs w:val="16"/>
              </w:rPr>
              <w:fldChar w:fldCharType="begin"/>
            </w:r>
            <w:r>
              <w:rPr>
                <w:rFonts w:ascii="Arial" w:eastAsia="Times New Roman" w:hAnsi="Arial" w:cs="Arial"/>
                <w:color w:val="000000" w:themeColor="text1"/>
                <w:sz w:val="16"/>
                <w:szCs w:val="16"/>
              </w:rPr>
              <w:instrText xml:space="preserve"> ADDIN ZOTERO_ITEM CSL_CITATION {"citationID":"D8nhfQU1","properties":{"formattedCitation":"(Krumsiek et al., 2012)","plainCitation":"(Krumsiek et al., 2012)","noteIndex":0},"citationItems":[{"id":"8dHjENI5/VxOyHfJt","uris":["http://zotero.org/users/9763947/items/V2FYEHHZ"],"itemData":{"id":334,"type":"article-journal","abstract":"Recent genome-wide association studies (GWAS) with metabolomics data linked genetic variation in the human genome to differences in individual metabolite levels. A strong relevance of this metabolic individuality for biomedical and pharmaceutical research has been reported. However, a considerable amount of the molecules currently quantified by modern metabolomics techniques are chemically unidentified. The identification of these \"unknown metabolites\" is still a demanding and intricate task, limiting their usability as functional markers of metabolic processes. As a consequence, previous GWAS largely ignored unknown metabolites as metabolic traits for the analysis. Here we present a systems-level approach that combines genome-wide association analysis and Gaussian graphical modeling with metabolomics to predict the identity of the unknown metabolites. We apply our method to original data of 517 metabolic traits, of which 225 are unknowns, and genotyping information on 655,658 genetic variants, measured in 1,768 human blood samples. We report previously undescribed genotype-metabotype associations for six distinct gene loci (SLC22A2, COMT, CYP3A5, CYP2C18, GBA3, UGT3A1) and one locus not related to any known gene (rs12413935). Overlaying the inferred genetic associations, metabolic networks, and knowledge-based pathway information, we derive testable hypotheses on the biochemical identities of 106 unknown metabolites. As a proof of principle, we experimentally confirm nine concrete predictions. We demonstrate the benefit of our method for the functional interpretation of previous metabolomics biomarker studies on liver detoxification, hypertension, and insulin resistance. Our approach is generic in nature and can be directly transferred to metabolomics data from different experimental platforms.","container-title":"PLoS genetics","DOI":"10.1371/journal.pgen.1003005","ISSN":"1553-7404","issue":"10","journalAbbreviation":"PLoS Genet","language":"eng","note":"PMID: 23093944\nPMCID: PMC3475673","page":"e1003005","source":"PubMed","title":"Mining the unknown: a systems approach to metabolite identification combining genetic and metabolic information","title-short":"Mining the unknown","volume":"8","author":[{"family":"Krumsiek","given":"Jan"},{"family":"Suhre","given":"Karsten"},{"family":"Evans","given":"Anne M."},{"family":"Mitchell","given":"Matthew W."},{"family":"Mohney","given":"Robert P."},{"family":"Milburn","given":"Michael V."},{"family":"Wägele","given":"Brigitte"},{"family":"Römisch-Margl","given":"Werner"},{"family":"Illig","given":"Thomas"},{"family":"Adamski","given":"Jerzy"},{"family":"Gieger","given":"Christian"},{"family":"Theis","given":"Fabian J."},{"family":"Kastenmüller","given":"Gabi"}],"issued":{"date-parts":[["2012"]]}}}],"schema":"https://github.com/citation-style-language/schema/raw/master/csl-citation.json"} </w:instrText>
            </w:r>
            <w:r w:rsidRPr="004817FD">
              <w:rPr>
                <w:rFonts w:ascii="Arial" w:eastAsia="Times New Roman" w:hAnsi="Arial" w:cs="Arial"/>
                <w:color w:val="000000" w:themeColor="text1"/>
                <w:sz w:val="16"/>
                <w:szCs w:val="16"/>
              </w:rPr>
              <w:fldChar w:fldCharType="separate"/>
            </w:r>
            <w:r w:rsidRPr="004817FD">
              <w:rPr>
                <w:rFonts w:ascii="Arial" w:hAnsi="Arial" w:cs="Arial"/>
                <w:color w:val="000000" w:themeColor="text1"/>
                <w:sz w:val="16"/>
                <w:szCs w:val="16"/>
              </w:rPr>
              <w:t>(Krumsiek et al., 2012)</w:t>
            </w:r>
            <w:r w:rsidRPr="004817FD">
              <w:rPr>
                <w:rFonts w:ascii="Arial" w:eastAsia="Times New Roman" w:hAnsi="Arial" w:cs="Arial"/>
                <w:color w:val="000000" w:themeColor="text1"/>
                <w:sz w:val="16"/>
                <w:szCs w:val="16"/>
              </w:rPr>
              <w:fldChar w:fldCharType="end"/>
            </w:r>
          </w:p>
        </w:tc>
        <w:tc>
          <w:tcPr>
            <w:tcW w:w="1082" w:type="dxa"/>
            <w:tcBorders>
              <w:top w:val="single" w:sz="4" w:space="0" w:color="auto"/>
            </w:tcBorders>
          </w:tcPr>
          <w:p w14:paraId="04DD7C88" w14:textId="79287A45" w:rsidR="00E915EB" w:rsidRPr="004817FD" w:rsidRDefault="00E915EB" w:rsidP="00E915EB">
            <w:pPr>
              <w:rPr>
                <w:rFonts w:ascii="Arial" w:hAnsi="Arial" w:cs="Arial"/>
                <w:color w:val="000000" w:themeColor="text1"/>
                <w:sz w:val="16"/>
                <w:szCs w:val="16"/>
              </w:rPr>
            </w:pPr>
            <w:r w:rsidRPr="004817FD">
              <w:rPr>
                <w:rFonts w:ascii="Arial" w:hAnsi="Arial" w:cs="Arial"/>
                <w:color w:val="000000" w:themeColor="text1"/>
                <w:sz w:val="16"/>
                <w:szCs w:val="16"/>
              </w:rPr>
              <w:t>8:18415371</w:t>
            </w:r>
          </w:p>
        </w:tc>
      </w:tr>
      <w:tr w:rsidR="00E915EB" w:rsidRPr="004817FD" w14:paraId="4A638E29" w14:textId="3FFF1FAF" w:rsidTr="00E915EB">
        <w:trPr>
          <w:trHeight w:val="300"/>
        </w:trPr>
        <w:tc>
          <w:tcPr>
            <w:tcW w:w="1384" w:type="dxa"/>
            <w:noWrap/>
          </w:tcPr>
          <w:p w14:paraId="7436A8D6" w14:textId="2B2D123F" w:rsidR="00E915EB" w:rsidRPr="004817FD" w:rsidRDefault="00E915EB" w:rsidP="00E915EB">
            <w:pPr>
              <w:rPr>
                <w:rFonts w:ascii="Arial" w:hAnsi="Arial" w:cs="Arial"/>
                <w:color w:val="000000" w:themeColor="text1"/>
                <w:sz w:val="16"/>
                <w:szCs w:val="16"/>
              </w:rPr>
            </w:pPr>
          </w:p>
        </w:tc>
        <w:tc>
          <w:tcPr>
            <w:tcW w:w="747" w:type="dxa"/>
          </w:tcPr>
          <w:p w14:paraId="18CA1CC3" w14:textId="7B21C849" w:rsidR="00E915EB" w:rsidRPr="004817FD" w:rsidRDefault="00E915EB" w:rsidP="00E915EB">
            <w:pPr>
              <w:jc w:val="center"/>
              <w:rPr>
                <w:rFonts w:ascii="Arial" w:hAnsi="Arial" w:cs="Arial"/>
                <w:color w:val="000000" w:themeColor="text1"/>
                <w:sz w:val="16"/>
                <w:szCs w:val="16"/>
              </w:rPr>
            </w:pPr>
          </w:p>
        </w:tc>
        <w:tc>
          <w:tcPr>
            <w:tcW w:w="852" w:type="dxa"/>
            <w:noWrap/>
          </w:tcPr>
          <w:p w14:paraId="6FF81359" w14:textId="11159182" w:rsidR="00E915EB" w:rsidRPr="004817FD" w:rsidRDefault="00E915EB" w:rsidP="00E915EB">
            <w:pPr>
              <w:jc w:val="center"/>
              <w:rPr>
                <w:rFonts w:ascii="Arial" w:hAnsi="Arial" w:cs="Arial"/>
                <w:color w:val="000000" w:themeColor="text1"/>
                <w:sz w:val="16"/>
                <w:szCs w:val="16"/>
              </w:rPr>
            </w:pPr>
            <w:r w:rsidRPr="004817FD">
              <w:rPr>
                <w:rFonts w:ascii="Arial" w:hAnsi="Arial" w:cs="Arial"/>
                <w:sz w:val="16"/>
                <w:szCs w:val="16"/>
              </w:rPr>
              <w:t>NR</w:t>
            </w:r>
          </w:p>
        </w:tc>
        <w:tc>
          <w:tcPr>
            <w:tcW w:w="1143" w:type="dxa"/>
            <w:noWrap/>
          </w:tcPr>
          <w:p w14:paraId="1B0B360B" w14:textId="100C8AF6" w:rsidR="00E915EB" w:rsidRPr="004817FD" w:rsidRDefault="00E915EB" w:rsidP="00E915EB">
            <w:pPr>
              <w:rPr>
                <w:rFonts w:ascii="Arial" w:hAnsi="Arial" w:cs="Arial"/>
                <w:color w:val="000000" w:themeColor="text1"/>
                <w:sz w:val="16"/>
                <w:szCs w:val="16"/>
              </w:rPr>
            </w:pPr>
            <w:r w:rsidRPr="004817FD">
              <w:rPr>
                <w:rFonts w:ascii="Arial" w:eastAsia="Times New Roman" w:hAnsi="Arial" w:cs="Arial"/>
                <w:color w:val="000000" w:themeColor="text1"/>
                <w:sz w:val="16"/>
                <w:szCs w:val="16"/>
              </w:rPr>
              <w:t>7 x 10</w:t>
            </w:r>
            <w:r w:rsidRPr="004817FD">
              <w:rPr>
                <w:rFonts w:ascii="Arial" w:eastAsia="Times New Roman" w:hAnsi="Arial" w:cs="Arial"/>
                <w:color w:val="000000" w:themeColor="text1"/>
                <w:sz w:val="16"/>
                <w:szCs w:val="16"/>
                <w:vertAlign w:val="superscript"/>
              </w:rPr>
              <w:t>-9</w:t>
            </w:r>
          </w:p>
        </w:tc>
        <w:tc>
          <w:tcPr>
            <w:tcW w:w="973" w:type="dxa"/>
          </w:tcPr>
          <w:p w14:paraId="310CCF3F" w14:textId="268035FE" w:rsidR="00E915EB" w:rsidRPr="004817FD" w:rsidRDefault="00E915EB" w:rsidP="00E915EB">
            <w:pPr>
              <w:jc w:val="center"/>
              <w:rPr>
                <w:rFonts w:ascii="Arial" w:hAnsi="Arial" w:cs="Arial"/>
                <w:sz w:val="16"/>
                <w:szCs w:val="16"/>
              </w:rPr>
            </w:pPr>
            <w:r>
              <w:rPr>
                <w:rFonts w:ascii="Arial" w:hAnsi="Arial" w:cs="Arial"/>
                <w:sz w:val="16"/>
                <w:szCs w:val="16"/>
              </w:rPr>
              <w:t>-</w:t>
            </w:r>
          </w:p>
        </w:tc>
        <w:tc>
          <w:tcPr>
            <w:tcW w:w="1084" w:type="dxa"/>
            <w:noWrap/>
          </w:tcPr>
          <w:p w14:paraId="60CE853E" w14:textId="1A3CFEEF" w:rsidR="00E915EB" w:rsidRPr="004817FD" w:rsidRDefault="00E915EB" w:rsidP="00E915EB">
            <w:pPr>
              <w:jc w:val="center"/>
              <w:rPr>
                <w:rFonts w:cstheme="minorHAnsi"/>
                <w:color w:val="000000" w:themeColor="text1"/>
                <w:sz w:val="16"/>
                <w:szCs w:val="16"/>
              </w:rPr>
            </w:pPr>
            <w:r w:rsidRPr="004817FD">
              <w:rPr>
                <w:rFonts w:cstheme="minorHAnsi"/>
                <w:sz w:val="16"/>
                <w:szCs w:val="16"/>
              </w:rPr>
              <w:t>↑</w:t>
            </w:r>
          </w:p>
        </w:tc>
        <w:tc>
          <w:tcPr>
            <w:tcW w:w="4301" w:type="dxa"/>
            <w:noWrap/>
          </w:tcPr>
          <w:p w14:paraId="745BD9D9" w14:textId="20DF0C6C" w:rsidR="00E915EB" w:rsidRPr="004817FD" w:rsidRDefault="00E915EB" w:rsidP="00E915EB">
            <w:pPr>
              <w:rPr>
                <w:rFonts w:ascii="Arial" w:hAnsi="Arial" w:cs="Arial"/>
                <w:color w:val="000000" w:themeColor="text1"/>
                <w:sz w:val="16"/>
                <w:szCs w:val="16"/>
              </w:rPr>
            </w:pPr>
            <w:r w:rsidRPr="004817FD">
              <w:rPr>
                <w:rFonts w:ascii="Arial" w:eastAsia="Times New Roman" w:hAnsi="Arial" w:cs="Arial"/>
                <w:color w:val="000000" w:themeColor="text1"/>
                <w:sz w:val="16"/>
                <w:szCs w:val="16"/>
              </w:rPr>
              <w:t>4-acetamidobutanoate levels (serum)</w:t>
            </w:r>
          </w:p>
        </w:tc>
        <w:tc>
          <w:tcPr>
            <w:tcW w:w="3109" w:type="dxa"/>
            <w:noWrap/>
          </w:tcPr>
          <w:p w14:paraId="02C13D91" w14:textId="733F1F98" w:rsidR="00E915EB" w:rsidRPr="004817FD" w:rsidRDefault="00E915EB" w:rsidP="00E915EB">
            <w:pPr>
              <w:rPr>
                <w:rFonts w:ascii="Arial" w:hAnsi="Arial" w:cs="Arial"/>
                <w:color w:val="000000" w:themeColor="text1"/>
                <w:sz w:val="16"/>
                <w:szCs w:val="16"/>
              </w:rPr>
            </w:pPr>
            <w:r w:rsidRPr="004817FD">
              <w:rPr>
                <w:rFonts w:ascii="Arial" w:eastAsia="Times New Roman" w:hAnsi="Arial" w:cs="Arial"/>
                <w:color w:val="000000" w:themeColor="text1"/>
                <w:sz w:val="16"/>
                <w:szCs w:val="16"/>
              </w:rPr>
              <w:fldChar w:fldCharType="begin"/>
            </w:r>
            <w:r>
              <w:rPr>
                <w:rFonts w:ascii="Arial" w:eastAsia="Times New Roman" w:hAnsi="Arial" w:cs="Arial"/>
                <w:color w:val="000000" w:themeColor="text1"/>
                <w:sz w:val="16"/>
                <w:szCs w:val="16"/>
              </w:rPr>
              <w:instrText xml:space="preserve"> ADDIN ZOTERO_ITEM CSL_CITATION {"citationID":"l43quAAv","properties":{"formattedCitation":"(Yet et al., 2016)","plainCitation":"(Yet et al., 2016)","noteIndex":0},"citationItems":[{"id":"8dHjENI5/QdV2z0wo","uris":["http://zotero.org/users/9763947/items/4N8MNLLD"],"itemData":{"id":342,"type":"article-journal","abstract":"Metabolomic profiling is a powerful approach to characterize human metabolism and help understand common disease risk. Although multiple high-throughput technologies have been developed to assay the human metabolome, no technique is capable of capturing the entire human metabolism. Large-scale metabolomics data are being generated in multiple cohorts, but the datasets are typically profiled using different metabolomics platforms. Here, we compared analyses across two of the most frequently used metabolomic platforms, Biocrates and Metabolon, with the aim of assessing how complimentary metabolite profiles are across platforms. We profiled serum samples from 1,001 twins using both targeted (Biocrates, n = 160 metabolites) and non-targeted (Metabolon, n = 488 metabolites) mass spectrometry platforms. We compared metabolite distributions and performed genome-wide association analyses to identify shared genetic influences on metabolites across platforms. Comparison of 43 metabolites named for the same compound on both platforms indicated strong positive correlations, with few exceptions. Genome-wide association scans with high-throughput metabolic profiles were performed for each dataset and identified genetic variants at 7 loci associated with 16 unique metabolites on both platforms. The 16 metabolites showed consistent genetic associations and appear to be robustly measured across platforms. These included both metabolites named for the same compound across platforms as well as unique metabolites, of which 2 (nonanoylcarnitine (C9) [Biocrates]/Unknown metabolite X-13431 [Metabolon] and PC aa C28:1 [Biocrates]/1-stearoylglycerol [Metabolon]) are likely to represent the same or related biochemical entities. The results demonstrate the complementary nature of both platforms, and can be informative for future studies of comparative and integrative metabolomics analyses in samples profiled on different platforms.","container-title":"PloS One","DOI":"10.1371/journal.pone.0153672","ISSN":"1932-6203","issue":"4","journalAbbreviation":"PLoS One","language":"eng","note":"PMID: 27073872\nPMCID: PMC4830611","page":"e0153672","source":"PubMed","title":"Genetic Influences on Metabolite Levels: A Comparison across Metabolomic Platforms","title-short":"Genetic Influences on Metabolite Levels","volume":"11","author":[{"family":"Yet","given":"Idil"},{"family":"Menni","given":"Cristina"},{"family":"Shin","given":"So-Youn"},{"family":"Mangino","given":"Massimo"},{"family":"Soranzo","given":"Nicole"},{"family":"Adamski","given":"Jerzy"},{"family":"Suhre","given":"Karsten"},{"family":"Spector","given":"Tim D."},{"family":"Kastenmüller","given":"Gabi"},{"family":"Bell","given":"Jordana T."}],"issued":{"date-parts":[["2016"]]}}}],"schema":"https://github.com/citation-style-language/schema/raw/master/csl-citation.json"} </w:instrText>
            </w:r>
            <w:r w:rsidRPr="004817FD">
              <w:rPr>
                <w:rFonts w:ascii="Arial" w:eastAsia="Times New Roman" w:hAnsi="Arial" w:cs="Arial"/>
                <w:color w:val="000000" w:themeColor="text1"/>
                <w:sz w:val="16"/>
                <w:szCs w:val="16"/>
              </w:rPr>
              <w:fldChar w:fldCharType="separate"/>
            </w:r>
            <w:r w:rsidRPr="004817FD">
              <w:rPr>
                <w:rFonts w:ascii="Arial" w:hAnsi="Arial" w:cs="Arial"/>
                <w:color w:val="000000" w:themeColor="text1"/>
                <w:sz w:val="16"/>
                <w:szCs w:val="16"/>
              </w:rPr>
              <w:t>(Yet et al., 2016)</w:t>
            </w:r>
            <w:r w:rsidRPr="004817FD">
              <w:rPr>
                <w:rFonts w:ascii="Arial" w:eastAsia="Times New Roman" w:hAnsi="Arial" w:cs="Arial"/>
                <w:color w:val="000000" w:themeColor="text1"/>
                <w:sz w:val="16"/>
                <w:szCs w:val="16"/>
              </w:rPr>
              <w:fldChar w:fldCharType="end"/>
            </w:r>
          </w:p>
        </w:tc>
        <w:tc>
          <w:tcPr>
            <w:tcW w:w="1082" w:type="dxa"/>
          </w:tcPr>
          <w:p w14:paraId="396F51D8" w14:textId="43A5FEDC" w:rsidR="00E915EB" w:rsidRPr="004817FD" w:rsidRDefault="00E915EB" w:rsidP="00E915EB">
            <w:pPr>
              <w:rPr>
                <w:rFonts w:ascii="Arial" w:hAnsi="Arial" w:cs="Arial"/>
                <w:color w:val="000000" w:themeColor="text1"/>
                <w:sz w:val="16"/>
                <w:szCs w:val="16"/>
              </w:rPr>
            </w:pPr>
          </w:p>
        </w:tc>
      </w:tr>
      <w:tr w:rsidR="00E915EB" w:rsidRPr="004817FD" w14:paraId="6F717FCD" w14:textId="7EA39A11" w:rsidTr="00E915EB">
        <w:trPr>
          <w:trHeight w:val="300"/>
        </w:trPr>
        <w:tc>
          <w:tcPr>
            <w:tcW w:w="1384" w:type="dxa"/>
            <w:noWrap/>
          </w:tcPr>
          <w:p w14:paraId="6851945C" w14:textId="2F144437" w:rsidR="00E915EB" w:rsidRPr="004817FD" w:rsidRDefault="00E915EB" w:rsidP="00E915EB">
            <w:pPr>
              <w:rPr>
                <w:rFonts w:ascii="Arial" w:hAnsi="Arial" w:cs="Arial"/>
                <w:color w:val="000000" w:themeColor="text1"/>
                <w:sz w:val="16"/>
                <w:szCs w:val="16"/>
              </w:rPr>
            </w:pPr>
          </w:p>
        </w:tc>
        <w:tc>
          <w:tcPr>
            <w:tcW w:w="747" w:type="dxa"/>
          </w:tcPr>
          <w:p w14:paraId="43924EC7" w14:textId="77777777" w:rsidR="00E915EB" w:rsidRPr="004817FD" w:rsidRDefault="00E915EB" w:rsidP="00E915EB">
            <w:pPr>
              <w:jc w:val="center"/>
              <w:rPr>
                <w:rFonts w:ascii="Arial" w:hAnsi="Arial" w:cs="Arial"/>
                <w:color w:val="000000" w:themeColor="text1"/>
                <w:sz w:val="16"/>
                <w:szCs w:val="16"/>
              </w:rPr>
            </w:pPr>
          </w:p>
        </w:tc>
        <w:tc>
          <w:tcPr>
            <w:tcW w:w="852" w:type="dxa"/>
            <w:noWrap/>
          </w:tcPr>
          <w:p w14:paraId="1CB5799F" w14:textId="3BA45A1E" w:rsidR="00E915EB" w:rsidRPr="004817FD" w:rsidRDefault="00E915EB" w:rsidP="00E915EB">
            <w:pPr>
              <w:jc w:val="center"/>
              <w:rPr>
                <w:rFonts w:ascii="Arial" w:hAnsi="Arial" w:cs="Arial"/>
                <w:color w:val="000000" w:themeColor="text1"/>
                <w:sz w:val="16"/>
                <w:szCs w:val="16"/>
              </w:rPr>
            </w:pPr>
            <w:r w:rsidRPr="004817FD">
              <w:rPr>
                <w:rFonts w:ascii="Arial" w:eastAsia="Times New Roman" w:hAnsi="Arial" w:cs="Arial"/>
                <w:color w:val="000000" w:themeColor="text1"/>
                <w:sz w:val="16"/>
                <w:szCs w:val="16"/>
              </w:rPr>
              <w:t>G</w:t>
            </w:r>
          </w:p>
        </w:tc>
        <w:tc>
          <w:tcPr>
            <w:tcW w:w="1143" w:type="dxa"/>
            <w:noWrap/>
          </w:tcPr>
          <w:p w14:paraId="79078753" w14:textId="52F4927D" w:rsidR="00E915EB" w:rsidRPr="004817FD" w:rsidRDefault="00E915EB" w:rsidP="00E915EB">
            <w:pPr>
              <w:rPr>
                <w:rFonts w:ascii="Arial" w:hAnsi="Arial" w:cs="Arial"/>
                <w:color w:val="000000" w:themeColor="text1"/>
                <w:sz w:val="16"/>
                <w:szCs w:val="16"/>
              </w:rPr>
            </w:pPr>
            <w:r w:rsidRPr="004817FD">
              <w:rPr>
                <w:rFonts w:ascii="Arial" w:eastAsia="Times New Roman" w:hAnsi="Arial" w:cs="Arial"/>
                <w:color w:val="000000" w:themeColor="text1"/>
                <w:sz w:val="16"/>
                <w:szCs w:val="16"/>
              </w:rPr>
              <w:t>2 x 10</w:t>
            </w:r>
            <w:r w:rsidRPr="004817FD">
              <w:rPr>
                <w:rFonts w:ascii="Arial" w:eastAsia="Times New Roman" w:hAnsi="Arial" w:cs="Arial"/>
                <w:color w:val="000000" w:themeColor="text1"/>
                <w:sz w:val="16"/>
                <w:szCs w:val="16"/>
                <w:vertAlign w:val="superscript"/>
              </w:rPr>
              <w:t>-40</w:t>
            </w:r>
          </w:p>
        </w:tc>
        <w:tc>
          <w:tcPr>
            <w:tcW w:w="973" w:type="dxa"/>
          </w:tcPr>
          <w:p w14:paraId="28D4891E" w14:textId="7470CAF7" w:rsidR="00E915EB" w:rsidRPr="004817FD" w:rsidRDefault="00E915EB" w:rsidP="00E915EB">
            <w:pPr>
              <w:jc w:val="center"/>
              <w:rPr>
                <w:rFonts w:ascii="Arial" w:hAnsi="Arial" w:cs="Arial"/>
                <w:sz w:val="16"/>
                <w:szCs w:val="16"/>
              </w:rPr>
            </w:pPr>
            <w:r>
              <w:rPr>
                <w:rFonts w:ascii="Arial" w:hAnsi="Arial" w:cs="Arial"/>
                <w:sz w:val="16"/>
                <w:szCs w:val="16"/>
              </w:rPr>
              <w:t>0.35</w:t>
            </w:r>
          </w:p>
        </w:tc>
        <w:tc>
          <w:tcPr>
            <w:tcW w:w="1084" w:type="dxa"/>
            <w:noWrap/>
          </w:tcPr>
          <w:p w14:paraId="06A659BD" w14:textId="5377751C" w:rsidR="00E915EB" w:rsidRPr="004817FD" w:rsidRDefault="00E915EB" w:rsidP="00E915EB">
            <w:pPr>
              <w:jc w:val="center"/>
              <w:rPr>
                <w:rFonts w:cstheme="minorHAnsi"/>
                <w:color w:val="000000" w:themeColor="text1"/>
                <w:sz w:val="16"/>
                <w:szCs w:val="16"/>
              </w:rPr>
            </w:pPr>
            <w:r w:rsidRPr="004817FD">
              <w:rPr>
                <w:rFonts w:cstheme="minorHAnsi"/>
                <w:sz w:val="16"/>
                <w:szCs w:val="16"/>
              </w:rPr>
              <w:t>↓</w:t>
            </w:r>
          </w:p>
        </w:tc>
        <w:tc>
          <w:tcPr>
            <w:tcW w:w="4301" w:type="dxa"/>
            <w:noWrap/>
          </w:tcPr>
          <w:p w14:paraId="02169DE5" w14:textId="7FAC20C5" w:rsidR="00E915EB" w:rsidRPr="004817FD" w:rsidRDefault="00E915EB" w:rsidP="00E915EB">
            <w:pPr>
              <w:rPr>
                <w:rFonts w:ascii="Arial" w:hAnsi="Arial" w:cs="Arial"/>
                <w:color w:val="000000" w:themeColor="text1"/>
                <w:sz w:val="16"/>
                <w:szCs w:val="16"/>
              </w:rPr>
            </w:pPr>
            <w:r w:rsidRPr="004817FD">
              <w:rPr>
                <w:rFonts w:ascii="Arial" w:eastAsia="Times New Roman" w:hAnsi="Arial" w:cs="Arial"/>
                <w:color w:val="000000" w:themeColor="text1"/>
                <w:sz w:val="16"/>
                <w:szCs w:val="16"/>
              </w:rPr>
              <w:t>Metabolic traits (SM-7 + 11 other traits)</w:t>
            </w:r>
          </w:p>
        </w:tc>
        <w:tc>
          <w:tcPr>
            <w:tcW w:w="3109" w:type="dxa"/>
            <w:noWrap/>
          </w:tcPr>
          <w:p w14:paraId="38B41409" w14:textId="72251E28" w:rsidR="00E915EB" w:rsidRPr="004817FD" w:rsidRDefault="00E915EB" w:rsidP="00E915EB">
            <w:pPr>
              <w:rPr>
                <w:rFonts w:ascii="Arial" w:hAnsi="Arial" w:cs="Arial"/>
                <w:color w:val="000000" w:themeColor="text1"/>
                <w:sz w:val="16"/>
                <w:szCs w:val="16"/>
              </w:rPr>
            </w:pPr>
            <w:r w:rsidRPr="004817FD">
              <w:rPr>
                <w:rFonts w:ascii="Arial" w:eastAsia="Times New Roman" w:hAnsi="Arial" w:cs="Arial"/>
                <w:color w:val="000000" w:themeColor="text1"/>
                <w:sz w:val="16"/>
                <w:szCs w:val="16"/>
              </w:rPr>
              <w:fldChar w:fldCharType="begin"/>
            </w:r>
            <w:r>
              <w:rPr>
                <w:rFonts w:ascii="Arial" w:eastAsia="Times New Roman" w:hAnsi="Arial" w:cs="Arial"/>
                <w:color w:val="000000" w:themeColor="text1"/>
                <w:sz w:val="16"/>
                <w:szCs w:val="16"/>
              </w:rPr>
              <w:instrText xml:space="preserve"> ADDIN ZOTERO_ITEM CSL_CITATION {"citationID":"lGHNCzux","properties":{"formattedCitation":"(Suhre et al., 2011a)","plainCitation":"(Suhre et al., 2011a)","noteIndex":0},"citationItems":[{"id":"8dHjENI5/03aw1vuN","uris":["http://zotero.org/users/9763947/items/4FPJZ3ZY"],"itemData":{"id":351,"type":"article-journal","abstract":"Genome-wide association studies (GWAS) have identified many risk loci for complex diseases, but effect sizes are typically small and information on the underlying biological processes is often lacking. Associations with metabolic traits as functional intermediates can overcome these problems and potentially inform individualized therapy. Here we report a comprehensive analysis of genotype-dependent metabolic phenotypes using a GWAS with non-targeted metabolomics. We identified 37 genetic loci associated with blood metabolite concentrations, of which 25 show effect sizes that are unusually high for GWAS and account for 10-60% differences in metabolite levels per allele copy. Our associations provide new functional insights for many disease-related associations that have been reported in previous studies, including those for cardiovascular and kidney disorders, type 2 diabetes, cancer, gout, venous thromboembolism and Crohn's disease. The study advances our knowledge of the genetic basis of metabolic individuality in humans and generates many new hypotheses for biomedical and pharmaceutical research.","container-title":"Nature","DOI":"10.1038/nature10354","ISSN":"1476-4687","issue":"7362","journalAbbreviation":"Nature","language":"eng","note":"PMID: 21886157\nPMCID: PMC3832838","page":"54-60","source":"PubMed","title":"Human metabolic individuality in biomedical and pharmaceutical research","volume":"477","author":[{"family":"Suhre","given":"Karsten"},{"family":"Shin","given":"So-Youn"},{"family":"Petersen","given":"Ann-Kristin"},{"family":"Mohney","given":"Robert P."},{"family":"Meredith","given":"David"},{"family":"Wägele","given":"Brigitte"},{"family":"Altmaier","given":"Elisabeth"},{"literal":"CARDIoGRAM"},{"family":"Deloukas","given":"Panos"},{"family":"Erdmann","given":"Jeanette"},{"family":"Grundberg","given":"Elin"},{"family":"Hammond","given":"Christopher J."},{"family":"Angelis","given":"Martin Hrabé","non-dropping-particle":"de"},{"family":"Kastenmüller","given":"Gabi"},{"family":"Köttgen","given":"Anna"},{"family":"Kronenberg","given":"Florian"},{"family":"Mangino","given":"Massimo"},{"family":"Meisinger","given":"Christa"},{"family":"Meitinger","given":"Thomas"},{"family":"Mewes","given":"Hans-Werner"},{"family":"Milburn","given":"Michael V."},{"family":"Prehn","given":"Cornelia"},{"family":"Raffler","given":"Johannes"},{"family":"Ried","given":"Janina S."},{"family":"Römisch-Margl","given":"Werner"},{"family":"Samani","given":"Nilesh J."},{"family":"Small","given":"Kerrin S."},{"family":"Wichmann","given":"H.-Erich"},{"family":"Zhai","given":"Guangju"},{"family":"Illig","given":"Thomas"},{"family":"Spector","given":"Tim D."},{"family":"Adamski","given":"Jerzy"},{"family":"Soranzo","given":"Nicole"},{"family":"Gieger","given":"Christian"}],"issued":{"date-parts":[["2011",8,31]]}}}],"schema":"https://github.com/citation-style-language/schema/raw/master/csl-citation.json"} </w:instrText>
            </w:r>
            <w:r w:rsidRPr="004817FD">
              <w:rPr>
                <w:rFonts w:ascii="Arial" w:eastAsia="Times New Roman" w:hAnsi="Arial" w:cs="Arial"/>
                <w:color w:val="000000" w:themeColor="text1"/>
                <w:sz w:val="16"/>
                <w:szCs w:val="16"/>
              </w:rPr>
              <w:fldChar w:fldCharType="separate"/>
            </w:r>
            <w:r w:rsidRPr="004817FD">
              <w:rPr>
                <w:rFonts w:ascii="Arial" w:hAnsi="Arial" w:cs="Arial"/>
                <w:color w:val="000000" w:themeColor="text1"/>
                <w:sz w:val="16"/>
                <w:szCs w:val="16"/>
              </w:rPr>
              <w:t>(Suhre et al., 2011a)</w:t>
            </w:r>
            <w:r w:rsidRPr="004817FD">
              <w:rPr>
                <w:rFonts w:ascii="Arial" w:eastAsia="Times New Roman" w:hAnsi="Arial" w:cs="Arial"/>
                <w:color w:val="000000" w:themeColor="text1"/>
                <w:sz w:val="16"/>
                <w:szCs w:val="16"/>
              </w:rPr>
              <w:fldChar w:fldCharType="end"/>
            </w:r>
          </w:p>
        </w:tc>
        <w:tc>
          <w:tcPr>
            <w:tcW w:w="1082" w:type="dxa"/>
          </w:tcPr>
          <w:p w14:paraId="655A6CC5" w14:textId="522F17AF" w:rsidR="00E915EB" w:rsidRPr="004817FD" w:rsidRDefault="00E915EB" w:rsidP="00E915EB">
            <w:pPr>
              <w:rPr>
                <w:rFonts w:ascii="Arial" w:hAnsi="Arial" w:cs="Arial"/>
                <w:color w:val="000000" w:themeColor="text1"/>
                <w:sz w:val="16"/>
                <w:szCs w:val="16"/>
              </w:rPr>
            </w:pPr>
          </w:p>
        </w:tc>
      </w:tr>
      <w:tr w:rsidR="00E915EB" w:rsidRPr="004817FD" w14:paraId="19EFE2AB" w14:textId="590B9F4D" w:rsidTr="00E915EB">
        <w:trPr>
          <w:trHeight w:val="300"/>
        </w:trPr>
        <w:tc>
          <w:tcPr>
            <w:tcW w:w="1384" w:type="dxa"/>
            <w:tcBorders>
              <w:bottom w:val="single" w:sz="4" w:space="0" w:color="auto"/>
            </w:tcBorders>
            <w:noWrap/>
          </w:tcPr>
          <w:p w14:paraId="7040C6D8" w14:textId="3789BC3C" w:rsidR="00E915EB" w:rsidRPr="004817FD" w:rsidRDefault="00E915EB" w:rsidP="00E915EB">
            <w:pPr>
              <w:rPr>
                <w:rFonts w:ascii="Arial" w:hAnsi="Arial" w:cs="Arial"/>
                <w:color w:val="000000" w:themeColor="text1"/>
                <w:sz w:val="16"/>
                <w:szCs w:val="16"/>
              </w:rPr>
            </w:pPr>
          </w:p>
        </w:tc>
        <w:tc>
          <w:tcPr>
            <w:tcW w:w="747" w:type="dxa"/>
            <w:tcBorders>
              <w:bottom w:val="single" w:sz="4" w:space="0" w:color="auto"/>
            </w:tcBorders>
          </w:tcPr>
          <w:p w14:paraId="14C5EA8D" w14:textId="77777777" w:rsidR="00E915EB" w:rsidRPr="004817FD" w:rsidRDefault="00E915EB" w:rsidP="00E915EB">
            <w:pPr>
              <w:jc w:val="center"/>
              <w:rPr>
                <w:rFonts w:ascii="Arial" w:hAnsi="Arial" w:cs="Arial"/>
                <w:color w:val="000000" w:themeColor="text1"/>
                <w:sz w:val="16"/>
                <w:szCs w:val="16"/>
              </w:rPr>
            </w:pPr>
          </w:p>
        </w:tc>
        <w:tc>
          <w:tcPr>
            <w:tcW w:w="852" w:type="dxa"/>
            <w:tcBorders>
              <w:bottom w:val="single" w:sz="4" w:space="0" w:color="auto"/>
            </w:tcBorders>
            <w:noWrap/>
          </w:tcPr>
          <w:p w14:paraId="0019318D" w14:textId="30C5C6DE" w:rsidR="00E915EB" w:rsidRPr="004817FD" w:rsidRDefault="00E915EB" w:rsidP="00E915EB">
            <w:pPr>
              <w:jc w:val="center"/>
              <w:rPr>
                <w:rFonts w:ascii="Arial" w:hAnsi="Arial" w:cs="Arial"/>
                <w:color w:val="000000" w:themeColor="text1"/>
                <w:sz w:val="16"/>
                <w:szCs w:val="16"/>
              </w:rPr>
            </w:pPr>
            <w:r w:rsidRPr="004817FD">
              <w:rPr>
                <w:rFonts w:ascii="Arial" w:eastAsia="Times New Roman" w:hAnsi="Arial" w:cs="Arial"/>
                <w:color w:val="000000" w:themeColor="text1"/>
                <w:sz w:val="16"/>
                <w:szCs w:val="16"/>
              </w:rPr>
              <w:t>G</w:t>
            </w:r>
          </w:p>
        </w:tc>
        <w:tc>
          <w:tcPr>
            <w:tcW w:w="1143" w:type="dxa"/>
            <w:tcBorders>
              <w:bottom w:val="single" w:sz="4" w:space="0" w:color="auto"/>
            </w:tcBorders>
            <w:noWrap/>
          </w:tcPr>
          <w:p w14:paraId="618EA30C" w14:textId="58611065" w:rsidR="00E915EB" w:rsidRPr="004817FD" w:rsidRDefault="00E915EB" w:rsidP="00E915EB">
            <w:pPr>
              <w:rPr>
                <w:rFonts w:ascii="Arial" w:hAnsi="Arial" w:cs="Arial"/>
                <w:color w:val="000000" w:themeColor="text1"/>
                <w:sz w:val="16"/>
                <w:szCs w:val="16"/>
              </w:rPr>
            </w:pPr>
            <w:r w:rsidRPr="004817FD">
              <w:rPr>
                <w:rFonts w:ascii="Arial" w:eastAsia="Times New Roman" w:hAnsi="Arial" w:cs="Arial"/>
                <w:color w:val="000000" w:themeColor="text1"/>
                <w:sz w:val="16"/>
                <w:szCs w:val="16"/>
              </w:rPr>
              <w:t>9 x 10</w:t>
            </w:r>
            <w:r w:rsidRPr="004817FD">
              <w:rPr>
                <w:rFonts w:ascii="Arial" w:eastAsia="Times New Roman" w:hAnsi="Arial" w:cs="Arial"/>
                <w:color w:val="000000" w:themeColor="text1"/>
                <w:sz w:val="16"/>
                <w:szCs w:val="16"/>
                <w:vertAlign w:val="superscript"/>
              </w:rPr>
              <w:t>-14</w:t>
            </w:r>
          </w:p>
        </w:tc>
        <w:tc>
          <w:tcPr>
            <w:tcW w:w="973" w:type="dxa"/>
            <w:tcBorders>
              <w:bottom w:val="single" w:sz="4" w:space="0" w:color="auto"/>
            </w:tcBorders>
          </w:tcPr>
          <w:p w14:paraId="2EC1F8EB" w14:textId="262764E3" w:rsidR="00E915EB" w:rsidRPr="004817FD" w:rsidRDefault="00E915EB" w:rsidP="00E915EB">
            <w:pPr>
              <w:jc w:val="center"/>
              <w:rPr>
                <w:rFonts w:ascii="Arial" w:hAnsi="Arial" w:cs="Arial"/>
                <w:sz w:val="16"/>
                <w:szCs w:val="16"/>
              </w:rPr>
            </w:pPr>
          </w:p>
        </w:tc>
        <w:tc>
          <w:tcPr>
            <w:tcW w:w="1084" w:type="dxa"/>
            <w:tcBorders>
              <w:bottom w:val="single" w:sz="4" w:space="0" w:color="auto"/>
            </w:tcBorders>
            <w:noWrap/>
          </w:tcPr>
          <w:p w14:paraId="20B32917" w14:textId="7C9D047C" w:rsidR="00E915EB" w:rsidRPr="004817FD" w:rsidRDefault="00E915EB" w:rsidP="00E915EB">
            <w:pPr>
              <w:jc w:val="center"/>
              <w:rPr>
                <w:rFonts w:cstheme="minorHAnsi"/>
                <w:color w:val="000000" w:themeColor="text1"/>
                <w:sz w:val="16"/>
                <w:szCs w:val="16"/>
              </w:rPr>
            </w:pPr>
            <w:r w:rsidRPr="004817FD">
              <w:rPr>
                <w:rFonts w:cstheme="minorHAnsi"/>
                <w:sz w:val="16"/>
                <w:szCs w:val="16"/>
              </w:rPr>
              <w:t>↓</w:t>
            </w:r>
          </w:p>
        </w:tc>
        <w:tc>
          <w:tcPr>
            <w:tcW w:w="4301" w:type="dxa"/>
            <w:tcBorders>
              <w:bottom w:val="single" w:sz="4" w:space="0" w:color="auto"/>
            </w:tcBorders>
            <w:noWrap/>
          </w:tcPr>
          <w:p w14:paraId="5E13C393" w14:textId="3428DD2C" w:rsidR="00E915EB" w:rsidRPr="004817FD" w:rsidRDefault="00E915EB" w:rsidP="00E915EB">
            <w:pPr>
              <w:rPr>
                <w:rFonts w:ascii="Arial" w:hAnsi="Arial" w:cs="Arial"/>
                <w:color w:val="000000" w:themeColor="text1"/>
                <w:sz w:val="16"/>
                <w:szCs w:val="16"/>
              </w:rPr>
            </w:pPr>
            <w:r w:rsidRPr="004817FD">
              <w:rPr>
                <w:rFonts w:ascii="Arial" w:eastAsia="Times New Roman" w:hAnsi="Arial" w:cs="Arial"/>
                <w:color w:val="000000" w:themeColor="text1"/>
                <w:sz w:val="16"/>
                <w:szCs w:val="16"/>
              </w:rPr>
              <w:t>Iron status biomarkers (total iron binding capacity)</w:t>
            </w:r>
          </w:p>
        </w:tc>
        <w:tc>
          <w:tcPr>
            <w:tcW w:w="3109" w:type="dxa"/>
            <w:tcBorders>
              <w:bottom w:val="single" w:sz="4" w:space="0" w:color="auto"/>
            </w:tcBorders>
            <w:noWrap/>
          </w:tcPr>
          <w:p w14:paraId="3742D4F1" w14:textId="57FE211D" w:rsidR="00E915EB" w:rsidRPr="004817FD" w:rsidRDefault="00E915EB" w:rsidP="00E915EB">
            <w:pPr>
              <w:rPr>
                <w:rFonts w:ascii="Arial" w:hAnsi="Arial" w:cs="Arial"/>
                <w:color w:val="000000" w:themeColor="text1"/>
                <w:sz w:val="16"/>
                <w:szCs w:val="16"/>
              </w:rPr>
            </w:pPr>
            <w:r w:rsidRPr="004817FD">
              <w:rPr>
                <w:rFonts w:ascii="Arial" w:eastAsia="Times New Roman" w:hAnsi="Arial" w:cs="Arial"/>
                <w:color w:val="000000" w:themeColor="text1"/>
                <w:sz w:val="16"/>
                <w:szCs w:val="16"/>
              </w:rPr>
              <w:fldChar w:fldCharType="begin"/>
            </w:r>
            <w:r>
              <w:rPr>
                <w:rFonts w:ascii="Arial" w:eastAsia="Times New Roman" w:hAnsi="Arial" w:cs="Arial"/>
                <w:color w:val="000000" w:themeColor="text1"/>
                <w:sz w:val="16"/>
                <w:szCs w:val="16"/>
              </w:rPr>
              <w:instrText xml:space="preserve"> ADDIN ZOTERO_ITEM CSL_CITATION {"citationID":"J3gxNWEB","properties":{"formattedCitation":"(Bell et al., 2021)","plainCitation":"(Bell et al., 2021)","noteIndex":0},"citationItems":[{"id":"8dHjENI5/ETyhASjK","uris":["http://zotero.org/users/9763947/items/2Z5KAJJN"],"itemData":{"id":354,"type":"article-journal","abstract":"Iron is essential for many biological functions and iron deficiency and overload have major health implications. We performed a meta-analysis of three genome-wide association studies from Iceland, the UK and Denmark of blood levels of ferritin (N = 246,139), total iron binding capacity (N = 135,430), iron (N = 163,511) and transferrin saturation (N = 131,471). We found 62 independent sequence variants associating with iron homeostasis parameters at 56 loci, including 46 novel loci. Variants at DUOX2, F5, SLC11A2 and TMPRSS6 associate with iron deficiency anemia, while variants at TF, HFE, TFR2 and TMPRSS6 associate with iron overload. A HBS1L-MYB intergenic region variant associates both with increased risk of iron overload and reduced risk of iron deficiency anemia. The DUOX2 missense variant is present in 14% of the population, associates with all iron homeostasis biomarkers, and increases the risk of iron deficiency anemia by 29%. The associations implicate proteins contributing to the main physiological processes involved in iron homeostasis: iron sensing and storage, inflammation, absorption of iron from the gut, iron recycling, erythropoiesis and bleeding/menstruation.","container-title":"Communications Biology","DOI":"10.1038/s42003-020-01575-z","ISSN":"2399-3642","issue":"1","journalAbbreviation":"Commun Biol","language":"eng","note":"PMID: 33536631\nPMCID: PMC7859200","page":"156","source":"PubMed","title":"A genome-wide meta-analysis yields 46 new loci associating with biomarkers of iron homeostasis","volume":"4","author":[{"family":"Bell","given":"Steven"},{"family":"Rigas","given":"Andreas S."},{"family":"Magnusson","given":"Magnus K."},{"family":"Ferkingstad","given":"Egil"},{"family":"Allara","given":"Elias"},{"family":"Bjornsdottir","given":"Gyda"},{"family":"Ramond","given":"Anna"},{"family":"Sørensen","given":"Erik"},{"family":"Halldorsson","given":"Gisli H."},{"family":"Paul","given":"Dirk S."},{"family":"Burgdorf","given":"Kristoffer S."},{"family":"Eggertsson","given":"Hannes P."},{"family":"Howson","given":"Joanna M. M."},{"family":"Thørner","given":"Lise W."},{"family":"Kristmundsdottir","given":"Snaedis"},{"family":"Astle","given":"William J."},{"family":"Erikstrup","given":"Christian"},{"family":"Sigurdsson","given":"Jon K."},{"family":"Vuckovic","given":"Dragana"},{"family":"Dinh","given":"Khoa M."},{"family":"Tragante","given":"Vinicius"},{"family":"Surendran","given":"Praveen"},{"family":"Pedersen","given":"Ole B."},{"family":"Vidarsson","given":"Brynjar"},{"family":"Jiang","given":"Tao"},{"family":"Paarup","given":"Helene M."},{"family":"Onundarson","given":"Pall T."},{"family":"Akbari","given":"Parsa"},{"family":"Nielsen","given":"Kaspar R."},{"family":"Lund","given":"Sigrun H."},{"family":"Juliusson","given":"Kristinn"},{"family":"Magnusson","given":"Magnus I."},{"family":"Frigge","given":"Michael L."},{"family":"Oddsson","given":"Asmundur"},{"family":"Olafsson","given":"Isleifur"},{"family":"Kaptoge","given":"Stephen"},{"family":"Hjalgrim","given":"Henrik"},{"family":"Runarsson","given":"Gudmundur"},{"family":"Wood","given":"Angela M."},{"family":"Jonsdottir","given":"Ingileif"},{"family":"Hansen","given":"Thomas F."},{"family":"Sigurdardottir","given":"Olof"},{"family":"Stefansson","given":"Hreinn"},{"family":"Rye","given":"David"},{"literal":"DBDS Genomic Consortium"},{"family":"Peters","given":"James E."},{"family":"Westergaard","given":"David"},{"family":"Holm","given":"Hilma"},{"family":"Soranzo","given":"Nicole"},{"family":"Banasik","given":"Karina"},{"family":"Thorleifsson","given":"Gudmar"},{"family":"Ouwehand","given":"Willem H."},{"family":"Thorsteinsdottir","given":"Unnur"},{"family":"Roberts","given":"David J."},{"family":"Sulem","given":"Patrick"},{"family":"Butterworth","given":"Adam S."},{"family":"Gudbjartsson","given":"Daniel F."},{"family":"Danesh","given":"John"},{"family":"Brunak","given":"Søren"},{"family":"Di Angelantonio","given":"Emanuele"},{"family":"Ullum","given":"Henrik"},{"family":"Stefansson","given":"Kari"}],"issued":{"date-parts":[["2021",2,3]]}}}],"schema":"https://github.com/citation-style-language/schema/raw/master/csl-citation.json"} </w:instrText>
            </w:r>
            <w:r w:rsidRPr="004817FD">
              <w:rPr>
                <w:rFonts w:ascii="Arial" w:eastAsia="Times New Roman" w:hAnsi="Arial" w:cs="Arial"/>
                <w:color w:val="000000" w:themeColor="text1"/>
                <w:sz w:val="16"/>
                <w:szCs w:val="16"/>
              </w:rPr>
              <w:fldChar w:fldCharType="separate"/>
            </w:r>
            <w:r w:rsidRPr="004817FD">
              <w:rPr>
                <w:rFonts w:ascii="Arial" w:hAnsi="Arial" w:cs="Arial"/>
                <w:color w:val="000000" w:themeColor="text1"/>
                <w:sz w:val="16"/>
                <w:szCs w:val="16"/>
              </w:rPr>
              <w:t>(Bell et al., 2021)</w:t>
            </w:r>
            <w:r w:rsidRPr="004817FD">
              <w:rPr>
                <w:rFonts w:ascii="Arial" w:eastAsia="Times New Roman" w:hAnsi="Arial" w:cs="Arial"/>
                <w:color w:val="000000" w:themeColor="text1"/>
                <w:sz w:val="16"/>
                <w:szCs w:val="16"/>
              </w:rPr>
              <w:fldChar w:fldCharType="end"/>
            </w:r>
          </w:p>
        </w:tc>
        <w:tc>
          <w:tcPr>
            <w:tcW w:w="1082" w:type="dxa"/>
            <w:tcBorders>
              <w:bottom w:val="single" w:sz="4" w:space="0" w:color="auto"/>
            </w:tcBorders>
          </w:tcPr>
          <w:p w14:paraId="2DEB2FBB" w14:textId="73AC85A3" w:rsidR="00E915EB" w:rsidRPr="004817FD" w:rsidRDefault="00E915EB" w:rsidP="00E915EB">
            <w:pPr>
              <w:rPr>
                <w:rFonts w:ascii="Arial" w:hAnsi="Arial" w:cs="Arial"/>
                <w:color w:val="000000" w:themeColor="text1"/>
                <w:sz w:val="16"/>
                <w:szCs w:val="16"/>
              </w:rPr>
            </w:pPr>
          </w:p>
        </w:tc>
      </w:tr>
      <w:tr w:rsidR="00E915EB" w:rsidRPr="004817FD" w14:paraId="3F26B723" w14:textId="3292DBD9" w:rsidTr="00E915EB">
        <w:trPr>
          <w:trHeight w:val="300"/>
        </w:trPr>
        <w:tc>
          <w:tcPr>
            <w:tcW w:w="1384" w:type="dxa"/>
            <w:tcBorders>
              <w:top w:val="single" w:sz="4" w:space="0" w:color="auto"/>
              <w:bottom w:val="single" w:sz="4" w:space="0" w:color="auto"/>
            </w:tcBorders>
            <w:noWrap/>
          </w:tcPr>
          <w:p w14:paraId="22D767AE" w14:textId="5A0D8AB5" w:rsidR="00E915EB" w:rsidRPr="004817FD" w:rsidRDefault="00E915EB" w:rsidP="00E915EB">
            <w:pPr>
              <w:rPr>
                <w:rFonts w:ascii="Arial" w:hAnsi="Arial" w:cs="Arial"/>
                <w:color w:val="000000" w:themeColor="text1"/>
                <w:sz w:val="16"/>
                <w:szCs w:val="16"/>
              </w:rPr>
            </w:pPr>
            <w:r w:rsidRPr="004817FD">
              <w:rPr>
                <w:rFonts w:ascii="Arial" w:eastAsia="Times New Roman" w:hAnsi="Arial" w:cs="Arial"/>
                <w:color w:val="000000" w:themeColor="text1"/>
                <w:sz w:val="16"/>
                <w:szCs w:val="16"/>
              </w:rPr>
              <w:t>rs1495745</w:t>
            </w:r>
          </w:p>
        </w:tc>
        <w:tc>
          <w:tcPr>
            <w:tcW w:w="747" w:type="dxa"/>
            <w:tcBorders>
              <w:top w:val="single" w:sz="4" w:space="0" w:color="auto"/>
              <w:bottom w:val="single" w:sz="4" w:space="0" w:color="auto"/>
            </w:tcBorders>
          </w:tcPr>
          <w:p w14:paraId="7E108E35" w14:textId="548F3B10" w:rsidR="00E915EB" w:rsidRPr="004817FD" w:rsidRDefault="00E915EB" w:rsidP="00E915EB">
            <w:pPr>
              <w:jc w:val="center"/>
              <w:rPr>
                <w:rFonts w:ascii="Arial" w:hAnsi="Arial" w:cs="Arial"/>
                <w:color w:val="000000" w:themeColor="text1"/>
                <w:sz w:val="16"/>
                <w:szCs w:val="16"/>
              </w:rPr>
            </w:pPr>
            <w:r w:rsidRPr="004817FD">
              <w:rPr>
                <w:rFonts w:ascii="Arial" w:hAnsi="Arial" w:cs="Arial"/>
                <w:color w:val="000000" w:themeColor="text1"/>
                <w:sz w:val="16"/>
                <w:szCs w:val="16"/>
              </w:rPr>
              <w:t>Non-coding</w:t>
            </w:r>
          </w:p>
        </w:tc>
        <w:tc>
          <w:tcPr>
            <w:tcW w:w="852" w:type="dxa"/>
            <w:tcBorders>
              <w:bottom w:val="single" w:sz="4" w:space="0" w:color="auto"/>
            </w:tcBorders>
            <w:noWrap/>
          </w:tcPr>
          <w:p w14:paraId="3CB14279" w14:textId="2BEC47B6" w:rsidR="00E915EB" w:rsidRPr="004817FD" w:rsidRDefault="00E915EB" w:rsidP="00E915EB">
            <w:pPr>
              <w:jc w:val="center"/>
              <w:rPr>
                <w:rFonts w:ascii="Arial" w:hAnsi="Arial" w:cs="Arial"/>
                <w:color w:val="000000" w:themeColor="text1"/>
                <w:sz w:val="16"/>
                <w:szCs w:val="16"/>
              </w:rPr>
            </w:pPr>
            <w:r w:rsidRPr="004817FD">
              <w:rPr>
                <w:rFonts w:ascii="Arial" w:eastAsia="Times New Roman" w:hAnsi="Arial" w:cs="Arial"/>
                <w:color w:val="000000" w:themeColor="text1"/>
                <w:sz w:val="16"/>
                <w:szCs w:val="16"/>
              </w:rPr>
              <w:t>T</w:t>
            </w:r>
          </w:p>
        </w:tc>
        <w:tc>
          <w:tcPr>
            <w:tcW w:w="1143" w:type="dxa"/>
            <w:tcBorders>
              <w:bottom w:val="single" w:sz="4" w:space="0" w:color="auto"/>
            </w:tcBorders>
            <w:noWrap/>
          </w:tcPr>
          <w:p w14:paraId="774FE1A3" w14:textId="5039EE1C" w:rsidR="00E915EB" w:rsidRPr="004817FD" w:rsidRDefault="00E915EB" w:rsidP="00E915EB">
            <w:pPr>
              <w:rPr>
                <w:rFonts w:ascii="Arial" w:hAnsi="Arial" w:cs="Arial"/>
                <w:color w:val="000000" w:themeColor="text1"/>
                <w:sz w:val="16"/>
                <w:szCs w:val="16"/>
              </w:rPr>
            </w:pPr>
            <w:r w:rsidRPr="004817FD">
              <w:rPr>
                <w:rFonts w:ascii="Arial" w:eastAsia="Times New Roman" w:hAnsi="Arial" w:cs="Arial"/>
                <w:color w:val="000000" w:themeColor="text1"/>
                <w:sz w:val="16"/>
                <w:szCs w:val="16"/>
              </w:rPr>
              <w:t>9 x 10</w:t>
            </w:r>
            <w:r w:rsidRPr="004817FD">
              <w:rPr>
                <w:rFonts w:ascii="Arial" w:eastAsia="Times New Roman" w:hAnsi="Arial" w:cs="Arial"/>
                <w:color w:val="000000" w:themeColor="text1"/>
                <w:sz w:val="16"/>
                <w:szCs w:val="16"/>
                <w:vertAlign w:val="superscript"/>
              </w:rPr>
              <w:t>-12</w:t>
            </w:r>
          </w:p>
        </w:tc>
        <w:tc>
          <w:tcPr>
            <w:tcW w:w="973" w:type="dxa"/>
            <w:tcBorders>
              <w:bottom w:val="single" w:sz="4" w:space="0" w:color="auto"/>
            </w:tcBorders>
          </w:tcPr>
          <w:p w14:paraId="0BCEC3D5" w14:textId="23ED94C6" w:rsidR="00E915EB" w:rsidRPr="004817FD" w:rsidRDefault="00E915EB" w:rsidP="00E915EB">
            <w:pPr>
              <w:jc w:val="center"/>
              <w:rPr>
                <w:rFonts w:ascii="Arial" w:hAnsi="Arial" w:cs="Arial"/>
                <w:sz w:val="16"/>
                <w:szCs w:val="16"/>
              </w:rPr>
            </w:pPr>
            <w:r>
              <w:rPr>
                <w:rFonts w:ascii="Arial" w:hAnsi="Arial" w:cs="Arial"/>
                <w:sz w:val="16"/>
                <w:szCs w:val="16"/>
              </w:rPr>
              <w:t>0.38</w:t>
            </w:r>
          </w:p>
        </w:tc>
        <w:tc>
          <w:tcPr>
            <w:tcW w:w="1084" w:type="dxa"/>
            <w:tcBorders>
              <w:bottom w:val="single" w:sz="4" w:space="0" w:color="auto"/>
            </w:tcBorders>
            <w:noWrap/>
          </w:tcPr>
          <w:p w14:paraId="0B4AE189" w14:textId="62770A30" w:rsidR="00E915EB" w:rsidRPr="004817FD" w:rsidRDefault="00E915EB" w:rsidP="00E915EB">
            <w:pPr>
              <w:jc w:val="center"/>
              <w:rPr>
                <w:rFonts w:cstheme="minorHAnsi"/>
                <w:color w:val="000000" w:themeColor="text1"/>
                <w:sz w:val="16"/>
                <w:szCs w:val="16"/>
              </w:rPr>
            </w:pPr>
            <w:r w:rsidRPr="004817FD">
              <w:rPr>
                <w:rFonts w:cstheme="minorHAnsi"/>
                <w:sz w:val="16"/>
                <w:szCs w:val="16"/>
              </w:rPr>
              <w:t>↑</w:t>
            </w:r>
          </w:p>
        </w:tc>
        <w:tc>
          <w:tcPr>
            <w:tcW w:w="4301" w:type="dxa"/>
            <w:tcBorders>
              <w:bottom w:val="single" w:sz="4" w:space="0" w:color="auto"/>
            </w:tcBorders>
            <w:noWrap/>
          </w:tcPr>
          <w:p w14:paraId="6B4529E0" w14:textId="0FCEC976" w:rsidR="00E915EB" w:rsidRPr="004817FD" w:rsidRDefault="00E915EB" w:rsidP="00E915EB">
            <w:pPr>
              <w:rPr>
                <w:rFonts w:ascii="Arial" w:hAnsi="Arial" w:cs="Arial"/>
                <w:color w:val="000000" w:themeColor="text1"/>
                <w:sz w:val="16"/>
                <w:szCs w:val="16"/>
              </w:rPr>
            </w:pPr>
            <w:r w:rsidRPr="004817FD">
              <w:rPr>
                <w:rFonts w:ascii="Arial" w:eastAsia="Times New Roman" w:hAnsi="Arial" w:cs="Arial"/>
                <w:color w:val="000000" w:themeColor="text1"/>
                <w:sz w:val="16"/>
                <w:szCs w:val="16"/>
              </w:rPr>
              <w:t>C-reactive protein levels</w:t>
            </w:r>
          </w:p>
        </w:tc>
        <w:tc>
          <w:tcPr>
            <w:tcW w:w="3109" w:type="dxa"/>
            <w:tcBorders>
              <w:bottom w:val="single" w:sz="4" w:space="0" w:color="auto"/>
            </w:tcBorders>
            <w:noWrap/>
          </w:tcPr>
          <w:p w14:paraId="5764553C" w14:textId="7E3D1BB7" w:rsidR="00E915EB" w:rsidRPr="004817FD" w:rsidRDefault="00E915EB" w:rsidP="00E915EB">
            <w:pPr>
              <w:rPr>
                <w:rFonts w:ascii="Arial" w:hAnsi="Arial" w:cs="Arial"/>
                <w:color w:val="000000" w:themeColor="text1"/>
                <w:sz w:val="16"/>
                <w:szCs w:val="16"/>
              </w:rPr>
            </w:pPr>
            <w:r w:rsidRPr="004817FD">
              <w:rPr>
                <w:rFonts w:ascii="Arial" w:eastAsia="Times New Roman" w:hAnsi="Arial" w:cs="Arial"/>
                <w:color w:val="000000" w:themeColor="text1"/>
                <w:sz w:val="16"/>
                <w:szCs w:val="16"/>
              </w:rPr>
              <w:fldChar w:fldCharType="begin"/>
            </w:r>
            <w:r>
              <w:rPr>
                <w:rFonts w:ascii="Arial" w:eastAsia="Times New Roman" w:hAnsi="Arial" w:cs="Arial"/>
                <w:color w:val="000000" w:themeColor="text1"/>
                <w:sz w:val="16"/>
                <w:szCs w:val="16"/>
              </w:rPr>
              <w:instrText xml:space="preserve"> ADDIN ZOTERO_ITEM CSL_CITATION {"citationID":"bJOgtJEs","properties":{"formattedCitation":"(Han et al., 2020)","plainCitation":"(Han et al., 2020)","noteIndex":0},"citationItems":[{"id":"8dHjENI5/cguW4X4i","uris":["http://zotero.org/users/9763947/items/AHCI4S6G"],"itemData":{"id":357,"type":"article-journal","abstract":"Serum C-reactive protein (CRP), an important inflammatory marker, has been associated with age-related macular degeneration (AMD) in observational studies; however, the findings are inconsistent. It remains unclear whether the association between circulating CRP levels and AMD is causal. We used two-sample Mendelian randomization (MR) to evaluate the potential causal relationship between serum CRP levels and AMD risk. We derived genetic instruments for serum CRP levels in 418,642 participants of European ancestry from UK Biobank, and then conducted a genome-wide association study for 12,711 advanced AMD cases and 14,590 controls of European descent from the International AMD Genomics Consortium. Genetic variants which predicted elevated serum CRP levels were associated with advanced AMD (odds ratio [OR] for per standard deviation increase in serum CRP levels: 1.31, 95% confidence interval [CI]: 1.19-1.44, P = 5.2 × 10-8). The OR for the increase in advanced AMD risk when moving from low (&lt; 3 mg/L) to high (&gt; 3 mg/L) CRP levels is 1.29 (95% CI: 1.17-1.41). Our results were unchanged in sensitivity analyses using MR models which make different modelling assumptions. Our findings were broadly similar across the different forms of AMD (intermediate AMD, choroidal neovascularization, and geographic atrophy). We used multivariable MR to adjust for the effects of other potential AMD risk factors including smoking, body mass index, blood pressure and cholesterol; this did not alter our findings. Our study provides strong genetic evidence that higher circulating CRP levels lead to increases in risk for all forms of AMD. These findings highlight the potential utility for using circulating CRP as a biomarker in future trials aimed at modulating AMD risk via systemic therapies.","container-title":"European Journal of Epidemiology","DOI":"10.1007/s10654-019-00598-z","ISSN":"1573-7284","issue":"2","journalAbbreviation":"Eur J Epidemiol","language":"eng","note":"PMID: 31900758","page":"139-146","source":"PubMed","title":"Using Mendelian randomization to evaluate the causal relationship between serum C-reactive protein levels and age-related macular degeneration","volume":"35","author":[{"family":"Han","given":"Xikun"},{"family":"Ong","given":"Jue-Sheng"},{"family":"An","given":"Jiyuan"},{"family":"Hewitt","given":"Alex W."},{"family":"Gharahkhani","given":"Puya"},{"family":"MacGregor","given":"Stuart"}],"issued":{"date-parts":[["2020",2]]}}}],"schema":"https://github.com/citation-style-language/schema/raw/master/csl-citation.json"} </w:instrText>
            </w:r>
            <w:r w:rsidRPr="004817FD">
              <w:rPr>
                <w:rFonts w:ascii="Arial" w:eastAsia="Times New Roman" w:hAnsi="Arial" w:cs="Arial"/>
                <w:color w:val="000000" w:themeColor="text1"/>
                <w:sz w:val="16"/>
                <w:szCs w:val="16"/>
              </w:rPr>
              <w:fldChar w:fldCharType="separate"/>
            </w:r>
            <w:r w:rsidRPr="004817FD">
              <w:rPr>
                <w:rFonts w:ascii="Arial" w:hAnsi="Arial" w:cs="Arial"/>
                <w:color w:val="000000" w:themeColor="text1"/>
                <w:sz w:val="16"/>
                <w:szCs w:val="16"/>
              </w:rPr>
              <w:t>(Han et al., 2020)</w:t>
            </w:r>
            <w:r w:rsidRPr="004817FD">
              <w:rPr>
                <w:rFonts w:ascii="Arial" w:eastAsia="Times New Roman" w:hAnsi="Arial" w:cs="Arial"/>
                <w:color w:val="000000" w:themeColor="text1"/>
                <w:sz w:val="16"/>
                <w:szCs w:val="16"/>
              </w:rPr>
              <w:fldChar w:fldCharType="end"/>
            </w:r>
          </w:p>
        </w:tc>
        <w:tc>
          <w:tcPr>
            <w:tcW w:w="1082" w:type="dxa"/>
            <w:tcBorders>
              <w:bottom w:val="single" w:sz="4" w:space="0" w:color="auto"/>
            </w:tcBorders>
          </w:tcPr>
          <w:p w14:paraId="4708CF2D" w14:textId="3A03AC0B" w:rsidR="00E915EB" w:rsidRPr="004817FD" w:rsidRDefault="00E915EB" w:rsidP="00E915EB">
            <w:pPr>
              <w:rPr>
                <w:rFonts w:ascii="Arial" w:hAnsi="Arial" w:cs="Arial"/>
                <w:color w:val="000000" w:themeColor="text1"/>
                <w:sz w:val="16"/>
                <w:szCs w:val="16"/>
              </w:rPr>
            </w:pPr>
            <w:r w:rsidRPr="004817FD">
              <w:rPr>
                <w:rFonts w:ascii="Arial" w:eastAsia="Times New Roman" w:hAnsi="Arial" w:cs="Arial"/>
                <w:color w:val="000000" w:themeColor="text1"/>
                <w:sz w:val="16"/>
                <w:szCs w:val="16"/>
              </w:rPr>
              <w:t>8:18405213</w:t>
            </w:r>
          </w:p>
        </w:tc>
      </w:tr>
      <w:tr w:rsidR="00E915EB" w:rsidRPr="004817FD" w14:paraId="5D9E34EC" w14:textId="3800C5CB" w:rsidTr="00E915EB">
        <w:trPr>
          <w:trHeight w:val="300"/>
        </w:trPr>
        <w:tc>
          <w:tcPr>
            <w:tcW w:w="1384" w:type="dxa"/>
            <w:tcBorders>
              <w:top w:val="single" w:sz="4" w:space="0" w:color="auto"/>
              <w:bottom w:val="single" w:sz="4" w:space="0" w:color="auto"/>
            </w:tcBorders>
            <w:noWrap/>
          </w:tcPr>
          <w:p w14:paraId="4B4C9979" w14:textId="5B7E294B" w:rsidR="00E915EB" w:rsidRPr="004817FD" w:rsidRDefault="00E915EB" w:rsidP="00E915EB">
            <w:pPr>
              <w:rPr>
                <w:rFonts w:ascii="Arial" w:hAnsi="Arial" w:cs="Arial"/>
                <w:color w:val="000000" w:themeColor="text1"/>
                <w:sz w:val="16"/>
                <w:szCs w:val="16"/>
              </w:rPr>
            </w:pPr>
            <w:r w:rsidRPr="004817FD">
              <w:rPr>
                <w:rFonts w:ascii="Arial" w:eastAsia="Times New Roman" w:hAnsi="Arial" w:cs="Arial"/>
                <w:color w:val="000000" w:themeColor="text1"/>
                <w:sz w:val="16"/>
                <w:szCs w:val="16"/>
              </w:rPr>
              <w:t>rs1495747</w:t>
            </w:r>
          </w:p>
        </w:tc>
        <w:tc>
          <w:tcPr>
            <w:tcW w:w="747" w:type="dxa"/>
            <w:tcBorders>
              <w:top w:val="single" w:sz="4" w:space="0" w:color="auto"/>
              <w:bottom w:val="single" w:sz="4" w:space="0" w:color="auto"/>
            </w:tcBorders>
          </w:tcPr>
          <w:p w14:paraId="30BD630D" w14:textId="1C2554C6" w:rsidR="00E915EB" w:rsidRPr="004817FD" w:rsidRDefault="00E915EB" w:rsidP="00E915EB">
            <w:pPr>
              <w:jc w:val="center"/>
              <w:rPr>
                <w:rFonts w:ascii="Arial" w:hAnsi="Arial" w:cs="Arial"/>
                <w:color w:val="000000" w:themeColor="text1"/>
                <w:sz w:val="16"/>
                <w:szCs w:val="16"/>
              </w:rPr>
            </w:pPr>
            <w:r w:rsidRPr="004817FD">
              <w:rPr>
                <w:rFonts w:ascii="Arial" w:hAnsi="Arial" w:cs="Arial"/>
                <w:color w:val="000000" w:themeColor="text1"/>
                <w:sz w:val="16"/>
                <w:szCs w:val="16"/>
              </w:rPr>
              <w:t>Non-coding</w:t>
            </w:r>
          </w:p>
        </w:tc>
        <w:tc>
          <w:tcPr>
            <w:tcW w:w="852" w:type="dxa"/>
            <w:tcBorders>
              <w:top w:val="single" w:sz="4" w:space="0" w:color="auto"/>
              <w:bottom w:val="single" w:sz="4" w:space="0" w:color="auto"/>
            </w:tcBorders>
            <w:noWrap/>
          </w:tcPr>
          <w:p w14:paraId="54A8960A" w14:textId="2DCE5B04" w:rsidR="00E915EB" w:rsidRPr="004817FD" w:rsidRDefault="00E915EB" w:rsidP="00E915EB">
            <w:pPr>
              <w:jc w:val="center"/>
              <w:rPr>
                <w:rFonts w:ascii="Arial" w:hAnsi="Arial" w:cs="Arial"/>
                <w:color w:val="000000" w:themeColor="text1"/>
                <w:sz w:val="16"/>
                <w:szCs w:val="16"/>
              </w:rPr>
            </w:pPr>
            <w:r w:rsidRPr="004817FD">
              <w:rPr>
                <w:rFonts w:ascii="Arial" w:eastAsia="Times New Roman" w:hAnsi="Arial" w:cs="Arial"/>
                <w:color w:val="000000" w:themeColor="text1"/>
                <w:sz w:val="16"/>
                <w:szCs w:val="16"/>
              </w:rPr>
              <w:t>C</w:t>
            </w:r>
          </w:p>
        </w:tc>
        <w:tc>
          <w:tcPr>
            <w:tcW w:w="1143" w:type="dxa"/>
            <w:tcBorders>
              <w:top w:val="single" w:sz="4" w:space="0" w:color="auto"/>
              <w:bottom w:val="single" w:sz="4" w:space="0" w:color="auto"/>
            </w:tcBorders>
            <w:noWrap/>
          </w:tcPr>
          <w:p w14:paraId="6290EABA" w14:textId="22B18F63" w:rsidR="00E915EB" w:rsidRPr="004817FD" w:rsidRDefault="00E915EB" w:rsidP="00E915EB">
            <w:pPr>
              <w:rPr>
                <w:rFonts w:ascii="Arial" w:hAnsi="Arial" w:cs="Arial"/>
                <w:color w:val="000000" w:themeColor="text1"/>
                <w:sz w:val="16"/>
                <w:szCs w:val="16"/>
              </w:rPr>
            </w:pPr>
            <w:r w:rsidRPr="004817FD">
              <w:rPr>
                <w:rFonts w:ascii="Arial" w:eastAsia="Times New Roman" w:hAnsi="Arial" w:cs="Arial"/>
                <w:color w:val="000000" w:themeColor="text1"/>
                <w:sz w:val="16"/>
                <w:szCs w:val="16"/>
              </w:rPr>
              <w:t>3 x 10</w:t>
            </w:r>
            <w:r w:rsidRPr="004817FD">
              <w:rPr>
                <w:rFonts w:ascii="Arial" w:eastAsia="Times New Roman" w:hAnsi="Arial" w:cs="Arial"/>
                <w:color w:val="000000" w:themeColor="text1"/>
                <w:sz w:val="16"/>
                <w:szCs w:val="16"/>
                <w:vertAlign w:val="superscript"/>
              </w:rPr>
              <w:t>-8</w:t>
            </w:r>
          </w:p>
        </w:tc>
        <w:tc>
          <w:tcPr>
            <w:tcW w:w="973" w:type="dxa"/>
            <w:tcBorders>
              <w:top w:val="single" w:sz="4" w:space="0" w:color="auto"/>
              <w:bottom w:val="single" w:sz="4" w:space="0" w:color="auto"/>
            </w:tcBorders>
          </w:tcPr>
          <w:p w14:paraId="04CB85B7" w14:textId="0A982864" w:rsidR="00E915EB" w:rsidRPr="004817FD" w:rsidRDefault="00E915EB" w:rsidP="00E915EB">
            <w:pPr>
              <w:jc w:val="center"/>
              <w:rPr>
                <w:rFonts w:ascii="Arial" w:hAnsi="Arial" w:cs="Arial"/>
                <w:sz w:val="16"/>
                <w:szCs w:val="16"/>
              </w:rPr>
            </w:pPr>
            <w:r>
              <w:rPr>
                <w:rFonts w:ascii="Arial" w:hAnsi="Arial" w:cs="Arial"/>
                <w:sz w:val="16"/>
                <w:szCs w:val="16"/>
              </w:rPr>
              <w:t>0.56</w:t>
            </w:r>
          </w:p>
        </w:tc>
        <w:tc>
          <w:tcPr>
            <w:tcW w:w="1084" w:type="dxa"/>
            <w:tcBorders>
              <w:top w:val="single" w:sz="4" w:space="0" w:color="auto"/>
              <w:bottom w:val="single" w:sz="4" w:space="0" w:color="auto"/>
            </w:tcBorders>
            <w:noWrap/>
          </w:tcPr>
          <w:p w14:paraId="7D995DC6" w14:textId="163B878A" w:rsidR="00E915EB" w:rsidRPr="004817FD" w:rsidRDefault="00E915EB" w:rsidP="00E915EB">
            <w:pPr>
              <w:jc w:val="center"/>
              <w:rPr>
                <w:rFonts w:cstheme="minorHAnsi"/>
                <w:color w:val="000000" w:themeColor="text1"/>
                <w:sz w:val="16"/>
                <w:szCs w:val="16"/>
              </w:rPr>
            </w:pPr>
            <w:r w:rsidRPr="004817FD">
              <w:rPr>
                <w:rFonts w:cstheme="minorHAnsi"/>
                <w:sz w:val="16"/>
                <w:szCs w:val="16"/>
              </w:rPr>
              <w:t>↑</w:t>
            </w:r>
          </w:p>
        </w:tc>
        <w:tc>
          <w:tcPr>
            <w:tcW w:w="4301" w:type="dxa"/>
            <w:tcBorders>
              <w:top w:val="single" w:sz="4" w:space="0" w:color="auto"/>
              <w:bottom w:val="single" w:sz="4" w:space="0" w:color="auto"/>
            </w:tcBorders>
            <w:noWrap/>
          </w:tcPr>
          <w:p w14:paraId="0A63DD22" w14:textId="7792971D" w:rsidR="00E915EB" w:rsidRPr="004817FD" w:rsidRDefault="00E915EB" w:rsidP="00E915EB">
            <w:pPr>
              <w:rPr>
                <w:rFonts w:ascii="Arial" w:hAnsi="Arial" w:cs="Arial"/>
                <w:color w:val="000000" w:themeColor="text1"/>
                <w:sz w:val="16"/>
                <w:szCs w:val="16"/>
              </w:rPr>
            </w:pPr>
            <w:r w:rsidRPr="004817FD">
              <w:rPr>
                <w:rFonts w:ascii="Arial" w:eastAsia="Times New Roman" w:hAnsi="Arial" w:cs="Arial"/>
                <w:color w:val="000000" w:themeColor="text1"/>
                <w:sz w:val="16"/>
                <w:szCs w:val="16"/>
              </w:rPr>
              <w:t>Calcium levels</w:t>
            </w:r>
          </w:p>
        </w:tc>
        <w:tc>
          <w:tcPr>
            <w:tcW w:w="3109" w:type="dxa"/>
            <w:tcBorders>
              <w:top w:val="single" w:sz="4" w:space="0" w:color="auto"/>
              <w:bottom w:val="single" w:sz="4" w:space="0" w:color="auto"/>
            </w:tcBorders>
            <w:noWrap/>
          </w:tcPr>
          <w:p w14:paraId="34272AB5" w14:textId="52809C2F" w:rsidR="00E915EB" w:rsidRPr="004817FD" w:rsidRDefault="00E915EB" w:rsidP="00E915EB">
            <w:pPr>
              <w:rPr>
                <w:rFonts w:ascii="Arial" w:hAnsi="Arial" w:cs="Arial"/>
                <w:color w:val="000000" w:themeColor="text1"/>
                <w:sz w:val="16"/>
                <w:szCs w:val="16"/>
              </w:rPr>
            </w:pPr>
            <w:r w:rsidRPr="004817FD">
              <w:rPr>
                <w:rFonts w:ascii="Arial" w:eastAsia="Times New Roman" w:hAnsi="Arial" w:cs="Arial"/>
                <w:color w:val="000000" w:themeColor="text1"/>
                <w:sz w:val="16"/>
                <w:szCs w:val="16"/>
              </w:rPr>
              <w:fldChar w:fldCharType="begin"/>
            </w:r>
            <w:r>
              <w:rPr>
                <w:rFonts w:ascii="Arial" w:eastAsia="Times New Roman" w:hAnsi="Arial" w:cs="Arial"/>
                <w:color w:val="000000" w:themeColor="text1"/>
                <w:sz w:val="16"/>
                <w:szCs w:val="16"/>
              </w:rPr>
              <w:instrText xml:space="preserve"> ADDIN ZOTERO_ITEM CSL_CITATION {"citationID":"ZD0joIoO","properties":{"formattedCitation":"(Sakaue et al., 2021)","plainCitation":"(Sakaue et al., 2021)","noteIndex":0},"citationItems":[{"id":"8dHjENI5/FJjpKmRp","uris":["http://zotero.org/users/9763947/items/ZZU6BFA4"],"itemData":{"id":274,"type":"article-journal","abstract":"Current genome-wide association studies do not yet capture sufficient diversity in populations and scope of phenotypes. To expand an atlas of genetic associations in non-European populations, we conducted 220 deep-phenotype genome-wide association studies (diseases, biomarkers and medication usage) in BioBank Japan (n = 179,000), by incorporating past medical history and text-mining of electronic medical records. Meta-analyses with the UK Biobank and FinnGen (ntotal = 628,000) identified ~5,000 new loci, which improved the resolution of the genomic map of human traits. This atlas elucidated the landscape of pleiotropy as represented by the major histocompatibility complex locus, where we conducted HLA fine-mapping. Finally, we performed statistical decomposition of matrices of phenome-wide summary statistics, and identified latent genetic components, which pinpointed responsible variants and biological mechanisms underlying current disease classifications across populations. The decomposed components enabled genetically informed subtyping of similar diseases (for example, allergic diseases). Our study suggests a potential avenue for hypothesis-free re-investigation of human diseases through genetics.","container-title":"Nature Genetics","DOI":"10.1038/s41588-021-00931-x","ISSN":"1546-1718","issue":"10","journalAbbreviation":"Nat Genet","language":"eng","note":"PMID: 34594039","page":"1415-1424","source":"PubMed","title":"A cross-population atlas of genetic associations for 220 human phenotypes","volume":"53","author":[{"family":"Sakaue","given":"Saori"},{"family":"Kanai","given":"Masahiro"},{"family":"Tanigawa","given":"Yosuke"},{"family":"Karjalainen","given":"Juha"},{"family":"Kurki","given":"Mitja"},{"family":"Koshiba","given":"Seizo"},{"family":"Narita","given":"Akira"},{"family":"Konuma","given":"Takahiro"},{"family":"Yamamoto","given":"Kenichi"},{"family":"Akiyama","given":"Masato"},{"family":"Ishigaki","given":"Kazuyoshi"},{"family":"Suzuki","given":"Akari"},{"family":"Suzuki","given":"Ken"},{"family":"Obara","given":"Wataru"},{"family":"Yamaji","given":"Ken"},{"family":"Takahashi","given":"Kazuhisa"},{"family":"Asai","given":"Satoshi"},{"family":"Takahashi","given":"Yasuo"},{"family":"Suzuki","given":"Takao"},{"family":"Shinozaki","given":"Nobuaki"},{"family":"Yamaguchi","given":"Hiroki"},{"family":"Minami","given":"Shiro"},{"family":"Murayama","given":"Shigeo"},{"family":"Yoshimori","given":"Kozo"},{"family":"Nagayama","given":"Satoshi"},{"family":"Obata","given":"Daisuke"},{"family":"Higashiyama","given":"Masahiko"},{"family":"Masumoto","given":"Akihide"},{"family":"Koretsune","given":"Yukihiro"},{"literal":"FinnGen"},{"family":"Ito","given":"Kaoru"},{"family":"Terao","given":"Chikashi"},{"family":"Yamauchi","given":"Toshimasa"},{"family":"Komuro","given":"Issei"},{"family":"Kadowaki","given":"Takashi"},{"family":"Tamiya","given":"Gen"},{"family":"Yamamoto","given":"Masayuki"},{"family":"Nakamura","given":"Yusuke"},{"family":"Kubo","given":"Michiaki"},{"family":"Murakami","given":"Yoshinori"},{"family":"Yamamoto","given":"Kazuhiko"},{"family":"Kamatani","given":"Yoichiro"},{"family":"Palotie","given":"Aarno"},{"family":"Rivas","given":"Manuel A."},{"family":"Daly","given":"Mark J."},{"family":"Matsuda","given":"Koichi"},{"family":"Okada","given":"Yukinori"}],"issued":{"date-parts":[["2021",10]]}}}],"schema":"https://github.com/citation-style-language/schema/raw/master/csl-citation.json"} </w:instrText>
            </w:r>
            <w:r w:rsidRPr="004817FD">
              <w:rPr>
                <w:rFonts w:ascii="Arial" w:eastAsia="Times New Roman" w:hAnsi="Arial" w:cs="Arial"/>
                <w:color w:val="000000" w:themeColor="text1"/>
                <w:sz w:val="16"/>
                <w:szCs w:val="16"/>
              </w:rPr>
              <w:fldChar w:fldCharType="separate"/>
            </w:r>
            <w:r w:rsidRPr="004817FD">
              <w:rPr>
                <w:rFonts w:ascii="Arial" w:hAnsi="Arial" w:cs="Arial"/>
                <w:color w:val="000000" w:themeColor="text1"/>
                <w:sz w:val="16"/>
                <w:szCs w:val="16"/>
              </w:rPr>
              <w:t>(Sakaue et al., 2021)</w:t>
            </w:r>
            <w:r w:rsidRPr="004817FD">
              <w:rPr>
                <w:rFonts w:ascii="Arial" w:eastAsia="Times New Roman" w:hAnsi="Arial" w:cs="Arial"/>
                <w:color w:val="000000" w:themeColor="text1"/>
                <w:sz w:val="16"/>
                <w:szCs w:val="16"/>
              </w:rPr>
              <w:fldChar w:fldCharType="end"/>
            </w:r>
          </w:p>
        </w:tc>
        <w:tc>
          <w:tcPr>
            <w:tcW w:w="1082" w:type="dxa"/>
            <w:tcBorders>
              <w:top w:val="single" w:sz="4" w:space="0" w:color="auto"/>
              <w:bottom w:val="single" w:sz="4" w:space="0" w:color="auto"/>
            </w:tcBorders>
          </w:tcPr>
          <w:p w14:paraId="10B0CB6D" w14:textId="1EF9F56B" w:rsidR="00E915EB" w:rsidRPr="004817FD" w:rsidRDefault="00E915EB" w:rsidP="00E915EB">
            <w:pPr>
              <w:rPr>
                <w:rFonts w:ascii="Arial" w:hAnsi="Arial" w:cs="Arial"/>
                <w:color w:val="000000" w:themeColor="text1"/>
                <w:sz w:val="16"/>
                <w:szCs w:val="16"/>
              </w:rPr>
            </w:pPr>
            <w:r w:rsidRPr="004817FD">
              <w:rPr>
                <w:rFonts w:ascii="Arial" w:eastAsia="Times New Roman" w:hAnsi="Arial" w:cs="Arial"/>
                <w:color w:val="000000" w:themeColor="text1"/>
                <w:sz w:val="16"/>
                <w:szCs w:val="16"/>
              </w:rPr>
              <w:t>8:18405351</w:t>
            </w:r>
          </w:p>
        </w:tc>
      </w:tr>
      <w:tr w:rsidR="00E915EB" w:rsidRPr="004817FD" w14:paraId="79E19794" w14:textId="6978BD6E" w:rsidTr="00E915EB">
        <w:trPr>
          <w:trHeight w:val="300"/>
        </w:trPr>
        <w:tc>
          <w:tcPr>
            <w:tcW w:w="1384" w:type="dxa"/>
            <w:tcBorders>
              <w:top w:val="single" w:sz="4" w:space="0" w:color="auto"/>
              <w:bottom w:val="single" w:sz="4" w:space="0" w:color="auto"/>
            </w:tcBorders>
            <w:noWrap/>
          </w:tcPr>
          <w:p w14:paraId="19613367" w14:textId="183B7AF7" w:rsidR="00E915EB" w:rsidRPr="004817FD" w:rsidRDefault="00E915EB" w:rsidP="00E915EB">
            <w:pPr>
              <w:rPr>
                <w:rFonts w:ascii="Arial" w:hAnsi="Arial" w:cs="Arial"/>
                <w:color w:val="000000" w:themeColor="text1"/>
                <w:sz w:val="16"/>
                <w:szCs w:val="16"/>
              </w:rPr>
            </w:pPr>
            <w:r w:rsidRPr="004817FD">
              <w:rPr>
                <w:rFonts w:ascii="Arial" w:eastAsia="Times New Roman" w:hAnsi="Arial" w:cs="Arial"/>
                <w:color w:val="000000" w:themeColor="text1"/>
                <w:sz w:val="16"/>
                <w:szCs w:val="16"/>
              </w:rPr>
              <w:t>rs1995003</w:t>
            </w:r>
          </w:p>
        </w:tc>
        <w:tc>
          <w:tcPr>
            <w:tcW w:w="747" w:type="dxa"/>
            <w:tcBorders>
              <w:top w:val="single" w:sz="4" w:space="0" w:color="auto"/>
              <w:bottom w:val="single" w:sz="4" w:space="0" w:color="auto"/>
            </w:tcBorders>
          </w:tcPr>
          <w:p w14:paraId="1471EA0D" w14:textId="5394621B" w:rsidR="00E915EB" w:rsidRPr="004817FD" w:rsidRDefault="00E915EB" w:rsidP="00E915EB">
            <w:pPr>
              <w:jc w:val="center"/>
              <w:rPr>
                <w:rFonts w:ascii="Arial" w:hAnsi="Arial" w:cs="Arial"/>
                <w:color w:val="000000" w:themeColor="text1"/>
                <w:sz w:val="16"/>
                <w:szCs w:val="16"/>
              </w:rPr>
            </w:pPr>
            <w:r w:rsidRPr="004817FD">
              <w:rPr>
                <w:rFonts w:ascii="Arial" w:hAnsi="Arial" w:cs="Arial"/>
                <w:color w:val="000000" w:themeColor="text1"/>
                <w:sz w:val="16"/>
                <w:szCs w:val="16"/>
              </w:rPr>
              <w:t>Non-coding</w:t>
            </w:r>
          </w:p>
        </w:tc>
        <w:tc>
          <w:tcPr>
            <w:tcW w:w="852" w:type="dxa"/>
            <w:tcBorders>
              <w:top w:val="single" w:sz="4" w:space="0" w:color="auto"/>
              <w:bottom w:val="single" w:sz="4" w:space="0" w:color="auto"/>
            </w:tcBorders>
            <w:noWrap/>
          </w:tcPr>
          <w:p w14:paraId="40FDBEF3" w14:textId="63F2FEB2" w:rsidR="00E915EB" w:rsidRPr="004817FD" w:rsidRDefault="00E915EB" w:rsidP="00E915EB">
            <w:pPr>
              <w:jc w:val="center"/>
              <w:rPr>
                <w:rFonts w:ascii="Arial" w:hAnsi="Arial" w:cs="Arial"/>
                <w:color w:val="000000" w:themeColor="text1"/>
                <w:sz w:val="16"/>
                <w:szCs w:val="16"/>
              </w:rPr>
            </w:pPr>
            <w:r w:rsidRPr="004817FD">
              <w:rPr>
                <w:rFonts w:ascii="Arial" w:eastAsia="Times New Roman" w:hAnsi="Arial" w:cs="Arial"/>
                <w:color w:val="000000" w:themeColor="text1"/>
                <w:sz w:val="16"/>
                <w:szCs w:val="16"/>
              </w:rPr>
              <w:t>T</w:t>
            </w:r>
          </w:p>
        </w:tc>
        <w:tc>
          <w:tcPr>
            <w:tcW w:w="1143" w:type="dxa"/>
            <w:tcBorders>
              <w:top w:val="single" w:sz="4" w:space="0" w:color="auto"/>
              <w:bottom w:val="single" w:sz="4" w:space="0" w:color="auto"/>
            </w:tcBorders>
            <w:noWrap/>
          </w:tcPr>
          <w:p w14:paraId="61934385" w14:textId="38DA3516" w:rsidR="00E915EB" w:rsidRPr="004817FD" w:rsidRDefault="00E915EB" w:rsidP="00E915EB">
            <w:pPr>
              <w:rPr>
                <w:rFonts w:ascii="Arial" w:hAnsi="Arial" w:cs="Arial"/>
                <w:color w:val="000000" w:themeColor="text1"/>
                <w:sz w:val="16"/>
                <w:szCs w:val="16"/>
              </w:rPr>
            </w:pPr>
            <w:r w:rsidRPr="004817FD">
              <w:rPr>
                <w:rFonts w:ascii="Arial" w:eastAsia="Times New Roman" w:hAnsi="Arial" w:cs="Arial"/>
                <w:color w:val="000000" w:themeColor="text1"/>
                <w:sz w:val="16"/>
                <w:szCs w:val="16"/>
              </w:rPr>
              <w:t>6 x 10</w:t>
            </w:r>
            <w:r w:rsidRPr="004817FD">
              <w:rPr>
                <w:rFonts w:ascii="Arial" w:eastAsia="Times New Roman" w:hAnsi="Arial" w:cs="Arial"/>
                <w:color w:val="000000" w:themeColor="text1"/>
                <w:sz w:val="16"/>
                <w:szCs w:val="16"/>
                <w:vertAlign w:val="superscript"/>
              </w:rPr>
              <w:t>-6</w:t>
            </w:r>
          </w:p>
        </w:tc>
        <w:tc>
          <w:tcPr>
            <w:tcW w:w="973" w:type="dxa"/>
            <w:tcBorders>
              <w:top w:val="single" w:sz="4" w:space="0" w:color="auto"/>
              <w:bottom w:val="single" w:sz="4" w:space="0" w:color="auto"/>
            </w:tcBorders>
          </w:tcPr>
          <w:p w14:paraId="2B4490BB" w14:textId="243C9613" w:rsidR="00E915EB" w:rsidRPr="004817FD" w:rsidRDefault="00E915EB" w:rsidP="00E915EB">
            <w:pPr>
              <w:jc w:val="center"/>
              <w:rPr>
                <w:rFonts w:ascii="Arial" w:hAnsi="Arial" w:cs="Arial"/>
                <w:sz w:val="16"/>
                <w:szCs w:val="16"/>
              </w:rPr>
            </w:pPr>
            <w:r w:rsidRPr="004817FD">
              <w:rPr>
                <w:rFonts w:ascii="Arial" w:hAnsi="Arial" w:cs="Arial"/>
                <w:sz w:val="16"/>
                <w:szCs w:val="16"/>
              </w:rPr>
              <w:t>0.2</w:t>
            </w:r>
            <w:r>
              <w:rPr>
                <w:rFonts w:ascii="Arial" w:hAnsi="Arial" w:cs="Arial"/>
                <w:sz w:val="16"/>
                <w:szCs w:val="16"/>
              </w:rPr>
              <w:t>3</w:t>
            </w:r>
          </w:p>
        </w:tc>
        <w:tc>
          <w:tcPr>
            <w:tcW w:w="1084" w:type="dxa"/>
            <w:tcBorders>
              <w:top w:val="single" w:sz="4" w:space="0" w:color="auto"/>
              <w:bottom w:val="single" w:sz="4" w:space="0" w:color="auto"/>
            </w:tcBorders>
            <w:noWrap/>
          </w:tcPr>
          <w:p w14:paraId="2A5F7E0D" w14:textId="0ED56306" w:rsidR="00E915EB" w:rsidRPr="004817FD" w:rsidRDefault="00E915EB" w:rsidP="00E915EB">
            <w:pPr>
              <w:jc w:val="center"/>
              <w:rPr>
                <w:rFonts w:cstheme="minorHAnsi"/>
                <w:color w:val="000000" w:themeColor="text1"/>
                <w:sz w:val="16"/>
                <w:szCs w:val="16"/>
              </w:rPr>
            </w:pPr>
            <w:r w:rsidRPr="004817FD">
              <w:rPr>
                <w:rFonts w:cstheme="minorHAnsi"/>
                <w:sz w:val="16"/>
                <w:szCs w:val="16"/>
              </w:rPr>
              <w:t>↑</w:t>
            </w:r>
          </w:p>
        </w:tc>
        <w:tc>
          <w:tcPr>
            <w:tcW w:w="4301" w:type="dxa"/>
            <w:tcBorders>
              <w:top w:val="single" w:sz="4" w:space="0" w:color="auto"/>
              <w:bottom w:val="single" w:sz="4" w:space="0" w:color="auto"/>
            </w:tcBorders>
            <w:noWrap/>
          </w:tcPr>
          <w:p w14:paraId="67DBDAB7" w14:textId="4BA6D31B" w:rsidR="00E915EB" w:rsidRPr="004817FD" w:rsidRDefault="00E915EB" w:rsidP="00E915EB">
            <w:pPr>
              <w:rPr>
                <w:rFonts w:ascii="Arial" w:hAnsi="Arial" w:cs="Arial"/>
                <w:color w:val="000000" w:themeColor="text1"/>
                <w:sz w:val="16"/>
                <w:szCs w:val="16"/>
              </w:rPr>
            </w:pPr>
            <w:r w:rsidRPr="004817FD">
              <w:rPr>
                <w:rFonts w:ascii="Arial" w:eastAsia="Times New Roman" w:hAnsi="Arial" w:cs="Arial"/>
                <w:color w:val="000000" w:themeColor="text1"/>
                <w:sz w:val="16"/>
                <w:szCs w:val="16"/>
              </w:rPr>
              <w:t>Serum tin levels</w:t>
            </w:r>
          </w:p>
        </w:tc>
        <w:tc>
          <w:tcPr>
            <w:tcW w:w="3109" w:type="dxa"/>
            <w:tcBorders>
              <w:top w:val="single" w:sz="4" w:space="0" w:color="auto"/>
              <w:bottom w:val="single" w:sz="4" w:space="0" w:color="auto"/>
            </w:tcBorders>
            <w:noWrap/>
          </w:tcPr>
          <w:p w14:paraId="78629B02" w14:textId="621ABB57" w:rsidR="00E915EB" w:rsidRPr="004817FD" w:rsidRDefault="00E915EB" w:rsidP="00E915EB">
            <w:pPr>
              <w:rPr>
                <w:rFonts w:ascii="Arial" w:hAnsi="Arial" w:cs="Arial"/>
                <w:color w:val="000000" w:themeColor="text1"/>
                <w:sz w:val="16"/>
                <w:szCs w:val="16"/>
              </w:rPr>
            </w:pPr>
            <w:r w:rsidRPr="004817FD">
              <w:rPr>
                <w:rFonts w:ascii="Arial" w:eastAsia="Times New Roman" w:hAnsi="Arial" w:cs="Arial"/>
                <w:color w:val="000000" w:themeColor="text1"/>
                <w:sz w:val="16"/>
                <w:szCs w:val="16"/>
              </w:rPr>
              <w:fldChar w:fldCharType="begin"/>
            </w:r>
            <w:r>
              <w:rPr>
                <w:rFonts w:ascii="Arial" w:eastAsia="Times New Roman" w:hAnsi="Arial" w:cs="Arial"/>
                <w:color w:val="000000" w:themeColor="text1"/>
                <w:sz w:val="16"/>
                <w:szCs w:val="16"/>
              </w:rPr>
              <w:instrText xml:space="preserve"> ADDIN ZOTERO_ITEM CSL_CITATION {"citationID":"7OBQ2RB1","properties":{"formattedCitation":"(Yang et al., 2022)","plainCitation":"(Yang et al., 2022)","noteIndex":0},"citationItems":[{"id":"8dHjENI5/OwOdcZoP","uris":["http://zotero.org/users/9763947/items/PN4DMVHK"],"itemData":{"id":362,"type":"article-journal","abstract":"Metal elements are present in the human body, and their levels in the blood have important impacts on health. In this study, 2488 Chinese individuals were included in a genome-wide association study of 21 serum metal levels, with approximately 179,000 East Asian individuals in a bidirectional two-sample Mendelian randomization (MR) analysis, and 628,000 Europeans in a two-sample MR analysis. We identified two single nucleotide polymorphisms (SNPs) rs35691438 and rs671 that were significantly associated with serum copper levels (SCLs). The bidirectional two-sample MR analysis in the East Asian population showed that gamma-glutamyl transpeptidase levels have a causal effect on SCLs. SCLs have causal effects on six outcomes, namely risks of esophageal varix, glaucoma, sleep apnea syndrome, and systemic lupus erythematosus, white blood cell count, and usage of drugs affecting bone structure and mineralization. The two-sample MR analyses in the European population showed causal effects of erythrocyte copper levels on risks of carpal tunnel syndrome and compression fracture. Our results provide original insights into the causal relationship between blood metal levels and multiple human phenotypes.","container-title":"Communications Biology","DOI":"10.1038/s42003-022-03351-7","ISSN":"2399-3642","issue":"1","journalAbbreviation":"Commun Biol","language":"eng","note":"PMID: 35501403\nPMCID: PMC9061855","page":"405","source":"PubMed","title":"Genome-wide association and Mendelian randomization study of blood copper levels and 213 deep phenotypes in humans","volume":"5","author":[{"family":"Yang","given":"Wenjun"},{"family":"Li","given":"Longman"},{"family":"Feng","given":"Xiuming"},{"family":"Cheng","given":"Hong"},{"family":"Ge","given":"Xiaoting"},{"family":"Bao","given":"Yu"},{"family":"Huang","given":"Lulu"},{"family":"Wang","given":"Fei"},{"family":"Liu","given":"Chaoqun"},{"family":"Chen","given":"Xing"},{"family":"Mo","given":"Zengnan"},{"family":"Yang","given":"Xiaobo"}],"issued":{"date-parts":[["2022",5,2]]}}}],"schema":"https://github.com/citation-style-language/schema/raw/master/csl-citation.json"} </w:instrText>
            </w:r>
            <w:r w:rsidRPr="004817FD">
              <w:rPr>
                <w:rFonts w:ascii="Arial" w:eastAsia="Times New Roman" w:hAnsi="Arial" w:cs="Arial"/>
                <w:color w:val="000000" w:themeColor="text1"/>
                <w:sz w:val="16"/>
                <w:szCs w:val="16"/>
              </w:rPr>
              <w:fldChar w:fldCharType="separate"/>
            </w:r>
            <w:r w:rsidRPr="004817FD">
              <w:rPr>
                <w:rFonts w:ascii="Arial" w:hAnsi="Arial" w:cs="Arial"/>
                <w:color w:val="000000" w:themeColor="text1"/>
                <w:sz w:val="16"/>
                <w:szCs w:val="16"/>
              </w:rPr>
              <w:t>(Yang et al., 2022)</w:t>
            </w:r>
            <w:r w:rsidRPr="004817FD">
              <w:rPr>
                <w:rFonts w:ascii="Arial" w:eastAsia="Times New Roman" w:hAnsi="Arial" w:cs="Arial"/>
                <w:color w:val="000000" w:themeColor="text1"/>
                <w:sz w:val="16"/>
                <w:szCs w:val="16"/>
              </w:rPr>
              <w:fldChar w:fldCharType="end"/>
            </w:r>
          </w:p>
        </w:tc>
        <w:tc>
          <w:tcPr>
            <w:tcW w:w="1082" w:type="dxa"/>
            <w:tcBorders>
              <w:top w:val="single" w:sz="4" w:space="0" w:color="auto"/>
              <w:bottom w:val="single" w:sz="4" w:space="0" w:color="auto"/>
            </w:tcBorders>
          </w:tcPr>
          <w:p w14:paraId="580824F0" w14:textId="66C13307" w:rsidR="00E915EB" w:rsidRPr="004817FD" w:rsidRDefault="00E915EB" w:rsidP="00E915EB">
            <w:pPr>
              <w:rPr>
                <w:rFonts w:ascii="Arial" w:hAnsi="Arial" w:cs="Arial"/>
                <w:color w:val="000000" w:themeColor="text1"/>
                <w:sz w:val="16"/>
                <w:szCs w:val="16"/>
              </w:rPr>
            </w:pPr>
            <w:r w:rsidRPr="004817FD">
              <w:rPr>
                <w:rFonts w:ascii="Arial" w:eastAsia="Times New Roman" w:hAnsi="Arial" w:cs="Arial"/>
                <w:color w:val="000000" w:themeColor="text1"/>
                <w:sz w:val="16"/>
                <w:szCs w:val="16"/>
              </w:rPr>
              <w:t>8:18475599</w:t>
            </w:r>
          </w:p>
        </w:tc>
      </w:tr>
      <w:tr w:rsidR="00E915EB" w:rsidRPr="004817FD" w14:paraId="644AF1A6" w14:textId="7B17D4CF" w:rsidTr="00E915EB">
        <w:trPr>
          <w:trHeight w:val="300"/>
        </w:trPr>
        <w:tc>
          <w:tcPr>
            <w:tcW w:w="1384" w:type="dxa"/>
            <w:tcBorders>
              <w:top w:val="single" w:sz="4" w:space="0" w:color="auto"/>
            </w:tcBorders>
            <w:noWrap/>
          </w:tcPr>
          <w:p w14:paraId="04A86B78" w14:textId="3D04EAC3" w:rsidR="00E915EB" w:rsidRPr="004817FD" w:rsidRDefault="00E915EB" w:rsidP="00E915EB">
            <w:pPr>
              <w:rPr>
                <w:rFonts w:ascii="Arial" w:hAnsi="Arial" w:cs="Arial"/>
                <w:color w:val="000000" w:themeColor="text1"/>
                <w:sz w:val="16"/>
                <w:szCs w:val="16"/>
              </w:rPr>
            </w:pPr>
            <w:r w:rsidRPr="004817FD">
              <w:rPr>
                <w:rFonts w:ascii="Arial" w:eastAsia="Times New Roman" w:hAnsi="Arial" w:cs="Arial"/>
                <w:color w:val="000000" w:themeColor="text1"/>
                <w:sz w:val="16"/>
                <w:szCs w:val="16"/>
              </w:rPr>
              <w:t>rs35246381</w:t>
            </w:r>
          </w:p>
        </w:tc>
        <w:tc>
          <w:tcPr>
            <w:tcW w:w="747" w:type="dxa"/>
            <w:tcBorders>
              <w:top w:val="single" w:sz="4" w:space="0" w:color="auto"/>
            </w:tcBorders>
          </w:tcPr>
          <w:p w14:paraId="670BABF8" w14:textId="54DF09BB" w:rsidR="00E915EB" w:rsidRPr="004817FD" w:rsidRDefault="00E915EB" w:rsidP="00E915EB">
            <w:pPr>
              <w:jc w:val="center"/>
              <w:rPr>
                <w:rFonts w:ascii="Arial" w:hAnsi="Arial" w:cs="Arial"/>
                <w:color w:val="000000" w:themeColor="text1"/>
                <w:sz w:val="16"/>
                <w:szCs w:val="16"/>
              </w:rPr>
            </w:pPr>
            <w:r w:rsidRPr="004817FD">
              <w:rPr>
                <w:rFonts w:ascii="Arial" w:hAnsi="Arial" w:cs="Arial"/>
                <w:color w:val="000000" w:themeColor="text1"/>
                <w:sz w:val="16"/>
                <w:szCs w:val="16"/>
              </w:rPr>
              <w:t>Non-coding</w:t>
            </w:r>
          </w:p>
        </w:tc>
        <w:tc>
          <w:tcPr>
            <w:tcW w:w="852" w:type="dxa"/>
            <w:noWrap/>
          </w:tcPr>
          <w:p w14:paraId="4C2F877A" w14:textId="5D75F0D5" w:rsidR="00E915EB" w:rsidRPr="004817FD" w:rsidRDefault="00E915EB" w:rsidP="00E915EB">
            <w:pPr>
              <w:jc w:val="center"/>
              <w:rPr>
                <w:rFonts w:ascii="Arial" w:hAnsi="Arial" w:cs="Arial"/>
                <w:color w:val="000000" w:themeColor="text1"/>
                <w:sz w:val="16"/>
                <w:szCs w:val="16"/>
              </w:rPr>
            </w:pPr>
            <w:r w:rsidRPr="004817FD">
              <w:rPr>
                <w:rFonts w:ascii="Arial" w:eastAsia="Times New Roman" w:hAnsi="Arial" w:cs="Arial"/>
                <w:color w:val="000000" w:themeColor="text1"/>
                <w:sz w:val="16"/>
                <w:szCs w:val="16"/>
              </w:rPr>
              <w:t>C</w:t>
            </w:r>
          </w:p>
        </w:tc>
        <w:tc>
          <w:tcPr>
            <w:tcW w:w="1143" w:type="dxa"/>
            <w:noWrap/>
          </w:tcPr>
          <w:p w14:paraId="566D2597" w14:textId="2437CD51" w:rsidR="00E915EB" w:rsidRPr="004817FD" w:rsidRDefault="00E915EB" w:rsidP="00E915EB">
            <w:pPr>
              <w:rPr>
                <w:rFonts w:ascii="Arial" w:hAnsi="Arial" w:cs="Arial"/>
                <w:color w:val="000000" w:themeColor="text1"/>
                <w:sz w:val="16"/>
                <w:szCs w:val="16"/>
              </w:rPr>
            </w:pPr>
            <w:r w:rsidRPr="004817FD">
              <w:rPr>
                <w:rFonts w:ascii="Arial" w:eastAsia="Times New Roman" w:hAnsi="Arial" w:cs="Arial"/>
                <w:color w:val="000000" w:themeColor="text1"/>
                <w:sz w:val="16"/>
                <w:szCs w:val="16"/>
              </w:rPr>
              <w:t>3 x 10</w:t>
            </w:r>
            <w:r w:rsidRPr="004817FD">
              <w:rPr>
                <w:rFonts w:ascii="Arial" w:eastAsia="Times New Roman" w:hAnsi="Arial" w:cs="Arial"/>
                <w:color w:val="000000" w:themeColor="text1"/>
                <w:sz w:val="16"/>
                <w:szCs w:val="16"/>
                <w:vertAlign w:val="superscript"/>
              </w:rPr>
              <w:t>-35</w:t>
            </w:r>
          </w:p>
        </w:tc>
        <w:tc>
          <w:tcPr>
            <w:tcW w:w="973" w:type="dxa"/>
          </w:tcPr>
          <w:p w14:paraId="111492AD" w14:textId="419EEF8B" w:rsidR="00E915EB" w:rsidRPr="004817FD" w:rsidRDefault="00E915EB" w:rsidP="00E915EB">
            <w:pPr>
              <w:jc w:val="center"/>
              <w:rPr>
                <w:rFonts w:ascii="Arial" w:hAnsi="Arial" w:cs="Arial"/>
                <w:sz w:val="16"/>
                <w:szCs w:val="16"/>
              </w:rPr>
            </w:pPr>
            <w:r w:rsidRPr="004817FD">
              <w:rPr>
                <w:rFonts w:ascii="Arial" w:hAnsi="Arial" w:cs="Arial"/>
                <w:sz w:val="16"/>
                <w:szCs w:val="16"/>
              </w:rPr>
              <w:t>0.</w:t>
            </w:r>
            <w:r>
              <w:rPr>
                <w:rFonts w:ascii="Arial" w:hAnsi="Arial" w:cs="Arial"/>
                <w:sz w:val="16"/>
                <w:szCs w:val="16"/>
              </w:rPr>
              <w:t>35</w:t>
            </w:r>
          </w:p>
        </w:tc>
        <w:tc>
          <w:tcPr>
            <w:tcW w:w="1084" w:type="dxa"/>
            <w:noWrap/>
          </w:tcPr>
          <w:p w14:paraId="48B3801C" w14:textId="00712E94" w:rsidR="00E915EB" w:rsidRPr="004817FD" w:rsidRDefault="00E915EB" w:rsidP="00E915EB">
            <w:pPr>
              <w:jc w:val="center"/>
              <w:rPr>
                <w:rFonts w:cstheme="minorHAnsi"/>
                <w:color w:val="000000" w:themeColor="text1"/>
                <w:sz w:val="16"/>
                <w:szCs w:val="16"/>
              </w:rPr>
            </w:pPr>
            <w:r w:rsidRPr="004817FD">
              <w:rPr>
                <w:rFonts w:cstheme="minorHAnsi"/>
                <w:sz w:val="16"/>
                <w:szCs w:val="16"/>
              </w:rPr>
              <w:t>↑</w:t>
            </w:r>
          </w:p>
        </w:tc>
        <w:tc>
          <w:tcPr>
            <w:tcW w:w="4301" w:type="dxa"/>
            <w:noWrap/>
          </w:tcPr>
          <w:p w14:paraId="10CCB3E8" w14:textId="042DB3D6" w:rsidR="00E915EB" w:rsidRPr="004817FD" w:rsidRDefault="00E915EB" w:rsidP="00E915EB">
            <w:pPr>
              <w:rPr>
                <w:rFonts w:ascii="Arial" w:hAnsi="Arial" w:cs="Arial"/>
                <w:color w:val="000000" w:themeColor="text1"/>
                <w:sz w:val="16"/>
                <w:szCs w:val="16"/>
              </w:rPr>
            </w:pPr>
            <w:r w:rsidRPr="004817FD">
              <w:rPr>
                <w:rFonts w:ascii="Arial" w:eastAsia="Times New Roman" w:hAnsi="Arial" w:cs="Arial"/>
                <w:sz w:val="16"/>
                <w:szCs w:val="16"/>
              </w:rPr>
              <w:t>Urinary metabolite levels in chronic kidney disease (</w:t>
            </w:r>
            <w:r w:rsidRPr="004817FD">
              <w:rPr>
                <w:rFonts w:ascii="Arial" w:eastAsia="Times New Roman" w:hAnsi="Arial" w:cs="Arial"/>
                <w:i/>
                <w:sz w:val="16"/>
                <w:szCs w:val="16"/>
              </w:rPr>
              <w:t>N</w:t>
            </w:r>
            <w:r w:rsidRPr="004817FD">
              <w:rPr>
                <w:rFonts w:ascii="Arial" w:eastAsia="Times New Roman" w:hAnsi="Arial" w:cs="Arial"/>
                <w:sz w:val="16"/>
                <w:szCs w:val="16"/>
              </w:rPr>
              <w:t>-acetylputrescine)</w:t>
            </w:r>
          </w:p>
        </w:tc>
        <w:tc>
          <w:tcPr>
            <w:tcW w:w="3109" w:type="dxa"/>
            <w:noWrap/>
          </w:tcPr>
          <w:p w14:paraId="181E7A6A" w14:textId="15B4D432" w:rsidR="00E915EB" w:rsidRPr="004817FD" w:rsidRDefault="00E915EB" w:rsidP="00E915EB">
            <w:pPr>
              <w:rPr>
                <w:rFonts w:ascii="Arial" w:hAnsi="Arial" w:cs="Arial"/>
                <w:color w:val="000000" w:themeColor="text1"/>
                <w:sz w:val="16"/>
                <w:szCs w:val="16"/>
              </w:rPr>
            </w:pPr>
            <w:r w:rsidRPr="004817FD">
              <w:rPr>
                <w:rFonts w:ascii="Arial" w:eastAsia="Times New Roman" w:hAnsi="Arial" w:cs="Arial"/>
                <w:color w:val="000000" w:themeColor="text1"/>
                <w:sz w:val="16"/>
                <w:szCs w:val="16"/>
              </w:rPr>
              <w:fldChar w:fldCharType="begin"/>
            </w:r>
            <w:r>
              <w:rPr>
                <w:rFonts w:ascii="Arial" w:eastAsia="Times New Roman" w:hAnsi="Arial" w:cs="Arial"/>
                <w:color w:val="000000" w:themeColor="text1"/>
                <w:sz w:val="16"/>
                <w:szCs w:val="16"/>
              </w:rPr>
              <w:instrText xml:space="preserve"> ADDIN ZOTERO_ITEM CSL_CITATION {"citationID":"KaMP7js6","properties":{"formattedCitation":"(Schlosser et al., 2020)","plainCitation":"(Schlosser et al., 2020)","noteIndex":0},"citationItems":[{"id":"8dHjENI5/EWWs8qTS","uris":["http://zotero.org/users/9763947/items/B8LZW9V2"],"itemData":{"id":331,"type":"article-journal","abstract":"The kidneys integrate information from continuous systemic processes related to the absorption, distribution, metabolism and excretion (ADME) of metabolites. To identify underlying molecular mechanisms, we performed genome-wide association studies of the urinary concentrations of 1,172 metabolites among 1,627 patients with reduced kidney function. The 240 unique metabolite-locus associations (metabolite quantitative trait loci, mQTLs) that were identified and replicated highlight novel candidate substrates for transport proteins. The identified genes are enriched in ADME-relevant tissues and cell types, and they reveal novel candidates for biotransformation and detoxification reactions. Fine mapping of mQTLs and integration with single-cell gene expression permitted the prioritization of causal genes, functional variants and target cell types. The combination of mQTLs with genetic and health information from 450,000 UK Biobank participants illuminated metabolic mediators, and hence, novel urinary biomarkers of disease risk. This comprehensive resource of genetic targets and their substrates is informative for ADME processes in humans and is relevant to basic science, clinical medicine and pharmaceutical research.","container-title":"Nature Genetics","DOI":"10.1038/s41588-019-0567-8","ISSN":"1546-1718","issue":"2","journalAbbreviation":"Nat Genet","language":"eng","note":"PMID: 31959995\nPMCID: PMC7484970","page":"167-176","source":"PubMed","title":"Genetic studies of urinary metabolites illuminate mechanisms of detoxification and excretion in humans","volume":"52","author":[{"family":"Schlosser","given":"Pascal"},{"family":"Li","given":"Yong"},{"family":"Sekula","given":"Peggy"},{"family":"Raffler","given":"Johannes"},{"family":"Grundner-Culemann","given":"Franziska"},{"family":"Pietzner","given":"Maik"},{"family":"Cheng","given":"Yurong"},{"family":"Wuttke","given":"Matthias"},{"family":"Steinbrenner","given":"Inga"},{"family":"Schultheiss","given":"Ulla T."},{"family":"Kotsis","given":"Fruzsina"},{"family":"Kacprowski","given":"Tim"},{"family":"Forer","given":"Lukas"},{"family":"Hausknecht","given":"Birgit"},{"family":"Ekici","given":"Arif B."},{"family":"Nauck","given":"Matthias"},{"family":"Völker","given":"Uwe"},{"literal":"GCKD Investigators"},{"family":"Walz","given":"Gerd"},{"family":"Oefner","given":"Peter J."},{"family":"Kronenberg","given":"Florian"},{"family":"Mohney","given":"Robert P."},{"family":"Köttgen","given":"Michael"},{"family":"Suhre","given":"Karsten"},{"family":"Eckardt","given":"Kai-Uwe"},{"family":"Kastenmüller","given":"Gabi"},{"family":"Köttgen","given":"Anna"}],"issued":{"date-parts":[["2020",2]]}}}],"schema":"https://github.com/citation-style-language/schema/raw/master/csl-citation.json"} </w:instrText>
            </w:r>
            <w:r w:rsidRPr="004817FD">
              <w:rPr>
                <w:rFonts w:ascii="Arial" w:eastAsia="Times New Roman" w:hAnsi="Arial" w:cs="Arial"/>
                <w:color w:val="000000" w:themeColor="text1"/>
                <w:sz w:val="16"/>
                <w:szCs w:val="16"/>
              </w:rPr>
              <w:fldChar w:fldCharType="separate"/>
            </w:r>
            <w:r w:rsidRPr="004817FD">
              <w:rPr>
                <w:rFonts w:ascii="Arial" w:hAnsi="Arial" w:cs="Arial"/>
                <w:color w:val="000000" w:themeColor="text1"/>
                <w:sz w:val="16"/>
                <w:szCs w:val="16"/>
              </w:rPr>
              <w:t>(Schlosser et al., 2020)</w:t>
            </w:r>
            <w:r w:rsidRPr="004817FD">
              <w:rPr>
                <w:rFonts w:ascii="Arial" w:eastAsia="Times New Roman" w:hAnsi="Arial" w:cs="Arial"/>
                <w:color w:val="000000" w:themeColor="text1"/>
                <w:sz w:val="16"/>
                <w:szCs w:val="16"/>
              </w:rPr>
              <w:fldChar w:fldCharType="end"/>
            </w:r>
          </w:p>
        </w:tc>
        <w:tc>
          <w:tcPr>
            <w:tcW w:w="1082" w:type="dxa"/>
          </w:tcPr>
          <w:p w14:paraId="5C4C05E1" w14:textId="2D1038AD" w:rsidR="00E915EB" w:rsidRPr="004817FD" w:rsidRDefault="00E915EB" w:rsidP="00E915EB">
            <w:pPr>
              <w:rPr>
                <w:rFonts w:ascii="Arial" w:hAnsi="Arial" w:cs="Arial"/>
                <w:color w:val="000000" w:themeColor="text1"/>
                <w:sz w:val="16"/>
                <w:szCs w:val="16"/>
              </w:rPr>
            </w:pPr>
            <w:r w:rsidRPr="004817FD">
              <w:rPr>
                <w:rFonts w:ascii="Arial" w:eastAsia="Times New Roman" w:hAnsi="Arial" w:cs="Arial"/>
                <w:color w:val="000000" w:themeColor="text1"/>
                <w:sz w:val="16"/>
                <w:szCs w:val="16"/>
              </w:rPr>
              <w:t>8:18415025</w:t>
            </w:r>
          </w:p>
        </w:tc>
      </w:tr>
      <w:tr w:rsidR="00E915EB" w:rsidRPr="004817FD" w14:paraId="67119898" w14:textId="03E4293C" w:rsidTr="00E915EB">
        <w:trPr>
          <w:trHeight w:val="300"/>
        </w:trPr>
        <w:tc>
          <w:tcPr>
            <w:tcW w:w="1384" w:type="dxa"/>
            <w:noWrap/>
          </w:tcPr>
          <w:p w14:paraId="7F8B820C" w14:textId="0B852F44" w:rsidR="00E915EB" w:rsidRPr="004817FD" w:rsidRDefault="00E915EB" w:rsidP="00E915EB">
            <w:pPr>
              <w:rPr>
                <w:rFonts w:ascii="Arial" w:hAnsi="Arial" w:cs="Arial"/>
                <w:color w:val="000000" w:themeColor="text1"/>
                <w:sz w:val="16"/>
                <w:szCs w:val="16"/>
              </w:rPr>
            </w:pPr>
          </w:p>
        </w:tc>
        <w:tc>
          <w:tcPr>
            <w:tcW w:w="747" w:type="dxa"/>
          </w:tcPr>
          <w:p w14:paraId="23FC52E6" w14:textId="0F730AF7" w:rsidR="00E915EB" w:rsidRPr="004817FD" w:rsidRDefault="00E915EB" w:rsidP="00E915EB">
            <w:pPr>
              <w:jc w:val="center"/>
              <w:rPr>
                <w:rFonts w:ascii="Arial" w:hAnsi="Arial" w:cs="Arial"/>
                <w:color w:val="000000" w:themeColor="text1"/>
                <w:sz w:val="16"/>
                <w:szCs w:val="16"/>
              </w:rPr>
            </w:pPr>
          </w:p>
        </w:tc>
        <w:tc>
          <w:tcPr>
            <w:tcW w:w="852" w:type="dxa"/>
            <w:noWrap/>
          </w:tcPr>
          <w:p w14:paraId="2608F5C8" w14:textId="5C0B7F3D" w:rsidR="00E915EB" w:rsidRPr="004817FD" w:rsidRDefault="00E915EB" w:rsidP="00E915EB">
            <w:pPr>
              <w:jc w:val="center"/>
              <w:rPr>
                <w:rFonts w:ascii="Arial" w:hAnsi="Arial" w:cs="Arial"/>
                <w:color w:val="000000" w:themeColor="text1"/>
                <w:sz w:val="16"/>
                <w:szCs w:val="16"/>
              </w:rPr>
            </w:pPr>
            <w:r w:rsidRPr="004817FD">
              <w:rPr>
                <w:rFonts w:ascii="Arial" w:eastAsia="Times New Roman" w:hAnsi="Arial" w:cs="Arial"/>
                <w:color w:val="000000" w:themeColor="text1"/>
                <w:sz w:val="16"/>
                <w:szCs w:val="16"/>
              </w:rPr>
              <w:t>C</w:t>
            </w:r>
          </w:p>
        </w:tc>
        <w:tc>
          <w:tcPr>
            <w:tcW w:w="1143" w:type="dxa"/>
            <w:noWrap/>
          </w:tcPr>
          <w:p w14:paraId="40C9B107" w14:textId="3A67D913" w:rsidR="00E915EB" w:rsidRPr="004817FD" w:rsidRDefault="00E915EB" w:rsidP="00E915EB">
            <w:pPr>
              <w:rPr>
                <w:rFonts w:ascii="Arial" w:hAnsi="Arial" w:cs="Arial"/>
                <w:color w:val="000000" w:themeColor="text1"/>
                <w:sz w:val="16"/>
                <w:szCs w:val="16"/>
              </w:rPr>
            </w:pPr>
            <w:r w:rsidRPr="004817FD">
              <w:rPr>
                <w:rFonts w:ascii="Arial" w:eastAsia="Times New Roman" w:hAnsi="Arial" w:cs="Arial"/>
                <w:color w:val="000000" w:themeColor="text1"/>
                <w:sz w:val="16"/>
                <w:szCs w:val="16"/>
              </w:rPr>
              <w:t>2 x 10</w:t>
            </w:r>
            <w:r w:rsidRPr="004817FD">
              <w:rPr>
                <w:rFonts w:ascii="Arial" w:eastAsia="Times New Roman" w:hAnsi="Arial" w:cs="Arial"/>
                <w:color w:val="000000" w:themeColor="text1"/>
                <w:sz w:val="16"/>
                <w:szCs w:val="16"/>
                <w:vertAlign w:val="superscript"/>
              </w:rPr>
              <w:t>-25</w:t>
            </w:r>
          </w:p>
        </w:tc>
        <w:tc>
          <w:tcPr>
            <w:tcW w:w="973" w:type="dxa"/>
          </w:tcPr>
          <w:p w14:paraId="3922E2BA" w14:textId="09587859" w:rsidR="00E915EB" w:rsidRPr="004817FD" w:rsidRDefault="00E915EB" w:rsidP="00E915EB">
            <w:pPr>
              <w:jc w:val="center"/>
              <w:rPr>
                <w:rFonts w:ascii="Arial" w:hAnsi="Arial" w:cs="Arial"/>
                <w:sz w:val="16"/>
                <w:szCs w:val="16"/>
              </w:rPr>
            </w:pPr>
          </w:p>
        </w:tc>
        <w:tc>
          <w:tcPr>
            <w:tcW w:w="1084" w:type="dxa"/>
            <w:noWrap/>
          </w:tcPr>
          <w:p w14:paraId="55AB18E2" w14:textId="5D4B9F15" w:rsidR="00E915EB" w:rsidRPr="004817FD" w:rsidRDefault="00E915EB" w:rsidP="00E915EB">
            <w:pPr>
              <w:jc w:val="center"/>
              <w:rPr>
                <w:rFonts w:cstheme="minorHAnsi"/>
                <w:color w:val="000000" w:themeColor="text1"/>
                <w:sz w:val="16"/>
                <w:szCs w:val="16"/>
              </w:rPr>
            </w:pPr>
            <w:r w:rsidRPr="004817FD">
              <w:rPr>
                <w:rFonts w:cstheme="minorHAnsi"/>
                <w:sz w:val="16"/>
                <w:szCs w:val="16"/>
              </w:rPr>
              <w:t>↑</w:t>
            </w:r>
          </w:p>
        </w:tc>
        <w:tc>
          <w:tcPr>
            <w:tcW w:w="4301" w:type="dxa"/>
            <w:noWrap/>
          </w:tcPr>
          <w:p w14:paraId="678F14A4" w14:textId="45452761" w:rsidR="00E915EB" w:rsidRPr="004817FD" w:rsidRDefault="00E915EB" w:rsidP="00E915EB">
            <w:pPr>
              <w:rPr>
                <w:rFonts w:ascii="Arial" w:hAnsi="Arial" w:cs="Arial"/>
                <w:color w:val="000000" w:themeColor="text1"/>
                <w:sz w:val="16"/>
                <w:szCs w:val="16"/>
              </w:rPr>
            </w:pPr>
            <w:r w:rsidRPr="004817FD">
              <w:rPr>
                <w:rFonts w:ascii="Arial" w:eastAsia="Times New Roman" w:hAnsi="Arial" w:cs="Arial"/>
                <w:sz w:val="16"/>
                <w:szCs w:val="16"/>
              </w:rPr>
              <w:t xml:space="preserve">Urinary metabolite modules in chronic kidney disease (4-acetamidobutanoate, </w:t>
            </w:r>
            <w:proofErr w:type="spellStart"/>
            <w:r w:rsidRPr="004817FD">
              <w:rPr>
                <w:rFonts w:ascii="Arial" w:eastAsia="Times New Roman" w:hAnsi="Arial" w:cs="Arial"/>
                <w:sz w:val="16"/>
                <w:szCs w:val="16"/>
              </w:rPr>
              <w:t>allo</w:t>
            </w:r>
            <w:proofErr w:type="spellEnd"/>
            <w:r w:rsidRPr="004817FD">
              <w:rPr>
                <w:rFonts w:ascii="Arial" w:eastAsia="Times New Roman" w:hAnsi="Arial" w:cs="Arial"/>
                <w:sz w:val="16"/>
                <w:szCs w:val="16"/>
              </w:rPr>
              <w:t xml:space="preserve">-threonine, </w:t>
            </w:r>
            <w:r w:rsidRPr="004817FD">
              <w:rPr>
                <w:rFonts w:ascii="Arial" w:eastAsia="Times New Roman" w:hAnsi="Arial" w:cs="Arial"/>
                <w:i/>
                <w:sz w:val="16"/>
                <w:szCs w:val="16"/>
              </w:rPr>
              <w:t>N</w:t>
            </w:r>
            <w:r w:rsidRPr="004817FD">
              <w:rPr>
                <w:rFonts w:ascii="Arial" w:eastAsia="Times New Roman" w:hAnsi="Arial" w:cs="Arial"/>
                <w:sz w:val="16"/>
                <w:szCs w:val="16"/>
              </w:rPr>
              <w:t>-</w:t>
            </w:r>
            <w:proofErr w:type="spellStart"/>
            <w:r w:rsidRPr="004817FD">
              <w:rPr>
                <w:rFonts w:ascii="Arial" w:eastAsia="Times New Roman" w:hAnsi="Arial" w:cs="Arial"/>
                <w:sz w:val="16"/>
                <w:szCs w:val="16"/>
              </w:rPr>
              <w:t>acetylputrescine</w:t>
            </w:r>
            <w:proofErr w:type="spellEnd"/>
            <w:r w:rsidRPr="004817FD">
              <w:rPr>
                <w:rFonts w:ascii="Arial" w:eastAsia="Times New Roman" w:hAnsi="Arial" w:cs="Arial"/>
                <w:sz w:val="16"/>
                <w:szCs w:val="16"/>
              </w:rPr>
              <w:t>)</w:t>
            </w:r>
          </w:p>
        </w:tc>
        <w:tc>
          <w:tcPr>
            <w:tcW w:w="3109" w:type="dxa"/>
            <w:noWrap/>
          </w:tcPr>
          <w:p w14:paraId="7717CC9D" w14:textId="08CB2EAF" w:rsidR="00E915EB" w:rsidRPr="004817FD" w:rsidRDefault="00E915EB" w:rsidP="00E915EB">
            <w:pPr>
              <w:rPr>
                <w:rFonts w:ascii="Arial" w:hAnsi="Arial" w:cs="Arial"/>
                <w:color w:val="000000" w:themeColor="text1"/>
                <w:sz w:val="16"/>
                <w:szCs w:val="16"/>
              </w:rPr>
            </w:pPr>
            <w:r w:rsidRPr="004817FD">
              <w:rPr>
                <w:rFonts w:ascii="Arial" w:eastAsia="Times New Roman" w:hAnsi="Arial" w:cs="Arial"/>
                <w:color w:val="000000" w:themeColor="text1"/>
                <w:sz w:val="16"/>
                <w:szCs w:val="16"/>
              </w:rPr>
              <w:fldChar w:fldCharType="begin"/>
            </w:r>
            <w:r>
              <w:rPr>
                <w:rFonts w:ascii="Arial" w:eastAsia="Times New Roman" w:hAnsi="Arial" w:cs="Arial"/>
                <w:color w:val="000000" w:themeColor="text1"/>
                <w:sz w:val="16"/>
                <w:szCs w:val="16"/>
              </w:rPr>
              <w:instrText xml:space="preserve"> ADDIN ZOTERO_ITEM CSL_CITATION {"citationID":"9Q4CIKgE","properties":{"formattedCitation":"(Schlosser et al., 2020)","plainCitation":"(Schlosser et al., 2020)","noteIndex":0},"citationItems":[{"id":"8dHjENI5/EWWs8qTS","uris":["http://zotero.org/users/9763947/items/B8LZW9V2"],"itemData":{"id":331,"type":"article-journal","abstract":"The kidneys integrate information from continuous systemic processes related to the absorption, distribution, metabolism and excretion (ADME) of metabolites. To identify underlying molecular mechanisms, we performed genome-wide association studies of the urinary concentrations of 1,172 metabolites among 1,627 patients with reduced kidney function. The 240 unique metabolite-locus associations (metabolite quantitative trait loci, mQTLs) that were identified and replicated highlight novel candidate substrates for transport proteins. The identified genes are enriched in ADME-relevant tissues and cell types, and they reveal novel candidates for biotransformation and detoxification reactions. Fine mapping of mQTLs and integration with single-cell gene expression permitted the prioritization of causal genes, functional variants and target cell types. The combination of mQTLs with genetic and health information from 450,000 UK Biobank participants illuminated metabolic mediators, and hence, novel urinary biomarkers of disease risk. This comprehensive resource of genetic targets and their substrates is informative for ADME processes in humans and is relevant to basic science, clinical medicine and pharmaceutical research.","container-title":"Nature Genetics","DOI":"10.1038/s41588-019-0567-8","ISSN":"1546-1718","issue":"2","journalAbbreviation":"Nat Genet","language":"eng","note":"PMID: 31959995\nPMCID: PMC7484970","page":"167-176","source":"PubMed","title":"Genetic studies of urinary metabolites illuminate mechanisms of detoxification and excretion in humans","volume":"52","author":[{"family":"Schlosser","given":"Pascal"},{"family":"Li","given":"Yong"},{"family":"Sekula","given":"Peggy"},{"family":"Raffler","given":"Johannes"},{"family":"Grundner-Culemann","given":"Franziska"},{"family":"Pietzner","given":"Maik"},{"family":"Cheng","given":"Yurong"},{"family":"Wuttke","given":"Matthias"},{"family":"Steinbrenner","given":"Inga"},{"family":"Schultheiss","given":"Ulla T."},{"family":"Kotsis","given":"Fruzsina"},{"family":"Kacprowski","given":"Tim"},{"family":"Forer","given":"Lukas"},{"family":"Hausknecht","given":"Birgit"},{"family":"Ekici","given":"Arif B."},{"family":"Nauck","given":"Matthias"},{"family":"Völker","given":"Uwe"},{"literal":"GCKD Investigators"},{"family":"Walz","given":"Gerd"},{"family":"Oefner","given":"Peter J."},{"family":"Kronenberg","given":"Florian"},{"family":"Mohney","given":"Robert P."},{"family":"Köttgen","given":"Michael"},{"family":"Suhre","given":"Karsten"},{"family":"Eckardt","given":"Kai-Uwe"},{"family":"Kastenmüller","given":"Gabi"},{"family":"Köttgen","given":"Anna"}],"issued":{"date-parts":[["2020",2]]}}}],"schema":"https://github.com/citation-style-language/schema/raw/master/csl-citation.json"} </w:instrText>
            </w:r>
            <w:r w:rsidRPr="004817FD">
              <w:rPr>
                <w:rFonts w:ascii="Arial" w:eastAsia="Times New Roman" w:hAnsi="Arial" w:cs="Arial"/>
                <w:color w:val="000000" w:themeColor="text1"/>
                <w:sz w:val="16"/>
                <w:szCs w:val="16"/>
              </w:rPr>
              <w:fldChar w:fldCharType="separate"/>
            </w:r>
            <w:r w:rsidRPr="004817FD">
              <w:rPr>
                <w:rFonts w:ascii="Arial" w:hAnsi="Arial" w:cs="Arial"/>
                <w:color w:val="000000" w:themeColor="text1"/>
                <w:sz w:val="16"/>
                <w:szCs w:val="16"/>
              </w:rPr>
              <w:t>(Schlosser et al., 2020)</w:t>
            </w:r>
            <w:r w:rsidRPr="004817FD">
              <w:rPr>
                <w:rFonts w:ascii="Arial" w:eastAsia="Times New Roman" w:hAnsi="Arial" w:cs="Arial"/>
                <w:color w:val="000000" w:themeColor="text1"/>
                <w:sz w:val="16"/>
                <w:szCs w:val="16"/>
              </w:rPr>
              <w:fldChar w:fldCharType="end"/>
            </w:r>
          </w:p>
        </w:tc>
        <w:tc>
          <w:tcPr>
            <w:tcW w:w="1082" w:type="dxa"/>
          </w:tcPr>
          <w:p w14:paraId="630EA22F" w14:textId="5A2B8993" w:rsidR="00E915EB" w:rsidRPr="004817FD" w:rsidRDefault="00E915EB" w:rsidP="00E915EB">
            <w:pPr>
              <w:rPr>
                <w:rFonts w:ascii="Arial" w:hAnsi="Arial" w:cs="Arial"/>
                <w:color w:val="000000" w:themeColor="text1"/>
                <w:sz w:val="16"/>
                <w:szCs w:val="16"/>
              </w:rPr>
            </w:pPr>
          </w:p>
        </w:tc>
      </w:tr>
      <w:tr w:rsidR="00E915EB" w:rsidRPr="004817FD" w14:paraId="38C40C07" w14:textId="4370D88A" w:rsidTr="00E915EB">
        <w:trPr>
          <w:trHeight w:val="300"/>
        </w:trPr>
        <w:tc>
          <w:tcPr>
            <w:tcW w:w="1384" w:type="dxa"/>
            <w:noWrap/>
          </w:tcPr>
          <w:p w14:paraId="2917FF46" w14:textId="1E347903" w:rsidR="00E915EB" w:rsidRPr="004817FD" w:rsidRDefault="00E915EB" w:rsidP="00E915EB">
            <w:pPr>
              <w:rPr>
                <w:rFonts w:ascii="Arial" w:hAnsi="Arial" w:cs="Arial"/>
                <w:color w:val="000000" w:themeColor="text1"/>
                <w:sz w:val="16"/>
                <w:szCs w:val="16"/>
              </w:rPr>
            </w:pPr>
          </w:p>
        </w:tc>
        <w:tc>
          <w:tcPr>
            <w:tcW w:w="747" w:type="dxa"/>
          </w:tcPr>
          <w:p w14:paraId="33D43E98" w14:textId="77777777" w:rsidR="00E915EB" w:rsidRPr="004817FD" w:rsidRDefault="00E915EB" w:rsidP="00E915EB">
            <w:pPr>
              <w:jc w:val="center"/>
              <w:rPr>
                <w:rFonts w:ascii="Arial" w:hAnsi="Arial" w:cs="Arial"/>
                <w:color w:val="000000" w:themeColor="text1"/>
                <w:sz w:val="16"/>
                <w:szCs w:val="16"/>
              </w:rPr>
            </w:pPr>
          </w:p>
        </w:tc>
        <w:tc>
          <w:tcPr>
            <w:tcW w:w="852" w:type="dxa"/>
            <w:noWrap/>
          </w:tcPr>
          <w:p w14:paraId="18A8E42B" w14:textId="219D6456" w:rsidR="00E915EB" w:rsidRPr="004817FD" w:rsidRDefault="00E915EB" w:rsidP="00E915EB">
            <w:pPr>
              <w:jc w:val="center"/>
              <w:rPr>
                <w:rFonts w:ascii="Arial" w:hAnsi="Arial" w:cs="Arial"/>
                <w:color w:val="000000" w:themeColor="text1"/>
                <w:sz w:val="16"/>
                <w:szCs w:val="16"/>
              </w:rPr>
            </w:pPr>
            <w:r w:rsidRPr="004817FD">
              <w:rPr>
                <w:rFonts w:ascii="Arial" w:eastAsia="Times New Roman" w:hAnsi="Arial" w:cs="Arial"/>
                <w:color w:val="000000" w:themeColor="text1"/>
                <w:sz w:val="16"/>
                <w:szCs w:val="16"/>
              </w:rPr>
              <w:t>C</w:t>
            </w:r>
          </w:p>
        </w:tc>
        <w:tc>
          <w:tcPr>
            <w:tcW w:w="1143" w:type="dxa"/>
            <w:noWrap/>
          </w:tcPr>
          <w:p w14:paraId="224600E4" w14:textId="76C2BC9C" w:rsidR="00E915EB" w:rsidRPr="004817FD" w:rsidRDefault="00E915EB" w:rsidP="00E915EB">
            <w:pPr>
              <w:rPr>
                <w:rFonts w:ascii="Arial" w:hAnsi="Arial" w:cs="Arial"/>
                <w:color w:val="000000" w:themeColor="text1"/>
                <w:sz w:val="16"/>
                <w:szCs w:val="16"/>
              </w:rPr>
            </w:pPr>
            <w:r w:rsidRPr="004817FD">
              <w:rPr>
                <w:rFonts w:ascii="Arial" w:eastAsia="Times New Roman" w:hAnsi="Arial" w:cs="Arial"/>
                <w:color w:val="000000" w:themeColor="text1"/>
                <w:sz w:val="16"/>
                <w:szCs w:val="16"/>
              </w:rPr>
              <w:t>1 x 10</w:t>
            </w:r>
            <w:r w:rsidRPr="004817FD">
              <w:rPr>
                <w:rFonts w:ascii="Arial" w:eastAsia="Times New Roman" w:hAnsi="Arial" w:cs="Arial"/>
                <w:color w:val="000000" w:themeColor="text1"/>
                <w:sz w:val="16"/>
                <w:szCs w:val="16"/>
                <w:vertAlign w:val="superscript"/>
              </w:rPr>
              <w:t>-72</w:t>
            </w:r>
          </w:p>
        </w:tc>
        <w:tc>
          <w:tcPr>
            <w:tcW w:w="973" w:type="dxa"/>
          </w:tcPr>
          <w:p w14:paraId="3CA17717" w14:textId="220DA16F" w:rsidR="00E915EB" w:rsidRPr="004817FD" w:rsidRDefault="00E915EB" w:rsidP="00E915EB">
            <w:pPr>
              <w:jc w:val="center"/>
              <w:rPr>
                <w:rFonts w:ascii="Arial" w:hAnsi="Arial" w:cs="Arial"/>
                <w:sz w:val="16"/>
                <w:szCs w:val="16"/>
              </w:rPr>
            </w:pPr>
          </w:p>
        </w:tc>
        <w:tc>
          <w:tcPr>
            <w:tcW w:w="1084" w:type="dxa"/>
            <w:noWrap/>
          </w:tcPr>
          <w:p w14:paraId="0AEE9B23" w14:textId="0A60BF8F" w:rsidR="00E915EB" w:rsidRPr="004817FD" w:rsidRDefault="00E915EB" w:rsidP="00E915EB">
            <w:pPr>
              <w:jc w:val="center"/>
              <w:rPr>
                <w:rFonts w:cstheme="minorHAnsi"/>
                <w:color w:val="000000" w:themeColor="text1"/>
                <w:sz w:val="16"/>
                <w:szCs w:val="16"/>
              </w:rPr>
            </w:pPr>
            <w:r w:rsidRPr="004817FD">
              <w:rPr>
                <w:rFonts w:cstheme="minorHAnsi"/>
                <w:sz w:val="16"/>
                <w:szCs w:val="16"/>
              </w:rPr>
              <w:t>↑</w:t>
            </w:r>
          </w:p>
        </w:tc>
        <w:tc>
          <w:tcPr>
            <w:tcW w:w="4301" w:type="dxa"/>
            <w:noWrap/>
          </w:tcPr>
          <w:p w14:paraId="7BA8195A" w14:textId="151D78EE" w:rsidR="00E915EB" w:rsidRPr="004817FD" w:rsidRDefault="00E915EB" w:rsidP="00E915EB">
            <w:pPr>
              <w:rPr>
                <w:rFonts w:ascii="Arial" w:hAnsi="Arial" w:cs="Arial"/>
                <w:color w:val="000000" w:themeColor="text1"/>
                <w:sz w:val="16"/>
                <w:szCs w:val="16"/>
              </w:rPr>
            </w:pPr>
            <w:r w:rsidRPr="004817FD">
              <w:rPr>
                <w:rFonts w:ascii="Arial" w:eastAsia="Times New Roman" w:hAnsi="Arial" w:cs="Arial"/>
                <w:sz w:val="16"/>
                <w:szCs w:val="16"/>
              </w:rPr>
              <w:t>Urinary metabolite levels in chronic kidney disease (5-acetylamino-6-formylamino-3-methyluracil)</w:t>
            </w:r>
          </w:p>
        </w:tc>
        <w:tc>
          <w:tcPr>
            <w:tcW w:w="3109" w:type="dxa"/>
            <w:noWrap/>
          </w:tcPr>
          <w:p w14:paraId="7AE1854E" w14:textId="3D184349" w:rsidR="00E915EB" w:rsidRPr="004817FD" w:rsidRDefault="00E915EB" w:rsidP="00E915EB">
            <w:pPr>
              <w:rPr>
                <w:rFonts w:ascii="Arial" w:hAnsi="Arial" w:cs="Arial"/>
                <w:color w:val="000000" w:themeColor="text1"/>
                <w:sz w:val="16"/>
                <w:szCs w:val="16"/>
              </w:rPr>
            </w:pPr>
            <w:r w:rsidRPr="004817FD">
              <w:rPr>
                <w:rFonts w:ascii="Arial" w:eastAsia="Times New Roman" w:hAnsi="Arial" w:cs="Arial"/>
                <w:color w:val="000000" w:themeColor="text1"/>
                <w:sz w:val="16"/>
                <w:szCs w:val="16"/>
              </w:rPr>
              <w:fldChar w:fldCharType="begin"/>
            </w:r>
            <w:r>
              <w:rPr>
                <w:rFonts w:ascii="Arial" w:eastAsia="Times New Roman" w:hAnsi="Arial" w:cs="Arial"/>
                <w:color w:val="000000" w:themeColor="text1"/>
                <w:sz w:val="16"/>
                <w:szCs w:val="16"/>
              </w:rPr>
              <w:instrText xml:space="preserve"> ADDIN ZOTERO_ITEM CSL_CITATION {"citationID":"E3P25u5K","properties":{"formattedCitation":"(Schlosser et al., 2020)","plainCitation":"(Schlosser et al., 2020)","noteIndex":0},"citationItems":[{"id":"8dHjENI5/EWWs8qTS","uris":["http://zotero.org/users/9763947/items/B8LZW9V2"],"itemData":{"id":331,"type":"article-journal","abstract":"The kidneys integrate information from continuous systemic processes related to the absorption, distribution, metabolism and excretion (ADME) of metabolites. To identify underlying molecular mechanisms, we performed genome-wide association studies of the urinary concentrations of 1,172 metabolites among 1,627 patients with reduced kidney function. The 240 unique metabolite-locus associations (metabolite quantitative trait loci, mQTLs) that were identified and replicated highlight novel candidate substrates for transport proteins. The identified genes are enriched in ADME-relevant tissues and cell types, and they reveal novel candidates for biotransformation and detoxification reactions. Fine mapping of mQTLs and integration with single-cell gene expression permitted the prioritization of causal genes, functional variants and target cell types. The combination of mQTLs with genetic and health information from 450,000 UK Biobank participants illuminated metabolic mediators, and hence, novel urinary biomarkers of disease risk. This comprehensive resource of genetic targets and their substrates is informative for ADME processes in humans and is relevant to basic science, clinical medicine and pharmaceutical research.","container-title":"Nature Genetics","DOI":"10.1038/s41588-019-0567-8","ISSN":"1546-1718","issue":"2","journalAbbreviation":"Nat Genet","language":"eng","note":"PMID: 31959995\nPMCID: PMC7484970","page":"167-176","source":"PubMed","title":"Genetic studies of urinary metabolites illuminate mechanisms of detoxification and excretion in humans","volume":"52","author":[{"family":"Schlosser","given":"Pascal"},{"family":"Li","given":"Yong"},{"family":"Sekula","given":"Peggy"},{"family":"Raffler","given":"Johannes"},{"family":"Grundner-Culemann","given":"Franziska"},{"family":"Pietzner","given":"Maik"},{"family":"Cheng","given":"Yurong"},{"family":"Wuttke","given":"Matthias"},{"family":"Steinbrenner","given":"Inga"},{"family":"Schultheiss","given":"Ulla T."},{"family":"Kotsis","given":"Fruzsina"},{"family":"Kacprowski","given":"Tim"},{"family":"Forer","given":"Lukas"},{"family":"Hausknecht","given":"Birgit"},{"family":"Ekici","given":"Arif B."},{"family":"Nauck","given":"Matthias"},{"family":"Völker","given":"Uwe"},{"literal":"GCKD Investigators"},{"family":"Walz","given":"Gerd"},{"family":"Oefner","given":"Peter J."},{"family":"Kronenberg","given":"Florian"},{"family":"Mohney","given":"Robert P."},{"family":"Köttgen","given":"Michael"},{"family":"Suhre","given":"Karsten"},{"family":"Eckardt","given":"Kai-Uwe"},{"family":"Kastenmüller","given":"Gabi"},{"family":"Köttgen","given":"Anna"}],"issued":{"date-parts":[["2020",2]]}}}],"schema":"https://github.com/citation-style-language/schema/raw/master/csl-citation.json"} </w:instrText>
            </w:r>
            <w:r w:rsidRPr="004817FD">
              <w:rPr>
                <w:rFonts w:ascii="Arial" w:eastAsia="Times New Roman" w:hAnsi="Arial" w:cs="Arial"/>
                <w:color w:val="000000" w:themeColor="text1"/>
                <w:sz w:val="16"/>
                <w:szCs w:val="16"/>
              </w:rPr>
              <w:fldChar w:fldCharType="separate"/>
            </w:r>
            <w:r w:rsidRPr="004817FD">
              <w:rPr>
                <w:rFonts w:ascii="Arial" w:hAnsi="Arial" w:cs="Arial"/>
                <w:color w:val="000000" w:themeColor="text1"/>
                <w:sz w:val="16"/>
                <w:szCs w:val="16"/>
              </w:rPr>
              <w:t>(Schlosser et al., 2020)</w:t>
            </w:r>
            <w:r w:rsidRPr="004817FD">
              <w:rPr>
                <w:rFonts w:ascii="Arial" w:eastAsia="Times New Roman" w:hAnsi="Arial" w:cs="Arial"/>
                <w:color w:val="000000" w:themeColor="text1"/>
                <w:sz w:val="16"/>
                <w:szCs w:val="16"/>
              </w:rPr>
              <w:fldChar w:fldCharType="end"/>
            </w:r>
          </w:p>
        </w:tc>
        <w:tc>
          <w:tcPr>
            <w:tcW w:w="1082" w:type="dxa"/>
          </w:tcPr>
          <w:p w14:paraId="5B2FFC73" w14:textId="5349C124" w:rsidR="00E915EB" w:rsidRPr="004817FD" w:rsidRDefault="00E915EB" w:rsidP="00E915EB">
            <w:pPr>
              <w:rPr>
                <w:rFonts w:ascii="Arial" w:hAnsi="Arial" w:cs="Arial"/>
                <w:color w:val="000000" w:themeColor="text1"/>
                <w:sz w:val="16"/>
                <w:szCs w:val="16"/>
              </w:rPr>
            </w:pPr>
          </w:p>
        </w:tc>
      </w:tr>
      <w:tr w:rsidR="00E915EB" w:rsidRPr="004817FD" w14:paraId="16A1A613" w14:textId="5AF4AB35" w:rsidTr="00E915EB">
        <w:trPr>
          <w:trHeight w:val="300"/>
        </w:trPr>
        <w:tc>
          <w:tcPr>
            <w:tcW w:w="1384" w:type="dxa"/>
            <w:noWrap/>
          </w:tcPr>
          <w:p w14:paraId="703F5595" w14:textId="5E13338B" w:rsidR="00E915EB" w:rsidRPr="004817FD" w:rsidRDefault="00E915EB" w:rsidP="00E915EB">
            <w:pPr>
              <w:rPr>
                <w:rFonts w:ascii="Arial" w:eastAsia="Times New Roman" w:hAnsi="Arial" w:cs="Arial"/>
                <w:color w:val="000000" w:themeColor="text1"/>
                <w:sz w:val="16"/>
                <w:szCs w:val="16"/>
              </w:rPr>
            </w:pPr>
          </w:p>
        </w:tc>
        <w:tc>
          <w:tcPr>
            <w:tcW w:w="747" w:type="dxa"/>
          </w:tcPr>
          <w:p w14:paraId="67652FB4" w14:textId="77777777" w:rsidR="00E915EB" w:rsidRPr="004817FD" w:rsidRDefault="00E915EB" w:rsidP="00E915EB">
            <w:pPr>
              <w:jc w:val="center"/>
              <w:rPr>
                <w:rFonts w:ascii="Arial" w:eastAsia="Times New Roman" w:hAnsi="Arial" w:cs="Arial"/>
                <w:color w:val="000000" w:themeColor="text1"/>
                <w:sz w:val="16"/>
                <w:szCs w:val="16"/>
              </w:rPr>
            </w:pPr>
          </w:p>
        </w:tc>
        <w:tc>
          <w:tcPr>
            <w:tcW w:w="852" w:type="dxa"/>
            <w:noWrap/>
          </w:tcPr>
          <w:p w14:paraId="48C31C3B" w14:textId="2B6BB88A" w:rsidR="00E915EB" w:rsidRPr="004817FD" w:rsidRDefault="00E915EB" w:rsidP="00E915EB">
            <w:pPr>
              <w:jc w:val="cente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C</w:t>
            </w:r>
          </w:p>
        </w:tc>
        <w:tc>
          <w:tcPr>
            <w:tcW w:w="1143" w:type="dxa"/>
            <w:noWrap/>
          </w:tcPr>
          <w:p w14:paraId="001EDAE1" w14:textId="541E046D"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7 x 10</w:t>
            </w:r>
            <w:r w:rsidRPr="004817FD">
              <w:rPr>
                <w:rFonts w:ascii="Arial" w:eastAsia="Times New Roman" w:hAnsi="Arial" w:cs="Arial"/>
                <w:color w:val="000000" w:themeColor="text1"/>
                <w:sz w:val="16"/>
                <w:szCs w:val="16"/>
                <w:vertAlign w:val="superscript"/>
              </w:rPr>
              <w:t>-128</w:t>
            </w:r>
          </w:p>
        </w:tc>
        <w:tc>
          <w:tcPr>
            <w:tcW w:w="973" w:type="dxa"/>
          </w:tcPr>
          <w:p w14:paraId="70C75EEA" w14:textId="7FF6F484" w:rsidR="00E915EB" w:rsidRPr="004817FD" w:rsidRDefault="00E915EB" w:rsidP="00E915EB">
            <w:pPr>
              <w:jc w:val="center"/>
              <w:rPr>
                <w:rFonts w:ascii="Arial" w:hAnsi="Arial" w:cs="Arial"/>
                <w:sz w:val="16"/>
                <w:szCs w:val="16"/>
              </w:rPr>
            </w:pPr>
          </w:p>
        </w:tc>
        <w:tc>
          <w:tcPr>
            <w:tcW w:w="1084" w:type="dxa"/>
            <w:noWrap/>
          </w:tcPr>
          <w:p w14:paraId="63D9BA55" w14:textId="1962724B" w:rsidR="00E915EB" w:rsidRPr="004817FD" w:rsidRDefault="00E915EB" w:rsidP="00E915EB">
            <w:pPr>
              <w:jc w:val="center"/>
              <w:rPr>
                <w:rFonts w:eastAsia="Times New Roman" w:cstheme="minorHAnsi"/>
                <w:color w:val="000000" w:themeColor="text1"/>
                <w:sz w:val="16"/>
                <w:szCs w:val="16"/>
              </w:rPr>
            </w:pPr>
            <w:r w:rsidRPr="004817FD">
              <w:rPr>
                <w:rFonts w:cstheme="minorHAnsi"/>
                <w:sz w:val="16"/>
                <w:szCs w:val="16"/>
              </w:rPr>
              <w:t>↑</w:t>
            </w:r>
          </w:p>
        </w:tc>
        <w:tc>
          <w:tcPr>
            <w:tcW w:w="4301" w:type="dxa"/>
            <w:noWrap/>
          </w:tcPr>
          <w:p w14:paraId="2E5B1A36" w14:textId="29D96B3E"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Serum metabolite levels (5-acetylamino-6-formylamino-3-methyluracil)</w:t>
            </w:r>
          </w:p>
        </w:tc>
        <w:tc>
          <w:tcPr>
            <w:tcW w:w="3109" w:type="dxa"/>
            <w:noWrap/>
          </w:tcPr>
          <w:p w14:paraId="780944CF" w14:textId="1FCDF0F3"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fldChar w:fldCharType="begin"/>
            </w:r>
            <w:r>
              <w:rPr>
                <w:rFonts w:ascii="Arial" w:eastAsia="Times New Roman" w:hAnsi="Arial" w:cs="Arial"/>
                <w:color w:val="000000" w:themeColor="text1"/>
                <w:sz w:val="16"/>
                <w:szCs w:val="16"/>
              </w:rPr>
              <w:instrText xml:space="preserve"> ADDIN ZOTERO_ITEM CSL_CITATION {"citationID":"hd38lBU6","properties":{"formattedCitation":"(Feofanova et al., 2020)","plainCitation":"(Feofanova et al., 2020)","noteIndex":0},"citationItems":[{"id":"8dHjENI5/cP2RLLPI","uris":["http://zotero.org/users/9763947/items/BIRNKA6U"],"itemData":{"id":276,"type":"article-journal","abstract":"Variation in levels of the human metabolome reflect changes in homeostasis, providing a window into health and disease. The genetic impact on circulating metabolites in Hispanics, a population with high cardiometabolic disease burden, is largely unknown. We conducted genome-wide association analyses on 640 circulating metabolites in 3,926 Hispanic Community Health Study/Study of Latinos participants. The estimated heritability for 640 metabolites ranged between 0%-54% with a median at 2.5%. We discovered 46 variant-metabolite pairs (p value &lt; 1.2 × 10-10, minor allele frequency ≥ 1%, proportion of variance explained [PEV] mean = 3.4%, PEVrange = 1%-22%) with generalized effects in two population-based studies and confirmed 301 known locus-metabolite associations. Half of the identified variants with generalized effect were located in genes, including five nonsynonymous variants. We identified co-localization with the expression quantitative trait loci at 105 discovered and 151 known loci-metabolites sets. rs5855544, upstream of SLC51A, was associated with higher levels of three steroid sulfates and co-localized with expression levels of SLC51A in several tissues. Mendelian randomization (MR) analysis identified several metabolites associated with coronary heart disease (CHD) and type 2 diabetes. For example, two variants located in or near CYP4F2 (rs2108622 and rs79400241, respectively), involved in vitamin E metabolism, were associated with the levels of octadecanedioate and vitamin E metabolites (gamma-CEHC and gamma-CEHC glucuronide); MR analysis showed that genetically high levels of these metabolites were associated with lower odds of CHD. Our findings document the genetic architecture of circulating metabolites in an underrepresented Hispanic/Latino community, shedding light on disease etiology.","container-title":"American Journal of Human Genetics","DOI":"10.1016/j.ajhg.2020.09.003","ISSN":"1537-6605","issue":"5","journalAbbreviation":"Am J Hum Genet","language":"eng","note":"PMID: 33031748\nPMCID: PMC7675000","page":"849-863","source":"PubMed","title":"A Genome-wide Association Study Discovers 46 Loci of the Human Metabolome in the Hispanic Community Health Study/Study of Latinos","volume":"107","author":[{"family":"Feofanova","given":"Elena V."},{"family":"Chen","given":"Han"},{"family":"Dai","given":"Yulin"},{"family":"Jia","given":"Peilin"},{"family":"Grove","given":"Megan L."},{"family":"Morrison","given":"Alanna C."},{"family":"Qi","given":"Qibin"},{"family":"Daviglus","given":"Martha"},{"family":"Cai","given":"Jianwen"},{"family":"North","given":"Kari E."},{"family":"Laurie","given":"Cathy C."},{"family":"Kaplan","given":"Robert C."},{"family":"Boerwinkle","given":"Eric"},{"family":"Yu","given":"Bing"}],"issued":{"date-parts":[["2020",11,5]]}}}],"schema":"https://github.com/citation-style-language/schema/raw/master/csl-citation.json"} </w:instrText>
            </w:r>
            <w:r w:rsidRPr="004817FD">
              <w:rPr>
                <w:rFonts w:ascii="Arial" w:eastAsia="Times New Roman" w:hAnsi="Arial" w:cs="Arial"/>
                <w:color w:val="000000" w:themeColor="text1"/>
                <w:sz w:val="16"/>
                <w:szCs w:val="16"/>
              </w:rPr>
              <w:fldChar w:fldCharType="separate"/>
            </w:r>
            <w:r w:rsidRPr="004817FD">
              <w:rPr>
                <w:rFonts w:ascii="Arial" w:hAnsi="Arial" w:cs="Arial"/>
                <w:color w:val="000000" w:themeColor="text1"/>
                <w:sz w:val="16"/>
                <w:szCs w:val="16"/>
              </w:rPr>
              <w:t>(Feofanova et al., 2020)</w:t>
            </w:r>
            <w:r w:rsidRPr="004817FD">
              <w:rPr>
                <w:rFonts w:ascii="Arial" w:eastAsia="Times New Roman" w:hAnsi="Arial" w:cs="Arial"/>
                <w:color w:val="000000" w:themeColor="text1"/>
                <w:sz w:val="16"/>
                <w:szCs w:val="16"/>
              </w:rPr>
              <w:fldChar w:fldCharType="end"/>
            </w:r>
          </w:p>
        </w:tc>
        <w:tc>
          <w:tcPr>
            <w:tcW w:w="1082" w:type="dxa"/>
          </w:tcPr>
          <w:p w14:paraId="7758EB83" w14:textId="4F835BC4" w:rsidR="00E915EB" w:rsidRPr="004817FD" w:rsidRDefault="00E915EB" w:rsidP="00E915EB">
            <w:pPr>
              <w:rPr>
                <w:rFonts w:ascii="Arial" w:eastAsia="Times New Roman" w:hAnsi="Arial" w:cs="Arial"/>
                <w:color w:val="000000" w:themeColor="text1"/>
                <w:sz w:val="16"/>
                <w:szCs w:val="16"/>
              </w:rPr>
            </w:pPr>
          </w:p>
        </w:tc>
      </w:tr>
      <w:tr w:rsidR="00E915EB" w:rsidRPr="004817FD" w14:paraId="29B3B6FC" w14:textId="295009EF" w:rsidTr="00E915EB">
        <w:trPr>
          <w:trHeight w:val="300"/>
        </w:trPr>
        <w:tc>
          <w:tcPr>
            <w:tcW w:w="1384" w:type="dxa"/>
            <w:noWrap/>
          </w:tcPr>
          <w:p w14:paraId="526CD788" w14:textId="21AD31F7" w:rsidR="00E915EB" w:rsidRPr="004817FD" w:rsidRDefault="00E915EB" w:rsidP="00E915EB">
            <w:pPr>
              <w:rPr>
                <w:rFonts w:ascii="Arial" w:eastAsia="Times New Roman" w:hAnsi="Arial" w:cs="Arial"/>
                <w:color w:val="000000" w:themeColor="text1"/>
                <w:sz w:val="16"/>
                <w:szCs w:val="16"/>
              </w:rPr>
            </w:pPr>
          </w:p>
        </w:tc>
        <w:tc>
          <w:tcPr>
            <w:tcW w:w="747" w:type="dxa"/>
          </w:tcPr>
          <w:p w14:paraId="58EC8A19" w14:textId="77777777" w:rsidR="00E915EB" w:rsidRPr="004817FD" w:rsidRDefault="00E915EB" w:rsidP="00E915EB">
            <w:pPr>
              <w:jc w:val="center"/>
              <w:rPr>
                <w:rFonts w:ascii="Arial" w:eastAsia="Times New Roman" w:hAnsi="Arial" w:cs="Arial"/>
                <w:color w:val="000000" w:themeColor="text1"/>
                <w:sz w:val="16"/>
                <w:szCs w:val="16"/>
              </w:rPr>
            </w:pPr>
          </w:p>
        </w:tc>
        <w:tc>
          <w:tcPr>
            <w:tcW w:w="852" w:type="dxa"/>
            <w:noWrap/>
          </w:tcPr>
          <w:p w14:paraId="349551D3" w14:textId="6437D27E" w:rsidR="00E915EB" w:rsidRPr="004817FD" w:rsidRDefault="00E915EB" w:rsidP="00E915EB">
            <w:pPr>
              <w:jc w:val="cente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C</w:t>
            </w:r>
          </w:p>
        </w:tc>
        <w:tc>
          <w:tcPr>
            <w:tcW w:w="1143" w:type="dxa"/>
            <w:noWrap/>
          </w:tcPr>
          <w:p w14:paraId="5F70E830" w14:textId="449ACC89"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6 x 10</w:t>
            </w:r>
            <w:r w:rsidRPr="004817FD">
              <w:rPr>
                <w:rFonts w:ascii="Arial" w:eastAsia="Times New Roman" w:hAnsi="Arial" w:cs="Arial"/>
                <w:color w:val="000000" w:themeColor="text1"/>
                <w:sz w:val="16"/>
                <w:szCs w:val="16"/>
                <w:vertAlign w:val="superscript"/>
              </w:rPr>
              <w:t>-24</w:t>
            </w:r>
          </w:p>
        </w:tc>
        <w:tc>
          <w:tcPr>
            <w:tcW w:w="973" w:type="dxa"/>
          </w:tcPr>
          <w:p w14:paraId="7CC38727" w14:textId="400F59F3" w:rsidR="00E915EB" w:rsidRPr="004817FD" w:rsidRDefault="00E915EB" w:rsidP="00E915EB">
            <w:pPr>
              <w:jc w:val="center"/>
              <w:rPr>
                <w:rFonts w:ascii="Arial" w:hAnsi="Arial" w:cs="Arial"/>
                <w:sz w:val="16"/>
                <w:szCs w:val="16"/>
              </w:rPr>
            </w:pPr>
          </w:p>
        </w:tc>
        <w:tc>
          <w:tcPr>
            <w:tcW w:w="1084" w:type="dxa"/>
            <w:noWrap/>
          </w:tcPr>
          <w:p w14:paraId="4FCFA6DE" w14:textId="2B9135A3" w:rsidR="00E915EB" w:rsidRPr="004817FD" w:rsidRDefault="00E915EB" w:rsidP="00E915EB">
            <w:pPr>
              <w:jc w:val="center"/>
              <w:rPr>
                <w:rFonts w:eastAsia="Times New Roman" w:cstheme="minorHAnsi"/>
                <w:color w:val="000000" w:themeColor="text1"/>
                <w:sz w:val="16"/>
                <w:szCs w:val="16"/>
              </w:rPr>
            </w:pPr>
            <w:r w:rsidRPr="004817FD">
              <w:rPr>
                <w:rFonts w:cstheme="minorHAnsi"/>
                <w:sz w:val="16"/>
                <w:szCs w:val="16"/>
              </w:rPr>
              <w:t>↑</w:t>
            </w:r>
          </w:p>
        </w:tc>
        <w:tc>
          <w:tcPr>
            <w:tcW w:w="4301" w:type="dxa"/>
            <w:noWrap/>
          </w:tcPr>
          <w:p w14:paraId="2533A5DA" w14:textId="2C3F1D90"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sz w:val="16"/>
                <w:szCs w:val="16"/>
              </w:rPr>
              <w:t xml:space="preserve">Urinary metabolite levels in chronic kidney disease (5-acetylamino-6-amino-3-methyluracil) </w:t>
            </w:r>
          </w:p>
        </w:tc>
        <w:tc>
          <w:tcPr>
            <w:tcW w:w="3109" w:type="dxa"/>
            <w:noWrap/>
          </w:tcPr>
          <w:p w14:paraId="496E5B5C" w14:textId="3B19CC38"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fldChar w:fldCharType="begin"/>
            </w:r>
            <w:r>
              <w:rPr>
                <w:rFonts w:ascii="Arial" w:eastAsia="Times New Roman" w:hAnsi="Arial" w:cs="Arial"/>
                <w:color w:val="000000" w:themeColor="text1"/>
                <w:sz w:val="16"/>
                <w:szCs w:val="16"/>
              </w:rPr>
              <w:instrText xml:space="preserve"> ADDIN ZOTERO_ITEM CSL_CITATION {"citationID":"ieCbpFFR","properties":{"formattedCitation":"(Schlosser et al., 2020)","plainCitation":"(Schlosser et al., 2020)","noteIndex":0},"citationItems":[{"id":"8dHjENI5/EWWs8qTS","uris":["http://zotero.org/users/9763947/items/B8LZW9V2"],"itemData":{"id":331,"type":"article-journal","abstract":"The kidneys integrate information from continuous systemic processes related to the absorption, distribution, metabolism and excretion (ADME) of metabolites. To identify underlying molecular mechanisms, we performed genome-wide association studies of the urinary concentrations of 1,172 metabolites among 1,627 patients with reduced kidney function. The 240 unique metabolite-locus associations (metabolite quantitative trait loci, mQTLs) that were identified and replicated highlight novel candidate substrates for transport proteins. The identified genes are enriched in ADME-relevant tissues and cell types, and they reveal novel candidates for biotransformation and detoxification reactions. Fine mapping of mQTLs and integration with single-cell gene expression permitted the prioritization of causal genes, functional variants and target cell types. The combination of mQTLs with genetic and health information from 450,000 UK Biobank participants illuminated metabolic mediators, and hence, novel urinary biomarkers of disease risk. This comprehensive resource of genetic targets and their substrates is informative for ADME processes in humans and is relevant to basic science, clinical medicine and pharmaceutical research.","container-title":"Nature Genetics","DOI":"10.1038/s41588-019-0567-8","ISSN":"1546-1718","issue":"2","journalAbbreviation":"Nat Genet","language":"eng","note":"PMID: 31959995\nPMCID: PMC7484970","page":"167-176","source":"PubMed","title":"Genetic studies of urinary metabolites illuminate mechanisms of detoxification and excretion in humans","volume":"52","author":[{"family":"Schlosser","given":"Pascal"},{"family":"Li","given":"Yong"},{"family":"Sekula","given":"Peggy"},{"family":"Raffler","given":"Johannes"},{"family":"Grundner-Culemann","given":"Franziska"},{"family":"Pietzner","given":"Maik"},{"family":"Cheng","given":"Yurong"},{"family":"Wuttke","given":"Matthias"},{"family":"Steinbrenner","given":"Inga"},{"family":"Schultheiss","given":"Ulla T."},{"family":"Kotsis","given":"Fruzsina"},{"family":"Kacprowski","given":"Tim"},{"family":"Forer","given":"Lukas"},{"family":"Hausknecht","given":"Birgit"},{"family":"Ekici","given":"Arif B."},{"family":"Nauck","given":"Matthias"},{"family":"Völker","given":"Uwe"},{"literal":"GCKD Investigators"},{"family":"Walz","given":"Gerd"},{"family":"Oefner","given":"Peter J."},{"family":"Kronenberg","given":"Florian"},{"family":"Mohney","given":"Robert P."},{"family":"Köttgen","given":"Michael"},{"family":"Suhre","given":"Karsten"},{"family":"Eckardt","given":"Kai-Uwe"},{"family":"Kastenmüller","given":"Gabi"},{"family":"Köttgen","given":"Anna"}],"issued":{"date-parts":[["2020",2]]}}}],"schema":"https://github.com/citation-style-language/schema/raw/master/csl-citation.json"} </w:instrText>
            </w:r>
            <w:r w:rsidRPr="004817FD">
              <w:rPr>
                <w:rFonts w:ascii="Arial" w:eastAsia="Times New Roman" w:hAnsi="Arial" w:cs="Arial"/>
                <w:color w:val="000000" w:themeColor="text1"/>
                <w:sz w:val="16"/>
                <w:szCs w:val="16"/>
              </w:rPr>
              <w:fldChar w:fldCharType="separate"/>
            </w:r>
            <w:r w:rsidRPr="004817FD">
              <w:rPr>
                <w:rFonts w:ascii="Arial" w:hAnsi="Arial" w:cs="Arial"/>
                <w:color w:val="000000" w:themeColor="text1"/>
                <w:sz w:val="16"/>
                <w:szCs w:val="16"/>
              </w:rPr>
              <w:t>(Schlosser et al., 2020)</w:t>
            </w:r>
            <w:r w:rsidRPr="004817FD">
              <w:rPr>
                <w:rFonts w:ascii="Arial" w:eastAsia="Times New Roman" w:hAnsi="Arial" w:cs="Arial"/>
                <w:color w:val="000000" w:themeColor="text1"/>
                <w:sz w:val="16"/>
                <w:szCs w:val="16"/>
              </w:rPr>
              <w:fldChar w:fldCharType="end"/>
            </w:r>
          </w:p>
        </w:tc>
        <w:tc>
          <w:tcPr>
            <w:tcW w:w="1082" w:type="dxa"/>
          </w:tcPr>
          <w:p w14:paraId="7E99EDB6" w14:textId="7D64584C" w:rsidR="00E915EB" w:rsidRPr="004817FD" w:rsidRDefault="00E915EB" w:rsidP="00E915EB">
            <w:pPr>
              <w:rPr>
                <w:rFonts w:ascii="Arial" w:eastAsia="Times New Roman" w:hAnsi="Arial" w:cs="Arial"/>
                <w:color w:val="000000" w:themeColor="text1"/>
                <w:sz w:val="16"/>
                <w:szCs w:val="16"/>
              </w:rPr>
            </w:pPr>
          </w:p>
        </w:tc>
      </w:tr>
      <w:tr w:rsidR="00E915EB" w:rsidRPr="004817FD" w14:paraId="523627D8" w14:textId="76965F99" w:rsidTr="00E915EB">
        <w:trPr>
          <w:trHeight w:val="300"/>
        </w:trPr>
        <w:tc>
          <w:tcPr>
            <w:tcW w:w="1384" w:type="dxa"/>
            <w:tcBorders>
              <w:bottom w:val="single" w:sz="4" w:space="0" w:color="auto"/>
            </w:tcBorders>
            <w:noWrap/>
          </w:tcPr>
          <w:p w14:paraId="11C5CAFE" w14:textId="44DDDA1F" w:rsidR="00E915EB" w:rsidRPr="004817FD" w:rsidRDefault="00E915EB" w:rsidP="00E915EB">
            <w:pPr>
              <w:rPr>
                <w:rFonts w:ascii="Arial" w:eastAsia="Times New Roman" w:hAnsi="Arial" w:cs="Arial"/>
                <w:color w:val="000000" w:themeColor="text1"/>
                <w:sz w:val="16"/>
                <w:szCs w:val="16"/>
              </w:rPr>
            </w:pPr>
          </w:p>
        </w:tc>
        <w:tc>
          <w:tcPr>
            <w:tcW w:w="747" w:type="dxa"/>
            <w:tcBorders>
              <w:bottom w:val="single" w:sz="4" w:space="0" w:color="auto"/>
            </w:tcBorders>
          </w:tcPr>
          <w:p w14:paraId="5C23005A" w14:textId="77777777" w:rsidR="00E915EB" w:rsidRPr="004817FD" w:rsidRDefault="00E915EB" w:rsidP="00E915EB">
            <w:pPr>
              <w:jc w:val="center"/>
              <w:rPr>
                <w:rFonts w:ascii="Arial" w:eastAsia="Times New Roman" w:hAnsi="Arial" w:cs="Arial"/>
                <w:color w:val="000000" w:themeColor="text1"/>
                <w:sz w:val="16"/>
                <w:szCs w:val="16"/>
              </w:rPr>
            </w:pPr>
          </w:p>
        </w:tc>
        <w:tc>
          <w:tcPr>
            <w:tcW w:w="852" w:type="dxa"/>
            <w:tcBorders>
              <w:bottom w:val="single" w:sz="4" w:space="0" w:color="auto"/>
            </w:tcBorders>
            <w:noWrap/>
          </w:tcPr>
          <w:p w14:paraId="6C093BC7" w14:textId="63BDD0D1" w:rsidR="00E915EB" w:rsidRPr="004817FD" w:rsidRDefault="00E915EB" w:rsidP="00E915EB">
            <w:pPr>
              <w:jc w:val="cente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C</w:t>
            </w:r>
          </w:p>
        </w:tc>
        <w:tc>
          <w:tcPr>
            <w:tcW w:w="1143" w:type="dxa"/>
            <w:tcBorders>
              <w:bottom w:val="single" w:sz="4" w:space="0" w:color="auto"/>
            </w:tcBorders>
            <w:noWrap/>
          </w:tcPr>
          <w:p w14:paraId="39472267" w14:textId="2BE537BB"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3 x 10</w:t>
            </w:r>
            <w:r w:rsidRPr="004817FD">
              <w:rPr>
                <w:rFonts w:ascii="Arial" w:eastAsia="Times New Roman" w:hAnsi="Arial" w:cs="Arial"/>
                <w:color w:val="000000" w:themeColor="text1"/>
                <w:sz w:val="16"/>
                <w:szCs w:val="16"/>
                <w:vertAlign w:val="superscript"/>
              </w:rPr>
              <w:t>-202</w:t>
            </w:r>
          </w:p>
        </w:tc>
        <w:tc>
          <w:tcPr>
            <w:tcW w:w="973" w:type="dxa"/>
            <w:tcBorders>
              <w:bottom w:val="single" w:sz="4" w:space="0" w:color="auto"/>
            </w:tcBorders>
          </w:tcPr>
          <w:p w14:paraId="43F1BF54" w14:textId="27FA8BA2" w:rsidR="00E915EB" w:rsidRPr="004817FD" w:rsidRDefault="00E915EB" w:rsidP="00E915EB">
            <w:pPr>
              <w:jc w:val="center"/>
              <w:rPr>
                <w:rFonts w:ascii="Arial" w:hAnsi="Arial" w:cs="Arial"/>
                <w:sz w:val="16"/>
                <w:szCs w:val="16"/>
              </w:rPr>
            </w:pPr>
          </w:p>
        </w:tc>
        <w:tc>
          <w:tcPr>
            <w:tcW w:w="1084" w:type="dxa"/>
            <w:tcBorders>
              <w:bottom w:val="single" w:sz="4" w:space="0" w:color="auto"/>
            </w:tcBorders>
            <w:noWrap/>
          </w:tcPr>
          <w:p w14:paraId="7EBD13F6" w14:textId="7424D44F" w:rsidR="00E915EB" w:rsidRPr="004817FD" w:rsidRDefault="00E915EB" w:rsidP="00E915EB">
            <w:pPr>
              <w:jc w:val="center"/>
              <w:rPr>
                <w:rFonts w:eastAsia="Times New Roman" w:cstheme="minorHAnsi"/>
                <w:color w:val="000000" w:themeColor="text1"/>
                <w:sz w:val="16"/>
                <w:szCs w:val="16"/>
              </w:rPr>
            </w:pPr>
            <w:r w:rsidRPr="004817FD">
              <w:rPr>
                <w:rFonts w:cstheme="minorHAnsi"/>
                <w:sz w:val="16"/>
                <w:szCs w:val="16"/>
              </w:rPr>
              <w:t>↑</w:t>
            </w:r>
          </w:p>
        </w:tc>
        <w:tc>
          <w:tcPr>
            <w:tcW w:w="4301" w:type="dxa"/>
            <w:tcBorders>
              <w:bottom w:val="single" w:sz="4" w:space="0" w:color="auto"/>
            </w:tcBorders>
            <w:noWrap/>
          </w:tcPr>
          <w:p w14:paraId="27837E11" w14:textId="50503090"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sz w:val="16"/>
                <w:szCs w:val="16"/>
              </w:rPr>
              <w:t xml:space="preserve">Urinary metabolites </w:t>
            </w:r>
          </w:p>
        </w:tc>
        <w:tc>
          <w:tcPr>
            <w:tcW w:w="3109" w:type="dxa"/>
            <w:tcBorders>
              <w:bottom w:val="single" w:sz="4" w:space="0" w:color="auto"/>
            </w:tcBorders>
            <w:noWrap/>
          </w:tcPr>
          <w:p w14:paraId="7A88190E" w14:textId="0058237A"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fldChar w:fldCharType="begin"/>
            </w:r>
            <w:r>
              <w:rPr>
                <w:rFonts w:ascii="Arial" w:eastAsia="Times New Roman" w:hAnsi="Arial" w:cs="Arial"/>
                <w:color w:val="000000" w:themeColor="text1"/>
                <w:sz w:val="16"/>
                <w:szCs w:val="16"/>
              </w:rPr>
              <w:instrText xml:space="preserve"> ADDIN ZOTERO_ITEM CSL_CITATION {"citationID":"R4VDEIyg","properties":{"formattedCitation":"(Raffler et al., 2015)","plainCitation":"(Raffler et al., 2015)","noteIndex":0},"citationItems":[{"id":"8dHjENI5/PJo2ZTHs","uris":["http://zotero.org/users/9763947/items/D4EGAWQH"],"itemData":{"id":377,"type":"article-journal","abstract":"Genome-wide association studies with metabolic traits (mGWAS) uncovered many genetic variants that influence human metabolism. These genetically influenced metabotypes (GIMs) contribute to our metabolic individuality, our capacity to respond to environmental challenges, and our susceptibility to specific diseases. While metabolic homeostasis in blood is a well investigated topic in large mGWAS with over 150 known loci, metabolic detoxification through urinary excretion has only been addressed by few small mGWAS with only 11 associated loci so far. Here we report the largest mGWAS to date, combining targeted and non-targeted 1H NMR analysis of urine samples from 3,861 participants of the SHIP-0 cohort and 1,691 subjects of the KORA F4 cohort. We identified and replicated 22 loci with significant associations with urinary traits, 15 of which are new (HIBCH, CPS1, AGXT, XYLB, TKT, ETNPPL, SLC6A19, DMGDH, SLC36A2, GLDC, SLC6A13, ACSM3, SLC5A11, PNMT, SLC13A3). Two-thirds of the urinary loci also have a metabolite association in blood. For all but one of the 6 loci where significant associations target the same metabolite in blood and urine, the genetic effects have the same direction in both fluids. In contrast, for the SLC5A11 locus, we found increased levels of myo-inositol in urine whereas mGWAS in blood reported decreased levels for the same genetic variant. This might indicate less effective re-absorption of myo-inositol in the kidneys of carriers. In summary, our study more than doubles the number of known loci that influence urinary phenotypes. It thus allows novel insights into the relationship between blood homeostasis and its regulation through excretion. The newly discovered loci also include variants previously linked to chronic kidney disease (CPS1, SLC6A13), pulmonary hypertension (CPS1), and ischemic stroke (XYLB). By establishing connections from gene to disease via metabolic traits our results provide novel hypotheses about molecular mechanisms involved in the etiology of diseases.","container-title":"PLoS genetics","DOI":"10.1371/journal.pgen.1005487","ISSN":"1553-7404","issue":"9","journalAbbreviation":"PLoS Genet","language":"eng","note":"PMID: 26352407\nPMCID: PMC4564198","page":"e1005487","source":"PubMed","title":"Genome-Wide Association Study with Targeted and Non-targeted NMR Metabolomics Identifies 15 Novel Loci of Urinary Human Metabolic Individuality","volume":"11","author":[{"family":"Raffler","given":"Johannes"},{"family":"Friedrich","given":"Nele"},{"family":"Arnold","given":"Matthias"},{"family":"Kacprowski","given":"Tim"},{"family":"Rueedi","given":"Rico"},{"family":"Altmaier","given":"Elisabeth"},{"family":"Bergmann","given":"Sven"},{"family":"Budde","given":"Kathrin"},{"family":"Gieger","given":"Christian"},{"family":"Homuth","given":"Georg"},{"family":"Pietzner","given":"Maik"},{"family":"Römisch-Margl","given":"Werner"},{"family":"Strauch","given":"Konstantin"},{"family":"Völzke","given":"Henry"},{"family":"Waldenberger","given":"Melanie"},{"family":"Wallaschofski","given":"Henri"},{"family":"Nauck","given":"Matthias"},{"family":"Völker","given":"Uwe"},{"family":"Kastenmüller","given":"Gabi"},{"family":"Suhre","given":"Karsten"}],"issued":{"date-parts":[["2015",9]]}}}],"schema":"https://github.com/citation-style-language/schema/raw/master/csl-citation.json"} </w:instrText>
            </w:r>
            <w:r w:rsidRPr="004817FD">
              <w:rPr>
                <w:rFonts w:ascii="Arial" w:eastAsia="Times New Roman" w:hAnsi="Arial" w:cs="Arial"/>
                <w:color w:val="000000" w:themeColor="text1"/>
                <w:sz w:val="16"/>
                <w:szCs w:val="16"/>
              </w:rPr>
              <w:fldChar w:fldCharType="separate"/>
            </w:r>
            <w:r w:rsidRPr="004817FD">
              <w:rPr>
                <w:rFonts w:ascii="Arial" w:hAnsi="Arial" w:cs="Arial"/>
                <w:color w:val="000000" w:themeColor="text1"/>
                <w:sz w:val="16"/>
                <w:szCs w:val="16"/>
              </w:rPr>
              <w:t>(Raffler et al., 2015)</w:t>
            </w:r>
            <w:r w:rsidRPr="004817FD">
              <w:rPr>
                <w:rFonts w:ascii="Arial" w:eastAsia="Times New Roman" w:hAnsi="Arial" w:cs="Arial"/>
                <w:color w:val="000000" w:themeColor="text1"/>
                <w:sz w:val="16"/>
                <w:szCs w:val="16"/>
              </w:rPr>
              <w:fldChar w:fldCharType="end"/>
            </w:r>
          </w:p>
        </w:tc>
        <w:tc>
          <w:tcPr>
            <w:tcW w:w="1082" w:type="dxa"/>
            <w:tcBorders>
              <w:bottom w:val="single" w:sz="4" w:space="0" w:color="auto"/>
            </w:tcBorders>
          </w:tcPr>
          <w:p w14:paraId="01DE58E3" w14:textId="0D9C639C" w:rsidR="00E915EB" w:rsidRPr="004817FD" w:rsidRDefault="00E915EB" w:rsidP="00E915EB">
            <w:pPr>
              <w:rPr>
                <w:rFonts w:ascii="Arial" w:eastAsia="Times New Roman" w:hAnsi="Arial" w:cs="Arial"/>
                <w:color w:val="000000" w:themeColor="text1"/>
                <w:sz w:val="16"/>
                <w:szCs w:val="16"/>
              </w:rPr>
            </w:pPr>
          </w:p>
        </w:tc>
      </w:tr>
      <w:tr w:rsidR="00E915EB" w:rsidRPr="004817FD" w14:paraId="0C8FAB70" w14:textId="6D359DD8" w:rsidTr="00E915EB">
        <w:trPr>
          <w:trHeight w:val="300"/>
        </w:trPr>
        <w:tc>
          <w:tcPr>
            <w:tcW w:w="1384" w:type="dxa"/>
            <w:tcBorders>
              <w:top w:val="single" w:sz="4" w:space="0" w:color="auto"/>
            </w:tcBorders>
            <w:noWrap/>
          </w:tcPr>
          <w:p w14:paraId="53C7AE7C" w14:textId="4B784F3E"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rs35570672</w:t>
            </w:r>
          </w:p>
        </w:tc>
        <w:tc>
          <w:tcPr>
            <w:tcW w:w="747" w:type="dxa"/>
            <w:tcBorders>
              <w:top w:val="single" w:sz="4" w:space="0" w:color="auto"/>
            </w:tcBorders>
          </w:tcPr>
          <w:p w14:paraId="4F47201C" w14:textId="6184C920" w:rsidR="00E915EB" w:rsidRPr="004817FD" w:rsidRDefault="00E915EB" w:rsidP="00E915EB">
            <w:pPr>
              <w:jc w:val="center"/>
              <w:rPr>
                <w:rFonts w:ascii="Arial" w:eastAsia="Times New Roman" w:hAnsi="Arial" w:cs="Arial"/>
                <w:color w:val="000000" w:themeColor="text1"/>
                <w:sz w:val="16"/>
                <w:szCs w:val="16"/>
              </w:rPr>
            </w:pPr>
            <w:r w:rsidRPr="004817FD">
              <w:rPr>
                <w:rFonts w:ascii="Arial" w:hAnsi="Arial" w:cs="Arial"/>
                <w:color w:val="000000" w:themeColor="text1"/>
                <w:sz w:val="16"/>
                <w:szCs w:val="16"/>
              </w:rPr>
              <w:t>Non-coding</w:t>
            </w:r>
          </w:p>
        </w:tc>
        <w:tc>
          <w:tcPr>
            <w:tcW w:w="852" w:type="dxa"/>
            <w:tcBorders>
              <w:top w:val="single" w:sz="4" w:space="0" w:color="auto"/>
            </w:tcBorders>
            <w:noWrap/>
          </w:tcPr>
          <w:p w14:paraId="2E7DA94F" w14:textId="169805AB" w:rsidR="00E915EB" w:rsidRPr="004817FD" w:rsidRDefault="00E915EB" w:rsidP="00E915EB">
            <w:pPr>
              <w:jc w:val="cente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T</w:t>
            </w:r>
          </w:p>
        </w:tc>
        <w:tc>
          <w:tcPr>
            <w:tcW w:w="1143" w:type="dxa"/>
            <w:tcBorders>
              <w:top w:val="single" w:sz="4" w:space="0" w:color="auto"/>
            </w:tcBorders>
            <w:noWrap/>
          </w:tcPr>
          <w:p w14:paraId="25D50282" w14:textId="6057263F"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4 x 10</w:t>
            </w:r>
            <w:r w:rsidRPr="004817FD">
              <w:rPr>
                <w:rFonts w:ascii="Arial" w:eastAsia="Times New Roman" w:hAnsi="Arial" w:cs="Arial"/>
                <w:color w:val="000000" w:themeColor="text1"/>
                <w:sz w:val="16"/>
                <w:szCs w:val="16"/>
                <w:vertAlign w:val="superscript"/>
              </w:rPr>
              <w:t>-40</w:t>
            </w:r>
          </w:p>
        </w:tc>
        <w:tc>
          <w:tcPr>
            <w:tcW w:w="973" w:type="dxa"/>
            <w:tcBorders>
              <w:top w:val="single" w:sz="4" w:space="0" w:color="auto"/>
            </w:tcBorders>
          </w:tcPr>
          <w:p w14:paraId="0D799F5B" w14:textId="314AB29F" w:rsidR="00E915EB" w:rsidRPr="004817FD" w:rsidRDefault="00E915EB" w:rsidP="00E915EB">
            <w:pPr>
              <w:jc w:val="center"/>
              <w:rPr>
                <w:rFonts w:ascii="Arial" w:hAnsi="Arial" w:cs="Arial"/>
                <w:sz w:val="16"/>
                <w:szCs w:val="16"/>
              </w:rPr>
            </w:pPr>
            <w:r w:rsidRPr="004817FD">
              <w:rPr>
                <w:rFonts w:ascii="Arial" w:hAnsi="Arial" w:cs="Arial"/>
                <w:sz w:val="16"/>
                <w:szCs w:val="16"/>
              </w:rPr>
              <w:t>0.3</w:t>
            </w:r>
            <w:r>
              <w:rPr>
                <w:rFonts w:ascii="Arial" w:hAnsi="Arial" w:cs="Arial"/>
                <w:sz w:val="16"/>
                <w:szCs w:val="16"/>
              </w:rPr>
              <w:t>5</w:t>
            </w:r>
          </w:p>
        </w:tc>
        <w:tc>
          <w:tcPr>
            <w:tcW w:w="1084" w:type="dxa"/>
            <w:tcBorders>
              <w:top w:val="single" w:sz="4" w:space="0" w:color="auto"/>
            </w:tcBorders>
            <w:noWrap/>
          </w:tcPr>
          <w:p w14:paraId="352247FF" w14:textId="2C45D142" w:rsidR="00E915EB" w:rsidRPr="004817FD" w:rsidRDefault="00E915EB" w:rsidP="00E915EB">
            <w:pPr>
              <w:jc w:val="center"/>
              <w:rPr>
                <w:rFonts w:eastAsia="Times New Roman" w:cstheme="minorHAnsi"/>
                <w:color w:val="000000" w:themeColor="text1"/>
                <w:sz w:val="16"/>
                <w:szCs w:val="16"/>
              </w:rPr>
            </w:pPr>
            <w:r w:rsidRPr="004817FD">
              <w:rPr>
                <w:rFonts w:cstheme="minorHAnsi"/>
                <w:sz w:val="16"/>
                <w:szCs w:val="16"/>
              </w:rPr>
              <w:t>↓</w:t>
            </w:r>
          </w:p>
        </w:tc>
        <w:tc>
          <w:tcPr>
            <w:tcW w:w="4301" w:type="dxa"/>
            <w:tcBorders>
              <w:top w:val="single" w:sz="4" w:space="0" w:color="auto"/>
            </w:tcBorders>
            <w:noWrap/>
          </w:tcPr>
          <w:p w14:paraId="11A29A83" w14:textId="0D252618" w:rsidR="00E915EB" w:rsidRPr="004817FD" w:rsidRDefault="00E915EB" w:rsidP="00E915EB">
            <w:pPr>
              <w:rPr>
                <w:rFonts w:ascii="Arial" w:eastAsia="Times New Roman" w:hAnsi="Arial" w:cs="Arial"/>
                <w:sz w:val="16"/>
                <w:szCs w:val="16"/>
              </w:rPr>
            </w:pPr>
            <w:r w:rsidRPr="004817FD">
              <w:rPr>
                <w:rFonts w:ascii="Arial" w:eastAsia="Times New Roman" w:hAnsi="Arial" w:cs="Arial"/>
                <w:color w:val="000000" w:themeColor="text1"/>
                <w:sz w:val="16"/>
                <w:szCs w:val="16"/>
              </w:rPr>
              <w:t>Serum metabolite levels (1-methylxanthine)</w:t>
            </w:r>
          </w:p>
        </w:tc>
        <w:tc>
          <w:tcPr>
            <w:tcW w:w="3109" w:type="dxa"/>
            <w:tcBorders>
              <w:top w:val="single" w:sz="4" w:space="0" w:color="auto"/>
            </w:tcBorders>
            <w:noWrap/>
          </w:tcPr>
          <w:p w14:paraId="260E4592" w14:textId="08D73D7F"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fldChar w:fldCharType="begin"/>
            </w:r>
            <w:r>
              <w:rPr>
                <w:rFonts w:ascii="Arial" w:eastAsia="Times New Roman" w:hAnsi="Arial" w:cs="Arial"/>
                <w:color w:val="000000" w:themeColor="text1"/>
                <w:sz w:val="16"/>
                <w:szCs w:val="16"/>
              </w:rPr>
              <w:instrText xml:space="preserve"> ADDIN ZOTERO_ITEM CSL_CITATION {"citationID":"4MNC2op5","properties":{"formattedCitation":"(Feofanova et al., 2020)","plainCitation":"(Feofanova et al., 2020)","noteIndex":0},"citationItems":[{"id":"8dHjENI5/cP2RLLPI","uris":["http://zotero.org/users/9763947/items/BIRNKA6U"],"itemData":{"id":276,"type":"article-journal","abstract":"Variation in levels of the human metabolome reflect changes in homeostasis, providing a window into health and disease. The genetic impact on circulating metabolites in Hispanics, a population with high cardiometabolic disease burden, is largely unknown. We conducted genome-wide association analyses on 640 circulating metabolites in 3,926 Hispanic Community Health Study/Study of Latinos participants. The estimated heritability for 640 metabolites ranged between 0%-54% with a median at 2.5%. We discovered 46 variant-metabolite pairs (p value &lt; 1.2 × 10-10, minor allele frequency ≥ 1%, proportion of variance explained [PEV] mean = 3.4%, PEVrange = 1%-22%) with generalized effects in two population-based studies and confirmed 301 known locus-metabolite associations. Half of the identified variants with generalized effect were located in genes, including five nonsynonymous variants. We identified co-localization with the expression quantitative trait loci at 105 discovered and 151 known loci-metabolites sets. rs5855544, upstream of SLC51A, was associated with higher levels of three steroid sulfates and co-localized with expression levels of SLC51A in several tissues. Mendelian randomization (MR) analysis identified several metabolites associated with coronary heart disease (CHD) and type 2 diabetes. For example, two variants located in or near CYP4F2 (rs2108622 and rs79400241, respectively), involved in vitamin E metabolism, were associated with the levels of octadecanedioate and vitamin E metabolites (gamma-CEHC and gamma-CEHC glucuronide); MR analysis showed that genetically high levels of these metabolites were associated with lower odds of CHD. Our findings document the genetic architecture of circulating metabolites in an underrepresented Hispanic/Latino community, shedding light on disease etiology.","container-title":"American Journal of Human Genetics","DOI":"10.1016/j.ajhg.2020.09.003","ISSN":"1537-6605","issue":"5","journalAbbreviation":"Am J Hum Genet","language":"eng","note":"PMID: 33031748\nPMCID: PMC7675000","page":"849-863","source":"PubMed","title":"A Genome-wide Association Study Discovers 46 Loci of the Human Metabolome in the Hispanic Community Health Study/Study of Latinos","volume":"107","author":[{"family":"Feofanova","given":"Elena V."},{"family":"Chen","given":"Han"},{"family":"Dai","given":"Yulin"},{"family":"Jia","given":"Peilin"},{"family":"Grove","given":"Megan L."},{"family":"Morrison","given":"Alanna C."},{"family":"Qi","given":"Qibin"},{"family":"Daviglus","given":"Martha"},{"family":"Cai","given":"Jianwen"},{"family":"North","given":"Kari E."},{"family":"Laurie","given":"Cathy C."},{"family":"Kaplan","given":"Robert C."},{"family":"Boerwinkle","given":"Eric"},{"family":"Yu","given":"Bing"}],"issued":{"date-parts":[["2020",11,5]]}}}],"schema":"https://github.com/citation-style-language/schema/raw/master/csl-citation.json"} </w:instrText>
            </w:r>
            <w:r w:rsidRPr="004817FD">
              <w:rPr>
                <w:rFonts w:ascii="Arial" w:eastAsia="Times New Roman" w:hAnsi="Arial" w:cs="Arial"/>
                <w:color w:val="000000" w:themeColor="text1"/>
                <w:sz w:val="16"/>
                <w:szCs w:val="16"/>
              </w:rPr>
              <w:fldChar w:fldCharType="separate"/>
            </w:r>
            <w:r w:rsidRPr="004817FD">
              <w:rPr>
                <w:rFonts w:ascii="Arial" w:hAnsi="Arial" w:cs="Arial"/>
                <w:color w:val="000000" w:themeColor="text1"/>
                <w:sz w:val="16"/>
                <w:szCs w:val="16"/>
              </w:rPr>
              <w:t>(Feofanova et al., 2020)</w:t>
            </w:r>
            <w:r w:rsidRPr="004817FD">
              <w:rPr>
                <w:rFonts w:ascii="Arial" w:eastAsia="Times New Roman" w:hAnsi="Arial" w:cs="Arial"/>
                <w:color w:val="000000" w:themeColor="text1"/>
                <w:sz w:val="16"/>
                <w:szCs w:val="16"/>
              </w:rPr>
              <w:fldChar w:fldCharType="end"/>
            </w:r>
          </w:p>
        </w:tc>
        <w:tc>
          <w:tcPr>
            <w:tcW w:w="1082" w:type="dxa"/>
            <w:tcBorders>
              <w:top w:val="single" w:sz="4" w:space="0" w:color="auto"/>
            </w:tcBorders>
          </w:tcPr>
          <w:p w14:paraId="3CF55B62" w14:textId="54AE00E6"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8:18415125</w:t>
            </w:r>
          </w:p>
        </w:tc>
      </w:tr>
      <w:tr w:rsidR="00E915EB" w:rsidRPr="004817FD" w14:paraId="65476F27" w14:textId="10D83E66" w:rsidTr="00E915EB">
        <w:trPr>
          <w:trHeight w:val="300"/>
        </w:trPr>
        <w:tc>
          <w:tcPr>
            <w:tcW w:w="1384" w:type="dxa"/>
            <w:tcBorders>
              <w:bottom w:val="single" w:sz="4" w:space="0" w:color="auto"/>
            </w:tcBorders>
            <w:noWrap/>
          </w:tcPr>
          <w:p w14:paraId="469E0E4C" w14:textId="3E24B508" w:rsidR="00E915EB" w:rsidRPr="004817FD" w:rsidRDefault="00E915EB" w:rsidP="00E915EB">
            <w:pPr>
              <w:rPr>
                <w:rFonts w:ascii="Arial" w:eastAsia="Times New Roman" w:hAnsi="Arial" w:cs="Arial"/>
                <w:color w:val="000000" w:themeColor="text1"/>
                <w:sz w:val="16"/>
                <w:szCs w:val="16"/>
              </w:rPr>
            </w:pPr>
          </w:p>
        </w:tc>
        <w:tc>
          <w:tcPr>
            <w:tcW w:w="747" w:type="dxa"/>
            <w:tcBorders>
              <w:bottom w:val="single" w:sz="4" w:space="0" w:color="auto"/>
            </w:tcBorders>
          </w:tcPr>
          <w:p w14:paraId="4FB91B6E" w14:textId="2141B6AB" w:rsidR="00E915EB" w:rsidRPr="004817FD" w:rsidRDefault="00E915EB" w:rsidP="00E915EB">
            <w:pPr>
              <w:jc w:val="center"/>
              <w:rPr>
                <w:rFonts w:ascii="Arial" w:eastAsia="Times New Roman" w:hAnsi="Arial" w:cs="Arial"/>
                <w:color w:val="000000" w:themeColor="text1"/>
                <w:sz w:val="16"/>
                <w:szCs w:val="16"/>
              </w:rPr>
            </w:pPr>
          </w:p>
        </w:tc>
        <w:tc>
          <w:tcPr>
            <w:tcW w:w="852" w:type="dxa"/>
            <w:tcBorders>
              <w:bottom w:val="single" w:sz="4" w:space="0" w:color="auto"/>
            </w:tcBorders>
            <w:noWrap/>
          </w:tcPr>
          <w:p w14:paraId="389766A1" w14:textId="771DDCC3" w:rsidR="00E915EB" w:rsidRPr="004817FD" w:rsidRDefault="00E915EB" w:rsidP="00E915EB">
            <w:pPr>
              <w:jc w:val="cente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T</w:t>
            </w:r>
          </w:p>
        </w:tc>
        <w:tc>
          <w:tcPr>
            <w:tcW w:w="1143" w:type="dxa"/>
            <w:tcBorders>
              <w:bottom w:val="single" w:sz="4" w:space="0" w:color="auto"/>
            </w:tcBorders>
            <w:noWrap/>
          </w:tcPr>
          <w:p w14:paraId="23491358" w14:textId="715A63F4"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1 x 10</w:t>
            </w:r>
            <w:r w:rsidRPr="004817FD">
              <w:rPr>
                <w:rFonts w:ascii="Arial" w:eastAsia="Times New Roman" w:hAnsi="Arial" w:cs="Arial"/>
                <w:color w:val="000000" w:themeColor="text1"/>
                <w:sz w:val="16"/>
                <w:szCs w:val="16"/>
                <w:vertAlign w:val="superscript"/>
              </w:rPr>
              <w:t>-100</w:t>
            </w:r>
          </w:p>
        </w:tc>
        <w:tc>
          <w:tcPr>
            <w:tcW w:w="973" w:type="dxa"/>
            <w:tcBorders>
              <w:bottom w:val="single" w:sz="4" w:space="0" w:color="auto"/>
            </w:tcBorders>
          </w:tcPr>
          <w:p w14:paraId="5C51AEB3" w14:textId="19B34087" w:rsidR="00E915EB" w:rsidRPr="004817FD" w:rsidRDefault="00E915EB" w:rsidP="00E915EB">
            <w:pPr>
              <w:jc w:val="center"/>
              <w:rPr>
                <w:rFonts w:ascii="Arial" w:hAnsi="Arial" w:cs="Arial"/>
                <w:sz w:val="16"/>
                <w:szCs w:val="16"/>
              </w:rPr>
            </w:pPr>
          </w:p>
        </w:tc>
        <w:tc>
          <w:tcPr>
            <w:tcW w:w="1084" w:type="dxa"/>
            <w:tcBorders>
              <w:bottom w:val="single" w:sz="4" w:space="0" w:color="auto"/>
            </w:tcBorders>
            <w:noWrap/>
          </w:tcPr>
          <w:p w14:paraId="226CE8C2" w14:textId="0DE31963" w:rsidR="00E915EB" w:rsidRPr="004817FD" w:rsidRDefault="00E915EB" w:rsidP="00E915EB">
            <w:pPr>
              <w:jc w:val="center"/>
              <w:rPr>
                <w:rFonts w:eastAsia="Times New Roman" w:cstheme="minorHAnsi"/>
                <w:color w:val="000000" w:themeColor="text1"/>
                <w:sz w:val="16"/>
                <w:szCs w:val="16"/>
              </w:rPr>
            </w:pPr>
            <w:r w:rsidRPr="004817FD">
              <w:rPr>
                <w:rFonts w:cstheme="minorHAnsi"/>
                <w:sz w:val="16"/>
                <w:szCs w:val="16"/>
              </w:rPr>
              <w:t>↑</w:t>
            </w:r>
          </w:p>
        </w:tc>
        <w:tc>
          <w:tcPr>
            <w:tcW w:w="4301" w:type="dxa"/>
            <w:tcBorders>
              <w:bottom w:val="single" w:sz="4" w:space="0" w:color="auto"/>
            </w:tcBorders>
            <w:noWrap/>
          </w:tcPr>
          <w:p w14:paraId="34299285" w14:textId="76BF02DB"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Serum metabolite levels (</w:t>
            </w:r>
            <w:r w:rsidRPr="004817FD">
              <w:rPr>
                <w:rFonts w:ascii="Arial" w:eastAsia="Times New Roman" w:hAnsi="Arial" w:cs="Arial"/>
                <w:i/>
                <w:color w:val="000000" w:themeColor="text1"/>
                <w:sz w:val="16"/>
                <w:szCs w:val="16"/>
              </w:rPr>
              <w:t>N</w:t>
            </w:r>
            <w:r w:rsidRPr="004817FD">
              <w:rPr>
                <w:rFonts w:ascii="Arial" w:eastAsia="Times New Roman" w:hAnsi="Arial" w:cs="Arial"/>
                <w:color w:val="000000" w:themeColor="text1"/>
                <w:sz w:val="16"/>
                <w:szCs w:val="16"/>
              </w:rPr>
              <w:t>-acetylputrescine)</w:t>
            </w:r>
          </w:p>
        </w:tc>
        <w:tc>
          <w:tcPr>
            <w:tcW w:w="3109" w:type="dxa"/>
            <w:tcBorders>
              <w:bottom w:val="single" w:sz="4" w:space="0" w:color="auto"/>
            </w:tcBorders>
            <w:noWrap/>
          </w:tcPr>
          <w:p w14:paraId="39E6C605" w14:textId="54365147"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fldChar w:fldCharType="begin"/>
            </w:r>
            <w:r>
              <w:rPr>
                <w:rFonts w:ascii="Arial" w:eastAsia="Times New Roman" w:hAnsi="Arial" w:cs="Arial"/>
                <w:color w:val="000000" w:themeColor="text1"/>
                <w:sz w:val="16"/>
                <w:szCs w:val="16"/>
              </w:rPr>
              <w:instrText xml:space="preserve"> ADDIN ZOTERO_ITEM CSL_CITATION {"citationID":"DVBLVhTJ","properties":{"formattedCitation":"(Feofanova et al., 2020)","plainCitation":"(Feofanova et al., 2020)","noteIndex":0},"citationItems":[{"id":"8dHjENI5/cP2RLLPI","uris":["http://zotero.org/users/9763947/items/BIRNKA6U"],"itemData":{"id":276,"type":"article-journal","abstract":"Variation in levels of the human metabolome reflect changes in homeostasis, providing a window into health and disease. The genetic impact on circulating metabolites in Hispanics, a population with high cardiometabolic disease burden, is largely unknown. We conducted genome-wide association analyses on 640 circulating metabolites in 3,926 Hispanic Community Health Study/Study of Latinos participants. The estimated heritability for 640 metabolites ranged between 0%-54% with a median at 2.5%. We discovered 46 variant-metabolite pairs (p value &lt; 1.2 × 10-10, minor allele frequency ≥ 1%, proportion of variance explained [PEV] mean = 3.4%, PEVrange = 1%-22%) with generalized effects in two population-based studies and confirmed 301 known locus-metabolite associations. Half of the identified variants with generalized effect were located in genes, including five nonsynonymous variants. We identified co-localization with the expression quantitative trait loci at 105 discovered and 151 known loci-metabolites sets. rs5855544, upstream of SLC51A, was associated with higher levels of three steroid sulfates and co-localized with expression levels of SLC51A in several tissues. Mendelian randomization (MR) analysis identified several metabolites associated with coronary heart disease (CHD) and type 2 diabetes. For example, two variants located in or near CYP4F2 (rs2108622 and rs79400241, respectively), involved in vitamin E metabolism, were associated with the levels of octadecanedioate and vitamin E metabolites (gamma-CEHC and gamma-CEHC glucuronide); MR analysis showed that genetically high levels of these metabolites were associated with lower odds of CHD. Our findings document the genetic architecture of circulating metabolites in an underrepresented Hispanic/Latino community, shedding light on disease etiology.","container-title":"American Journal of Human Genetics","DOI":"10.1016/j.ajhg.2020.09.003","ISSN":"1537-6605","issue":"5","journalAbbreviation":"Am J Hum Genet","language":"eng","note":"PMID: 33031748\nPMCID: PMC7675000","page":"849-863","source":"PubMed","title":"A Genome-wide Association Study Discovers 46 Loci of the Human Metabolome in the Hispanic Community Health Study/Study of Latinos","volume":"107","author":[{"family":"Feofanova","given":"Elena V."},{"family":"Chen","given":"Han"},{"family":"Dai","given":"Yulin"},{"family":"Jia","given":"Peilin"},{"family":"Grove","given":"Megan L."},{"family":"Morrison","given":"Alanna C."},{"family":"Qi","given":"Qibin"},{"family":"Daviglus","given":"Martha"},{"family":"Cai","given":"Jianwen"},{"family":"North","given":"Kari E."},{"family":"Laurie","given":"Cathy C."},{"family":"Kaplan","given":"Robert C."},{"family":"Boerwinkle","given":"Eric"},{"family":"Yu","given":"Bing"}],"issued":{"date-parts":[["2020",11,5]]}}}],"schema":"https://github.com/citation-style-language/schema/raw/master/csl-citation.json"} </w:instrText>
            </w:r>
            <w:r w:rsidRPr="004817FD">
              <w:rPr>
                <w:rFonts w:ascii="Arial" w:eastAsia="Times New Roman" w:hAnsi="Arial" w:cs="Arial"/>
                <w:color w:val="000000" w:themeColor="text1"/>
                <w:sz w:val="16"/>
                <w:szCs w:val="16"/>
              </w:rPr>
              <w:fldChar w:fldCharType="separate"/>
            </w:r>
            <w:r w:rsidRPr="004817FD">
              <w:rPr>
                <w:rFonts w:ascii="Arial" w:hAnsi="Arial" w:cs="Arial"/>
                <w:color w:val="000000" w:themeColor="text1"/>
                <w:sz w:val="16"/>
                <w:szCs w:val="16"/>
              </w:rPr>
              <w:t>(Feofanova et al., 2020)</w:t>
            </w:r>
            <w:r w:rsidRPr="004817FD">
              <w:rPr>
                <w:rFonts w:ascii="Arial" w:eastAsia="Times New Roman" w:hAnsi="Arial" w:cs="Arial"/>
                <w:color w:val="000000" w:themeColor="text1"/>
                <w:sz w:val="16"/>
                <w:szCs w:val="16"/>
              </w:rPr>
              <w:fldChar w:fldCharType="end"/>
            </w:r>
          </w:p>
        </w:tc>
        <w:tc>
          <w:tcPr>
            <w:tcW w:w="1082" w:type="dxa"/>
            <w:tcBorders>
              <w:bottom w:val="single" w:sz="4" w:space="0" w:color="auto"/>
            </w:tcBorders>
          </w:tcPr>
          <w:p w14:paraId="52DE9C01" w14:textId="16FBEFCF" w:rsidR="00E915EB" w:rsidRPr="004817FD" w:rsidRDefault="00E915EB" w:rsidP="00E915EB">
            <w:pPr>
              <w:rPr>
                <w:rFonts w:ascii="Arial" w:eastAsia="Times New Roman" w:hAnsi="Arial" w:cs="Arial"/>
                <w:color w:val="000000" w:themeColor="text1"/>
                <w:sz w:val="16"/>
                <w:szCs w:val="16"/>
              </w:rPr>
            </w:pPr>
          </w:p>
        </w:tc>
      </w:tr>
      <w:tr w:rsidR="00E915EB" w:rsidRPr="004817FD" w14:paraId="0C2B1EF0" w14:textId="4113C11C" w:rsidTr="00E915EB">
        <w:trPr>
          <w:trHeight w:val="300"/>
        </w:trPr>
        <w:tc>
          <w:tcPr>
            <w:tcW w:w="1384" w:type="dxa"/>
            <w:tcBorders>
              <w:top w:val="single" w:sz="4" w:space="0" w:color="auto"/>
            </w:tcBorders>
            <w:noWrap/>
          </w:tcPr>
          <w:p w14:paraId="008013FF" w14:textId="710991E3"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rs4646248</w:t>
            </w:r>
          </w:p>
        </w:tc>
        <w:tc>
          <w:tcPr>
            <w:tcW w:w="747" w:type="dxa"/>
            <w:tcBorders>
              <w:top w:val="single" w:sz="4" w:space="0" w:color="auto"/>
            </w:tcBorders>
          </w:tcPr>
          <w:p w14:paraId="34608D89" w14:textId="172EB484" w:rsidR="00E915EB" w:rsidRPr="004817FD" w:rsidRDefault="00E915EB" w:rsidP="00E915EB">
            <w:pPr>
              <w:jc w:val="center"/>
              <w:rPr>
                <w:rFonts w:ascii="Arial" w:eastAsia="Times New Roman" w:hAnsi="Arial" w:cs="Arial"/>
                <w:color w:val="000000" w:themeColor="text1"/>
                <w:sz w:val="16"/>
                <w:szCs w:val="16"/>
              </w:rPr>
            </w:pPr>
            <w:r w:rsidRPr="004817FD">
              <w:rPr>
                <w:rFonts w:ascii="Arial" w:hAnsi="Arial" w:cs="Arial"/>
                <w:color w:val="000000" w:themeColor="text1"/>
                <w:sz w:val="16"/>
                <w:szCs w:val="16"/>
              </w:rPr>
              <w:t>Non-coding</w:t>
            </w:r>
          </w:p>
        </w:tc>
        <w:tc>
          <w:tcPr>
            <w:tcW w:w="852" w:type="dxa"/>
            <w:tcBorders>
              <w:top w:val="single" w:sz="4" w:space="0" w:color="auto"/>
            </w:tcBorders>
            <w:noWrap/>
          </w:tcPr>
          <w:p w14:paraId="4C8BD588" w14:textId="51D283A4" w:rsidR="00E915EB" w:rsidRPr="004817FD" w:rsidRDefault="00E915EB" w:rsidP="00E915EB">
            <w:pPr>
              <w:jc w:val="cente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C</w:t>
            </w:r>
          </w:p>
        </w:tc>
        <w:tc>
          <w:tcPr>
            <w:tcW w:w="1143" w:type="dxa"/>
            <w:tcBorders>
              <w:top w:val="single" w:sz="4" w:space="0" w:color="auto"/>
            </w:tcBorders>
            <w:noWrap/>
          </w:tcPr>
          <w:p w14:paraId="2B8BAF94" w14:textId="6A2B8254"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5 x 10</w:t>
            </w:r>
            <w:r w:rsidRPr="004817FD">
              <w:rPr>
                <w:rFonts w:ascii="Arial" w:eastAsia="Times New Roman" w:hAnsi="Arial" w:cs="Arial"/>
                <w:color w:val="000000" w:themeColor="text1"/>
                <w:sz w:val="16"/>
                <w:szCs w:val="16"/>
                <w:vertAlign w:val="superscript"/>
              </w:rPr>
              <w:t>-11</w:t>
            </w:r>
          </w:p>
        </w:tc>
        <w:tc>
          <w:tcPr>
            <w:tcW w:w="973" w:type="dxa"/>
            <w:tcBorders>
              <w:top w:val="single" w:sz="4" w:space="0" w:color="auto"/>
            </w:tcBorders>
          </w:tcPr>
          <w:p w14:paraId="78E222DE" w14:textId="0B8E86DD" w:rsidR="00E915EB" w:rsidRPr="004817FD" w:rsidRDefault="00E915EB" w:rsidP="00E915EB">
            <w:pPr>
              <w:jc w:val="center"/>
              <w:rPr>
                <w:rFonts w:ascii="Arial" w:hAnsi="Arial" w:cs="Arial"/>
                <w:sz w:val="16"/>
                <w:szCs w:val="16"/>
              </w:rPr>
            </w:pPr>
            <w:r w:rsidRPr="004817FD">
              <w:rPr>
                <w:rFonts w:ascii="Arial" w:hAnsi="Arial" w:cs="Arial"/>
                <w:sz w:val="16"/>
                <w:szCs w:val="16"/>
              </w:rPr>
              <w:t>0.</w:t>
            </w:r>
            <w:r>
              <w:rPr>
                <w:rFonts w:ascii="Arial" w:hAnsi="Arial" w:cs="Arial"/>
                <w:sz w:val="16"/>
                <w:szCs w:val="16"/>
              </w:rPr>
              <w:t>39</w:t>
            </w:r>
          </w:p>
        </w:tc>
        <w:tc>
          <w:tcPr>
            <w:tcW w:w="1084" w:type="dxa"/>
            <w:tcBorders>
              <w:top w:val="single" w:sz="4" w:space="0" w:color="auto"/>
            </w:tcBorders>
            <w:noWrap/>
          </w:tcPr>
          <w:p w14:paraId="0B7C4159" w14:textId="44A7EAA9" w:rsidR="00E915EB" w:rsidRPr="004817FD" w:rsidRDefault="00E915EB" w:rsidP="00E915EB">
            <w:pPr>
              <w:jc w:val="center"/>
              <w:rPr>
                <w:rFonts w:eastAsia="Times New Roman" w:cstheme="minorHAnsi"/>
                <w:color w:val="000000" w:themeColor="text1"/>
                <w:sz w:val="16"/>
                <w:szCs w:val="16"/>
              </w:rPr>
            </w:pPr>
            <w:r w:rsidRPr="004817FD">
              <w:rPr>
                <w:rFonts w:cstheme="minorHAnsi"/>
                <w:sz w:val="16"/>
                <w:szCs w:val="16"/>
              </w:rPr>
              <w:t>↓</w:t>
            </w:r>
          </w:p>
        </w:tc>
        <w:tc>
          <w:tcPr>
            <w:tcW w:w="4301" w:type="dxa"/>
            <w:tcBorders>
              <w:top w:val="single" w:sz="4" w:space="0" w:color="auto"/>
            </w:tcBorders>
            <w:noWrap/>
          </w:tcPr>
          <w:p w14:paraId="0F41335C" w14:textId="56F7A360"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Liver enzyme levels (alkaline phosphatase)</w:t>
            </w:r>
          </w:p>
        </w:tc>
        <w:tc>
          <w:tcPr>
            <w:tcW w:w="3109" w:type="dxa"/>
            <w:tcBorders>
              <w:top w:val="single" w:sz="4" w:space="0" w:color="auto"/>
            </w:tcBorders>
            <w:noWrap/>
          </w:tcPr>
          <w:p w14:paraId="535C04A5" w14:textId="67526D57"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fldChar w:fldCharType="begin"/>
            </w:r>
            <w:r>
              <w:rPr>
                <w:rFonts w:ascii="Arial" w:eastAsia="Times New Roman" w:hAnsi="Arial" w:cs="Arial"/>
                <w:color w:val="000000" w:themeColor="text1"/>
                <w:sz w:val="16"/>
                <w:szCs w:val="16"/>
              </w:rPr>
              <w:instrText xml:space="preserve"> ADDIN ZOTERO_ITEM CSL_CITATION {"citationID":"8ioEWeL7","properties":{"formattedCitation":"(Pazoki et al., 2021)","plainCitation":"(Pazoki et al., 2021)","noteIndex":0},"citationItems":[{"id":"8dHjENI5/yCV2wk9C","uris":["http://zotero.org/users/9763947/items/ZIMTIAGA"],"itemData":{"id":388,"type":"article-journal","abstract":"Serum concentration of hepatic enzymes are linked to liver dysfunction, metabolic and cardiovascular diseases. We perform genetic analysis on serum levels of alanine transaminase (ALT), alkaline phosphatase (ALP) and gamma-glutamyl transferase (GGT) using data on 437,438 UK Biobank participants. Replication in 315,572 individuals from European descent from the Million Veteran Program, Rotterdam Study and Lifeline study confirms 517 liver enzyme SNPs. Genetic risk score analysis using the identified SNPs is strongly associated with serum activity of liver enzymes in two independent European descent studies (The Airwave Health Monitoring study and the Northern Finland Birth Cohort 1966). Gene-set enrichment analysis using the identified SNPs highlights involvement in liver development and function, lipid metabolism, insulin resistance, and vascular formation. Mendelian randomization analysis shows association of liver enzyme variants with coronary heart disease and ischemic stroke. Genetic risk score for elevated serum activity of liver enzymes is associated with higher fat percentage of body, trunk, and liver and body mass index. Our study highlights the role of molecular pathways regulated by the liver in metabolic disorders and cardiovascular disease.","container-title":"Nature Communications","DOI":"10.1038/s41467-021-22338-2","ISSN":"2041-1723","issue":"1","journalAbbreviation":"Nat Commun","language":"eng","note":"PMID: 33972514\nPMCID: PMC8110798","page":"2579","source":"PubMed","title":"Genetic analysis in European ancestry individuals identifies 517 loci associated with liver enzymes","volume":"12","author":[{"family":"Pazoki","given":"Raha"},{"family":"Vujkovic","given":"Marijana"},{"family":"Elliott","given":"Joshua"},{"family":"Evangelou","given":"Evangelos"},{"family":"Gill","given":"Dipender"},{"family":"Ghanbari","given":"Mohsen"},{"family":"Most","given":"Peter J.","non-dropping-particle":"van der"},{"family":"Pinto","given":"Rui Climaco"},{"family":"Wielscher","given":"Matthias"},{"family":"Farlik","given":"Matthias"},{"family":"Zuber","given":"Verena"},{"family":"Knegt","given":"Robert J.","non-dropping-particle":"de"},{"family":"Snieder","given":"Harold"},{"family":"Uitterlinden","given":"André G."},{"literal":"Lifelines Cohort Study"},{"family":"Lynch","given":"Julie A."},{"family":"Jiang","given":"Xiyun"},{"family":"Said","given":"Saredo"},{"family":"Kaplan","given":"David E."},{"family":"Lee","given":"Kyung Min"},{"family":"Serper","given":"Marina"},{"family":"Carr","given":"Rotonya M."},{"family":"Tsao","given":"Philip S."},{"family":"Atkinson","given":"Stephen R."},{"family":"Dehghan","given":"Abbas"},{"family":"Tzoulaki","given":"Ioanna"},{"family":"Ikram","given":"M. Arfan"},{"family":"Herzig","given":"Karl-Heinz"},{"family":"Järvelin","given":"Marjo-Riitta"},{"family":"Alizadeh","given":"Behrooz Z."},{"family":"O'Donnell","given":"Christopher J."},{"family":"Saleheen","given":"Danish"},{"family":"Voight","given":"Benjamin F."},{"family":"Chang","given":"Kyong-Mi"},{"family":"Thursz","given":"Mark R."},{"family":"Elliott","given":"Paul"},{"literal":"VA Million Veteran Program"}],"issued":{"date-parts":[["2021",5,10]]}}}],"schema":"https://github.com/citation-style-language/schema/raw/master/csl-citation.json"} </w:instrText>
            </w:r>
            <w:r w:rsidRPr="004817FD">
              <w:rPr>
                <w:rFonts w:ascii="Arial" w:eastAsia="Times New Roman" w:hAnsi="Arial" w:cs="Arial"/>
                <w:color w:val="000000" w:themeColor="text1"/>
                <w:sz w:val="16"/>
                <w:szCs w:val="16"/>
              </w:rPr>
              <w:fldChar w:fldCharType="separate"/>
            </w:r>
            <w:r w:rsidRPr="004817FD">
              <w:rPr>
                <w:rFonts w:ascii="Arial" w:hAnsi="Arial" w:cs="Arial"/>
                <w:color w:val="000000" w:themeColor="text1"/>
                <w:sz w:val="16"/>
                <w:szCs w:val="16"/>
              </w:rPr>
              <w:t>(Pazoki et al., 2021)</w:t>
            </w:r>
            <w:r w:rsidRPr="004817FD">
              <w:rPr>
                <w:rFonts w:ascii="Arial" w:eastAsia="Times New Roman" w:hAnsi="Arial" w:cs="Arial"/>
                <w:color w:val="000000" w:themeColor="text1"/>
                <w:sz w:val="16"/>
                <w:szCs w:val="16"/>
              </w:rPr>
              <w:fldChar w:fldCharType="end"/>
            </w:r>
          </w:p>
        </w:tc>
        <w:tc>
          <w:tcPr>
            <w:tcW w:w="1082" w:type="dxa"/>
            <w:tcBorders>
              <w:top w:val="single" w:sz="4" w:space="0" w:color="auto"/>
            </w:tcBorders>
          </w:tcPr>
          <w:p w14:paraId="2DE4147B" w14:textId="7A8BB00D"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8:18402845</w:t>
            </w:r>
          </w:p>
        </w:tc>
      </w:tr>
      <w:tr w:rsidR="00E915EB" w:rsidRPr="004817FD" w14:paraId="4A45E65C" w14:textId="32A10321" w:rsidTr="00E915EB">
        <w:trPr>
          <w:trHeight w:val="300"/>
        </w:trPr>
        <w:tc>
          <w:tcPr>
            <w:tcW w:w="1384" w:type="dxa"/>
            <w:tcBorders>
              <w:bottom w:val="single" w:sz="4" w:space="0" w:color="auto"/>
            </w:tcBorders>
            <w:noWrap/>
          </w:tcPr>
          <w:p w14:paraId="7FBEE699" w14:textId="75CFF9F3" w:rsidR="00E915EB" w:rsidRPr="004817FD" w:rsidRDefault="00E915EB" w:rsidP="00E915EB">
            <w:pPr>
              <w:rPr>
                <w:rFonts w:ascii="Arial" w:eastAsia="Times New Roman" w:hAnsi="Arial" w:cs="Arial"/>
                <w:color w:val="000000" w:themeColor="text1"/>
                <w:sz w:val="16"/>
                <w:szCs w:val="16"/>
              </w:rPr>
            </w:pPr>
          </w:p>
        </w:tc>
        <w:tc>
          <w:tcPr>
            <w:tcW w:w="747" w:type="dxa"/>
            <w:tcBorders>
              <w:bottom w:val="single" w:sz="4" w:space="0" w:color="auto"/>
            </w:tcBorders>
          </w:tcPr>
          <w:p w14:paraId="000284DF" w14:textId="46B4E2DA" w:rsidR="00E915EB" w:rsidRPr="004817FD" w:rsidRDefault="00E915EB" w:rsidP="00E915EB">
            <w:pPr>
              <w:jc w:val="center"/>
              <w:rPr>
                <w:rFonts w:ascii="Arial" w:eastAsia="Times New Roman" w:hAnsi="Arial" w:cs="Arial"/>
                <w:color w:val="000000" w:themeColor="text1"/>
                <w:sz w:val="16"/>
                <w:szCs w:val="16"/>
              </w:rPr>
            </w:pPr>
          </w:p>
        </w:tc>
        <w:tc>
          <w:tcPr>
            <w:tcW w:w="852" w:type="dxa"/>
            <w:tcBorders>
              <w:bottom w:val="single" w:sz="4" w:space="0" w:color="auto"/>
            </w:tcBorders>
            <w:noWrap/>
          </w:tcPr>
          <w:p w14:paraId="59A1860C" w14:textId="50442E8D" w:rsidR="00E915EB" w:rsidRPr="004817FD" w:rsidRDefault="00E915EB" w:rsidP="00E915EB">
            <w:pPr>
              <w:jc w:val="cente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T</w:t>
            </w:r>
          </w:p>
        </w:tc>
        <w:tc>
          <w:tcPr>
            <w:tcW w:w="1143" w:type="dxa"/>
            <w:tcBorders>
              <w:bottom w:val="single" w:sz="4" w:space="0" w:color="auto"/>
            </w:tcBorders>
            <w:noWrap/>
          </w:tcPr>
          <w:p w14:paraId="24A06DFA" w14:textId="2FB45E26"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2 x 10</w:t>
            </w:r>
            <w:r w:rsidRPr="004817FD">
              <w:rPr>
                <w:rFonts w:ascii="Arial" w:eastAsia="Times New Roman" w:hAnsi="Arial" w:cs="Arial"/>
                <w:color w:val="000000" w:themeColor="text1"/>
                <w:sz w:val="16"/>
                <w:szCs w:val="16"/>
                <w:vertAlign w:val="superscript"/>
              </w:rPr>
              <w:t>-10</w:t>
            </w:r>
          </w:p>
        </w:tc>
        <w:tc>
          <w:tcPr>
            <w:tcW w:w="973" w:type="dxa"/>
            <w:tcBorders>
              <w:bottom w:val="single" w:sz="4" w:space="0" w:color="auto"/>
            </w:tcBorders>
          </w:tcPr>
          <w:p w14:paraId="12ACAF1A" w14:textId="5A016498" w:rsidR="00E915EB" w:rsidRPr="004817FD" w:rsidRDefault="00E915EB" w:rsidP="00E915EB">
            <w:pPr>
              <w:jc w:val="center"/>
              <w:rPr>
                <w:rFonts w:ascii="Arial" w:hAnsi="Arial" w:cs="Arial"/>
                <w:sz w:val="16"/>
                <w:szCs w:val="16"/>
              </w:rPr>
            </w:pPr>
            <w:r>
              <w:rPr>
                <w:rFonts w:ascii="Arial" w:hAnsi="Arial" w:cs="Arial"/>
                <w:sz w:val="16"/>
                <w:szCs w:val="16"/>
              </w:rPr>
              <w:t>0.61</w:t>
            </w:r>
          </w:p>
        </w:tc>
        <w:tc>
          <w:tcPr>
            <w:tcW w:w="1084" w:type="dxa"/>
            <w:tcBorders>
              <w:bottom w:val="single" w:sz="4" w:space="0" w:color="auto"/>
            </w:tcBorders>
            <w:noWrap/>
          </w:tcPr>
          <w:p w14:paraId="758B9A4D" w14:textId="166097CF" w:rsidR="00E915EB" w:rsidRPr="004817FD" w:rsidRDefault="00E915EB" w:rsidP="00E915EB">
            <w:pPr>
              <w:jc w:val="center"/>
              <w:rPr>
                <w:rFonts w:eastAsia="Times New Roman" w:cstheme="minorHAnsi"/>
                <w:color w:val="000000" w:themeColor="text1"/>
                <w:sz w:val="16"/>
                <w:szCs w:val="16"/>
              </w:rPr>
            </w:pPr>
            <w:r w:rsidRPr="004817FD">
              <w:rPr>
                <w:rFonts w:cstheme="minorHAnsi"/>
                <w:sz w:val="16"/>
                <w:szCs w:val="16"/>
              </w:rPr>
              <w:t>↑</w:t>
            </w:r>
          </w:p>
        </w:tc>
        <w:tc>
          <w:tcPr>
            <w:tcW w:w="4301" w:type="dxa"/>
            <w:tcBorders>
              <w:bottom w:val="single" w:sz="4" w:space="0" w:color="auto"/>
            </w:tcBorders>
            <w:noWrap/>
          </w:tcPr>
          <w:p w14:paraId="591AF845" w14:textId="22AC6F3C"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Serum albumin levels</w:t>
            </w:r>
          </w:p>
        </w:tc>
        <w:tc>
          <w:tcPr>
            <w:tcW w:w="3109" w:type="dxa"/>
            <w:tcBorders>
              <w:bottom w:val="single" w:sz="4" w:space="0" w:color="auto"/>
            </w:tcBorders>
            <w:noWrap/>
          </w:tcPr>
          <w:p w14:paraId="7AB34408" w14:textId="2ACD4E02"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fldChar w:fldCharType="begin"/>
            </w:r>
            <w:r>
              <w:rPr>
                <w:rFonts w:ascii="Arial" w:eastAsia="Times New Roman" w:hAnsi="Arial" w:cs="Arial"/>
                <w:color w:val="000000" w:themeColor="text1"/>
                <w:sz w:val="16"/>
                <w:szCs w:val="16"/>
              </w:rPr>
              <w:instrText xml:space="preserve"> ADDIN ZOTERO_ITEM CSL_CITATION {"citationID":"w3f0OAzw","properties":{"formattedCitation":"(Sinnott-Armstrong et al., 2021)","plainCitation":"(Sinnott-Armstrong et al., 2021)","noteIndex":0},"citationItems":[{"id":"8dHjENI5/Os5YMZcX","uris":["http://zotero.org/users/9763947/items/JLIV9A92"],"itemData":{"id":263,"type":"article-journal","abstract":"Clinical laboratory tests are a critical component of the continuum of care. We evaluate the genetic basis of 35 blood and urine laboratory measurements in the UK Biobank (n = 363,228 individuals). We identify 1,857 loci associated with at least one trait, containing 3,374 fine-mapped associations and additional sets of large-effect (&gt;0.1 s.d.) protein-altering, human leukocyte antigen (HLA) and copy number variant (CNV) associations. Through Mendelian randomization (MR) analysis, we discover 51 causal relationships, including previously known agonistic effects of urate on gout and cystatin C on stroke. Finally, we develop polygenic risk scores (PRSs) for each biomarker and build 'multi-PRS' models for diseases using 35 PRSs simultaneously, which improved chronic kidney disease, type 2 diabetes, gout and alcoholic cirrhosis genetic risk stratification in an independent dataset (FinnGen; n = 135,500) relative to single-disease PRSs. Together, our results delineate the genetic basis of biomarkers and their causal influences on diseases and improve genetic risk stratification for common diseases.","container-title":"Nature Genetics","DOI":"10.1038/s41588-020-00757-z","ISSN":"1546-1718","issue":"2","journalAbbreviation":"Nat Genet","language":"eng","note":"PMID: 33462484\nPMCID: PMC7867639","page":"185-194","source":"PubMed","title":"Genetics of 35 blood and urine biomarkers in the UK Biobank","volume":"53","author":[{"family":"Sinnott-Armstrong","given":"Nasa"},{"family":"Tanigawa","given":"Yosuke"},{"family":"Amar","given":"David"},{"family":"Mars","given":"Nina"},{"family":"Benner","given":"Christian"},{"family":"Aguirre","given":"Matthew"},{"family":"Venkataraman","given":"Guhan Ram"},{"family":"Wainberg","given":"Michael"},{"family":"Ollila","given":"Hanna M."},{"family":"Kiiskinen","given":"Tuomo"},{"family":"Havulinna","given":"Aki S."},{"family":"Pirruccello","given":"James P."},{"family":"Qian","given":"Junyang"},{"family":"Shcherbina","given":"Anna"},{"literal":"FinnGen"},{"family":"Rodriguez","given":"Fatima"},{"family":"Assimes","given":"Themistocles L."},{"family":"Agarwala","given":"Vineeta"},{"family":"Tibshirani","given":"Robert"},{"family":"Hastie","given":"Trevor"},{"family":"Ripatti","given":"Samuli"},{"family":"Pritchard","given":"Jonathan K."},{"family":"Daly","given":"Mark J."},{"family":"Rivas","given":"Manuel A."}],"issued":{"date-parts":[["2021",2]]}}}],"schema":"https://github.com/citation-style-language/schema/raw/master/csl-citation.json"} </w:instrText>
            </w:r>
            <w:r w:rsidRPr="004817FD">
              <w:rPr>
                <w:rFonts w:ascii="Arial" w:eastAsia="Times New Roman" w:hAnsi="Arial" w:cs="Arial"/>
                <w:color w:val="000000" w:themeColor="text1"/>
                <w:sz w:val="16"/>
                <w:szCs w:val="16"/>
              </w:rPr>
              <w:fldChar w:fldCharType="separate"/>
            </w:r>
            <w:r w:rsidRPr="004817FD">
              <w:rPr>
                <w:rFonts w:ascii="Arial" w:hAnsi="Arial" w:cs="Arial"/>
                <w:color w:val="000000" w:themeColor="text1"/>
                <w:sz w:val="16"/>
                <w:szCs w:val="16"/>
              </w:rPr>
              <w:t>(Sinnott-Armstrong et al., 2021)</w:t>
            </w:r>
            <w:r w:rsidRPr="004817FD">
              <w:rPr>
                <w:rFonts w:ascii="Arial" w:eastAsia="Times New Roman" w:hAnsi="Arial" w:cs="Arial"/>
                <w:color w:val="000000" w:themeColor="text1"/>
                <w:sz w:val="16"/>
                <w:szCs w:val="16"/>
              </w:rPr>
              <w:fldChar w:fldCharType="end"/>
            </w:r>
          </w:p>
        </w:tc>
        <w:tc>
          <w:tcPr>
            <w:tcW w:w="1082" w:type="dxa"/>
            <w:tcBorders>
              <w:bottom w:val="single" w:sz="4" w:space="0" w:color="auto"/>
            </w:tcBorders>
          </w:tcPr>
          <w:p w14:paraId="6601D171" w14:textId="05227C01" w:rsidR="00E915EB" w:rsidRPr="004817FD" w:rsidRDefault="00E915EB" w:rsidP="00E915EB">
            <w:pPr>
              <w:rPr>
                <w:rFonts w:ascii="Arial" w:eastAsia="Times New Roman" w:hAnsi="Arial" w:cs="Arial"/>
                <w:color w:val="000000" w:themeColor="text1"/>
                <w:sz w:val="16"/>
                <w:szCs w:val="16"/>
              </w:rPr>
            </w:pPr>
          </w:p>
        </w:tc>
      </w:tr>
      <w:tr w:rsidR="00E915EB" w:rsidRPr="004817FD" w14:paraId="7F7CADFA" w14:textId="2B835602" w:rsidTr="00E915EB">
        <w:trPr>
          <w:trHeight w:val="300"/>
        </w:trPr>
        <w:tc>
          <w:tcPr>
            <w:tcW w:w="1384" w:type="dxa"/>
            <w:tcBorders>
              <w:top w:val="single" w:sz="4" w:space="0" w:color="auto"/>
            </w:tcBorders>
            <w:noWrap/>
          </w:tcPr>
          <w:p w14:paraId="5FC7A3A0" w14:textId="246F9D8A"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lastRenderedPageBreak/>
              <w:t>rs4921913</w:t>
            </w:r>
          </w:p>
        </w:tc>
        <w:tc>
          <w:tcPr>
            <w:tcW w:w="747" w:type="dxa"/>
            <w:tcBorders>
              <w:top w:val="single" w:sz="4" w:space="0" w:color="auto"/>
            </w:tcBorders>
          </w:tcPr>
          <w:p w14:paraId="527A7142" w14:textId="68FB7087" w:rsidR="00E915EB" w:rsidRPr="004817FD" w:rsidRDefault="00E915EB" w:rsidP="00E915EB">
            <w:pPr>
              <w:jc w:val="center"/>
              <w:rPr>
                <w:rFonts w:ascii="Arial" w:eastAsia="Times New Roman" w:hAnsi="Arial" w:cs="Arial"/>
                <w:color w:val="000000" w:themeColor="text1"/>
                <w:sz w:val="16"/>
                <w:szCs w:val="16"/>
              </w:rPr>
            </w:pPr>
            <w:r w:rsidRPr="004817FD">
              <w:rPr>
                <w:rFonts w:ascii="Arial" w:hAnsi="Arial" w:cs="Arial"/>
                <w:color w:val="000000" w:themeColor="text1"/>
                <w:sz w:val="16"/>
                <w:szCs w:val="16"/>
              </w:rPr>
              <w:t>Non-coding</w:t>
            </w:r>
          </w:p>
        </w:tc>
        <w:tc>
          <w:tcPr>
            <w:tcW w:w="852" w:type="dxa"/>
            <w:noWrap/>
            <w:hideMark/>
          </w:tcPr>
          <w:p w14:paraId="08DD1F33" w14:textId="4437BC94" w:rsidR="00E915EB" w:rsidRPr="004817FD" w:rsidRDefault="00E915EB" w:rsidP="00E915EB">
            <w:pPr>
              <w:jc w:val="center"/>
              <w:rPr>
                <w:rFonts w:ascii="Arial" w:eastAsia="Times New Roman" w:hAnsi="Arial" w:cs="Arial"/>
                <w:color w:val="000000" w:themeColor="text1"/>
                <w:sz w:val="16"/>
                <w:szCs w:val="16"/>
              </w:rPr>
            </w:pPr>
            <w:r w:rsidRPr="004817FD">
              <w:rPr>
                <w:rFonts w:ascii="Arial" w:hAnsi="Arial" w:cs="Arial"/>
                <w:sz w:val="16"/>
                <w:szCs w:val="16"/>
              </w:rPr>
              <w:t>NR</w:t>
            </w:r>
          </w:p>
        </w:tc>
        <w:tc>
          <w:tcPr>
            <w:tcW w:w="1143" w:type="dxa"/>
            <w:noWrap/>
            <w:hideMark/>
          </w:tcPr>
          <w:p w14:paraId="2602947C" w14:textId="7F966576"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7 x 10</w:t>
            </w:r>
            <w:r w:rsidRPr="004817FD">
              <w:rPr>
                <w:rFonts w:ascii="Arial" w:eastAsia="Times New Roman" w:hAnsi="Arial" w:cs="Arial"/>
                <w:color w:val="000000" w:themeColor="text1"/>
                <w:sz w:val="16"/>
                <w:szCs w:val="16"/>
                <w:vertAlign w:val="superscript"/>
              </w:rPr>
              <w:t>-9</w:t>
            </w:r>
          </w:p>
        </w:tc>
        <w:tc>
          <w:tcPr>
            <w:tcW w:w="973" w:type="dxa"/>
          </w:tcPr>
          <w:p w14:paraId="20199CB1" w14:textId="0AA1542A" w:rsidR="00E915EB" w:rsidRPr="004817FD" w:rsidRDefault="00E915EB" w:rsidP="00E915EB">
            <w:pPr>
              <w:jc w:val="center"/>
              <w:rPr>
                <w:rFonts w:ascii="Arial" w:hAnsi="Arial" w:cs="Arial"/>
                <w:sz w:val="16"/>
                <w:szCs w:val="16"/>
              </w:rPr>
            </w:pPr>
            <w:r>
              <w:rPr>
                <w:rFonts w:ascii="Arial" w:hAnsi="Arial" w:cs="Arial"/>
                <w:sz w:val="16"/>
                <w:szCs w:val="16"/>
              </w:rPr>
              <w:t>-</w:t>
            </w:r>
          </w:p>
        </w:tc>
        <w:tc>
          <w:tcPr>
            <w:tcW w:w="1084" w:type="dxa"/>
            <w:noWrap/>
            <w:hideMark/>
          </w:tcPr>
          <w:p w14:paraId="4B21012C" w14:textId="05C63631" w:rsidR="00E915EB" w:rsidRPr="004817FD" w:rsidRDefault="00E915EB" w:rsidP="00E915EB">
            <w:pPr>
              <w:jc w:val="center"/>
              <w:rPr>
                <w:rFonts w:eastAsia="Times New Roman" w:cstheme="minorHAnsi"/>
                <w:color w:val="000000" w:themeColor="text1"/>
                <w:sz w:val="16"/>
                <w:szCs w:val="16"/>
              </w:rPr>
            </w:pPr>
            <w:r w:rsidRPr="004817FD">
              <w:rPr>
                <w:rFonts w:cstheme="minorHAnsi"/>
                <w:sz w:val="16"/>
                <w:szCs w:val="16"/>
              </w:rPr>
              <w:t>↓</w:t>
            </w:r>
          </w:p>
        </w:tc>
        <w:tc>
          <w:tcPr>
            <w:tcW w:w="4301" w:type="dxa"/>
            <w:noWrap/>
            <w:hideMark/>
          </w:tcPr>
          <w:p w14:paraId="6CC91069" w14:textId="5B978BD8"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1-methylxanthine levels (serum)</w:t>
            </w:r>
          </w:p>
        </w:tc>
        <w:tc>
          <w:tcPr>
            <w:tcW w:w="3109" w:type="dxa"/>
            <w:noWrap/>
            <w:hideMark/>
          </w:tcPr>
          <w:p w14:paraId="78877411" w14:textId="1A1EF594"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fldChar w:fldCharType="begin"/>
            </w:r>
            <w:r>
              <w:rPr>
                <w:rFonts w:ascii="Arial" w:eastAsia="Times New Roman" w:hAnsi="Arial" w:cs="Arial"/>
                <w:color w:val="000000" w:themeColor="text1"/>
                <w:sz w:val="16"/>
                <w:szCs w:val="16"/>
              </w:rPr>
              <w:instrText xml:space="preserve"> ADDIN ZOTERO_ITEM CSL_CITATION {"citationID":"PuCEGBe4","properties":{"formattedCitation":"(Yet et al., 2016)","plainCitation":"(Yet et al., 2016)","noteIndex":0},"citationItems":[{"id":"8dHjENI5/QdV2z0wo","uris":["http://zotero.org/users/9763947/items/4N8MNLLD"],"itemData":{"id":342,"type":"article-journal","abstract":"Metabolomic profiling is a powerful approach to characterize human metabolism and help understand common disease risk. Although multiple high-throughput technologies have been developed to assay the human metabolome, no technique is capable of capturing the entire human metabolism. Large-scale metabolomics data are being generated in multiple cohorts, but the datasets are typically profiled using different metabolomics platforms. Here, we compared analyses across two of the most frequently used metabolomic platforms, Biocrates and Metabolon, with the aim of assessing how complimentary metabolite profiles are across platforms. We profiled serum samples from 1,001 twins using both targeted (Biocrates, n = 160 metabolites) and non-targeted (Metabolon, n = 488 metabolites) mass spectrometry platforms. We compared metabolite distributions and performed genome-wide association analyses to identify shared genetic influences on metabolites across platforms. Comparison of 43 metabolites named for the same compound on both platforms indicated strong positive correlations, with few exceptions. Genome-wide association scans with high-throughput metabolic profiles were performed for each dataset and identified genetic variants at 7 loci associated with 16 unique metabolites on both platforms. The 16 metabolites showed consistent genetic associations and appear to be robustly measured across platforms. These included both metabolites named for the same compound across platforms as well as unique metabolites, of which 2 (nonanoylcarnitine (C9) [Biocrates]/Unknown metabolite X-13431 [Metabolon] and PC aa C28:1 [Biocrates]/1-stearoylglycerol [Metabolon]) are likely to represent the same or related biochemical entities. The results demonstrate the complementary nature of both platforms, and can be informative for future studies of comparative and integrative metabolomics analyses in samples profiled on different platforms.","container-title":"PloS One","DOI":"10.1371/journal.pone.0153672","ISSN":"1932-6203","issue":"4","journalAbbreviation":"PLoS One","language":"eng","note":"PMID: 27073872\nPMCID: PMC4830611","page":"e0153672","source":"PubMed","title":"Genetic Influences on Metabolite Levels: A Comparison across Metabolomic Platforms","title-short":"Genetic Influences on Metabolite Levels","volume":"11","author":[{"family":"Yet","given":"Idil"},{"family":"Menni","given":"Cristina"},{"family":"Shin","given":"So-Youn"},{"family":"Mangino","given":"Massimo"},{"family":"Soranzo","given":"Nicole"},{"family":"Adamski","given":"Jerzy"},{"family":"Suhre","given":"Karsten"},{"family":"Spector","given":"Tim D."},{"family":"Kastenmüller","given":"Gabi"},{"family":"Bell","given":"Jordana T."}],"issued":{"date-parts":[["2016"]]}}}],"schema":"https://github.com/citation-style-language/schema/raw/master/csl-citation.json"} </w:instrText>
            </w:r>
            <w:r w:rsidRPr="004817FD">
              <w:rPr>
                <w:rFonts w:ascii="Arial" w:eastAsia="Times New Roman" w:hAnsi="Arial" w:cs="Arial"/>
                <w:color w:val="000000" w:themeColor="text1"/>
                <w:sz w:val="16"/>
                <w:szCs w:val="16"/>
              </w:rPr>
              <w:fldChar w:fldCharType="separate"/>
            </w:r>
            <w:r w:rsidRPr="004817FD">
              <w:rPr>
                <w:rFonts w:ascii="Arial" w:hAnsi="Arial" w:cs="Arial"/>
                <w:color w:val="000000" w:themeColor="text1"/>
                <w:sz w:val="16"/>
                <w:szCs w:val="16"/>
              </w:rPr>
              <w:t>(Yet et al., 2016)</w:t>
            </w:r>
            <w:r w:rsidRPr="004817FD">
              <w:rPr>
                <w:rFonts w:ascii="Arial" w:eastAsia="Times New Roman" w:hAnsi="Arial" w:cs="Arial"/>
                <w:color w:val="000000" w:themeColor="text1"/>
                <w:sz w:val="16"/>
                <w:szCs w:val="16"/>
              </w:rPr>
              <w:fldChar w:fldCharType="end"/>
            </w:r>
          </w:p>
        </w:tc>
        <w:tc>
          <w:tcPr>
            <w:tcW w:w="1082" w:type="dxa"/>
          </w:tcPr>
          <w:p w14:paraId="6887592D" w14:textId="469B8DCD"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8:18414867</w:t>
            </w:r>
          </w:p>
        </w:tc>
      </w:tr>
      <w:tr w:rsidR="00E915EB" w:rsidRPr="004817FD" w14:paraId="428D1DFE" w14:textId="6196DB9C" w:rsidTr="00E915EB">
        <w:trPr>
          <w:trHeight w:val="300"/>
        </w:trPr>
        <w:tc>
          <w:tcPr>
            <w:tcW w:w="1384" w:type="dxa"/>
            <w:noWrap/>
          </w:tcPr>
          <w:p w14:paraId="33AEB45D" w14:textId="1118CA21" w:rsidR="00E915EB" w:rsidRPr="004817FD" w:rsidRDefault="00E915EB" w:rsidP="00E915EB">
            <w:pPr>
              <w:rPr>
                <w:rFonts w:ascii="Arial" w:eastAsia="Times New Roman" w:hAnsi="Arial" w:cs="Arial"/>
                <w:color w:val="000000" w:themeColor="text1"/>
                <w:sz w:val="16"/>
                <w:szCs w:val="16"/>
              </w:rPr>
            </w:pPr>
          </w:p>
        </w:tc>
        <w:tc>
          <w:tcPr>
            <w:tcW w:w="747" w:type="dxa"/>
          </w:tcPr>
          <w:p w14:paraId="15424918" w14:textId="7F0F1AB8" w:rsidR="00E915EB" w:rsidRPr="004817FD" w:rsidRDefault="00E915EB" w:rsidP="00E915EB">
            <w:pPr>
              <w:jc w:val="center"/>
              <w:rPr>
                <w:rFonts w:ascii="Arial" w:eastAsia="Times New Roman" w:hAnsi="Arial" w:cs="Arial"/>
                <w:color w:val="000000" w:themeColor="text1"/>
                <w:sz w:val="16"/>
                <w:szCs w:val="16"/>
              </w:rPr>
            </w:pPr>
          </w:p>
        </w:tc>
        <w:tc>
          <w:tcPr>
            <w:tcW w:w="852" w:type="dxa"/>
            <w:noWrap/>
            <w:hideMark/>
          </w:tcPr>
          <w:p w14:paraId="504A2947" w14:textId="20909459" w:rsidR="00E915EB" w:rsidRPr="004817FD" w:rsidRDefault="00E915EB" w:rsidP="00E915EB">
            <w:pPr>
              <w:jc w:val="center"/>
              <w:rPr>
                <w:rFonts w:ascii="Arial" w:eastAsia="Times New Roman" w:hAnsi="Arial" w:cs="Arial"/>
                <w:color w:val="000000" w:themeColor="text1"/>
                <w:sz w:val="16"/>
                <w:szCs w:val="16"/>
              </w:rPr>
            </w:pPr>
            <w:r w:rsidRPr="004817FD">
              <w:rPr>
                <w:rFonts w:ascii="Arial" w:hAnsi="Arial" w:cs="Arial"/>
                <w:sz w:val="16"/>
                <w:szCs w:val="16"/>
              </w:rPr>
              <w:t>NR</w:t>
            </w:r>
          </w:p>
        </w:tc>
        <w:tc>
          <w:tcPr>
            <w:tcW w:w="1143" w:type="dxa"/>
            <w:noWrap/>
            <w:hideMark/>
          </w:tcPr>
          <w:p w14:paraId="481E6C4C" w14:textId="2DFD24F6"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2 x 10</w:t>
            </w:r>
            <w:r w:rsidRPr="004817FD">
              <w:rPr>
                <w:rFonts w:ascii="Arial" w:eastAsia="Times New Roman" w:hAnsi="Arial" w:cs="Arial"/>
                <w:color w:val="000000" w:themeColor="text1"/>
                <w:sz w:val="16"/>
                <w:szCs w:val="16"/>
                <w:vertAlign w:val="superscript"/>
              </w:rPr>
              <w:t>-19</w:t>
            </w:r>
          </w:p>
        </w:tc>
        <w:tc>
          <w:tcPr>
            <w:tcW w:w="973" w:type="dxa"/>
          </w:tcPr>
          <w:p w14:paraId="4CB762FD" w14:textId="65327848" w:rsidR="00E915EB" w:rsidRPr="004817FD" w:rsidRDefault="00E915EB" w:rsidP="00E915EB">
            <w:pPr>
              <w:jc w:val="center"/>
              <w:rPr>
                <w:rFonts w:ascii="Arial" w:hAnsi="Arial" w:cs="Arial"/>
                <w:sz w:val="16"/>
                <w:szCs w:val="16"/>
              </w:rPr>
            </w:pPr>
            <w:r>
              <w:rPr>
                <w:rFonts w:ascii="Arial" w:hAnsi="Arial" w:cs="Arial"/>
                <w:sz w:val="16"/>
                <w:szCs w:val="16"/>
              </w:rPr>
              <w:t>-</w:t>
            </w:r>
          </w:p>
        </w:tc>
        <w:tc>
          <w:tcPr>
            <w:tcW w:w="1084" w:type="dxa"/>
            <w:noWrap/>
            <w:hideMark/>
          </w:tcPr>
          <w:p w14:paraId="36DAF3F7" w14:textId="119CF032" w:rsidR="00E915EB" w:rsidRPr="004817FD" w:rsidRDefault="00E915EB" w:rsidP="00E915EB">
            <w:pPr>
              <w:jc w:val="center"/>
              <w:rPr>
                <w:rFonts w:eastAsia="Times New Roman" w:cstheme="minorHAnsi"/>
                <w:color w:val="000000" w:themeColor="text1"/>
                <w:sz w:val="16"/>
                <w:szCs w:val="16"/>
              </w:rPr>
            </w:pPr>
            <w:r w:rsidRPr="004817FD">
              <w:rPr>
                <w:rFonts w:cstheme="minorHAnsi"/>
                <w:sz w:val="16"/>
                <w:szCs w:val="16"/>
              </w:rPr>
              <w:t>↑</w:t>
            </w:r>
          </w:p>
        </w:tc>
        <w:tc>
          <w:tcPr>
            <w:tcW w:w="4301" w:type="dxa"/>
            <w:noWrap/>
            <w:hideMark/>
          </w:tcPr>
          <w:p w14:paraId="671E898E" w14:textId="6C92FA53"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5-acetylamino-6-formylamino-3-methyluracil levels (serum)</w:t>
            </w:r>
          </w:p>
        </w:tc>
        <w:tc>
          <w:tcPr>
            <w:tcW w:w="3109" w:type="dxa"/>
            <w:noWrap/>
            <w:hideMark/>
          </w:tcPr>
          <w:p w14:paraId="198FF3EA" w14:textId="2EE1FE96"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fldChar w:fldCharType="begin"/>
            </w:r>
            <w:r>
              <w:rPr>
                <w:rFonts w:ascii="Arial" w:eastAsia="Times New Roman" w:hAnsi="Arial" w:cs="Arial"/>
                <w:color w:val="000000" w:themeColor="text1"/>
                <w:sz w:val="16"/>
                <w:szCs w:val="16"/>
              </w:rPr>
              <w:instrText xml:space="preserve"> ADDIN ZOTERO_ITEM CSL_CITATION {"citationID":"8j3YmUxl","properties":{"formattedCitation":"(Bar et al., 2020)","plainCitation":"(Bar et al., 2020)","noteIndex":0},"citationItems":[{"id":"8dHjENI5/WNcbpmYL","uris":["http://zotero.org/users/9763947/items/7B6RN3VX"],"itemData":{"id":397,"type":"article-journal","abstract":"The serum metabolome contains a plethora of biomarkers and causative agents of various diseases, some of which are endogenously produced and some that have been taken up from the environment1. The origins of specific compounds are known, including metabolites that are highly heritable2,3, or those that are influenced by the gut microbiome4, by lifestyle choices such as smoking5, or by diet6. However, the key determinants of most metabolites are still poorly understood. Here we measured the levels of 1,251 metabolites in serum samples from a unique and deeply phenotyped healthy human cohort of 491 individuals. We applied machine-learning algorithms to predict metabolite levels in held-out individuals on the basis of host genetics, gut microbiome, clinical parameters, diet, lifestyle and anthropometric measurements, and obtained statistically significant predictions for more than 76% of the profiled metabolites. Diet and microbiome had the strongest predictive power, and each explained hundreds of metabolites-in some cases, explaining more than 50% of the observed variance. We further validated microbiome-related predictions by showing a high replication rate in two geographically independent cohorts7,8 that were not available to us when we trained the algorithms. We used feature attribution analysis9 to reveal specific dietary and bacterial interactions. We further demonstrate that some of these interactions might be causal, as some metabolites that we predicted to be positively associated with bread were found to increase after a randomized clinical trial of bread intervention. Overall, our results reveal potential determinants of more than 800 metabolites, paving the way towards a mechanistic understanding of alterations in metabolites under different conditions and to designing interventions for manipulating the levels of circulating metabolites.","container-title":"Nature","DOI":"10.1038/s41586-020-2896-2","ISSN":"1476-4687","issue":"7836","journalAbbreviation":"Nature","language":"eng","note":"PMID: 33177712","page":"135-140","source":"PubMed","title":"A reference map of potential determinants for the human serum metabolome","volume":"588","author":[{"family":"Bar","given":"Noam"},{"family":"Korem","given":"Tal"},{"family":"Weissbrod","given":"Omer"},{"family":"Zeevi","given":"David"},{"family":"Rothschild","given":"Daphna"},{"family":"Leviatan","given":"Sigal"},{"family":"Kosower","given":"Noa"},{"family":"Lotan-Pompan","given":"Maya"},{"family":"Weinberger","given":"Adina"},{"family":"Le Roy","given":"Caroline I."},{"family":"Menni","given":"Cristina"},{"family":"Visconti","given":"Alessia"},{"family":"Falchi","given":"Mario"},{"family":"Spector","given":"Tim D."},{"literal":"IMI DIRECT consortium"},{"family":"Adamski","given":"Jerzy"},{"family":"Franks","given":"Paul W."},{"family":"Pedersen","given":"Oluf"},{"family":"Segal","given":"Eran"}],"issued":{"date-parts":[["2020",12]]}}}],"schema":"https://github.com/citation-style-language/schema/raw/master/csl-citation.json"} </w:instrText>
            </w:r>
            <w:r w:rsidRPr="004817FD">
              <w:rPr>
                <w:rFonts w:ascii="Arial" w:eastAsia="Times New Roman" w:hAnsi="Arial" w:cs="Arial"/>
                <w:color w:val="000000" w:themeColor="text1"/>
                <w:sz w:val="16"/>
                <w:szCs w:val="16"/>
              </w:rPr>
              <w:fldChar w:fldCharType="separate"/>
            </w:r>
            <w:r w:rsidRPr="004817FD">
              <w:rPr>
                <w:rFonts w:ascii="Arial" w:hAnsi="Arial" w:cs="Arial"/>
                <w:color w:val="000000" w:themeColor="text1"/>
                <w:sz w:val="16"/>
                <w:szCs w:val="16"/>
              </w:rPr>
              <w:t>(Bar et al., 2020)</w:t>
            </w:r>
            <w:r w:rsidRPr="004817FD">
              <w:rPr>
                <w:rFonts w:ascii="Arial" w:eastAsia="Times New Roman" w:hAnsi="Arial" w:cs="Arial"/>
                <w:color w:val="000000" w:themeColor="text1"/>
                <w:sz w:val="16"/>
                <w:szCs w:val="16"/>
              </w:rPr>
              <w:fldChar w:fldCharType="end"/>
            </w:r>
          </w:p>
        </w:tc>
        <w:tc>
          <w:tcPr>
            <w:tcW w:w="1082" w:type="dxa"/>
          </w:tcPr>
          <w:p w14:paraId="7373DFFD" w14:textId="492FE590" w:rsidR="00E915EB" w:rsidRPr="004817FD" w:rsidRDefault="00E915EB" w:rsidP="00E915EB">
            <w:pPr>
              <w:rPr>
                <w:rFonts w:ascii="Arial" w:eastAsia="Times New Roman" w:hAnsi="Arial" w:cs="Arial"/>
                <w:color w:val="000000" w:themeColor="text1"/>
                <w:sz w:val="16"/>
                <w:szCs w:val="16"/>
              </w:rPr>
            </w:pPr>
          </w:p>
        </w:tc>
      </w:tr>
      <w:tr w:rsidR="00E915EB" w:rsidRPr="004817FD" w14:paraId="3C34D9A6" w14:textId="3F64D177" w:rsidTr="00E915EB">
        <w:trPr>
          <w:trHeight w:val="300"/>
        </w:trPr>
        <w:tc>
          <w:tcPr>
            <w:tcW w:w="1384" w:type="dxa"/>
            <w:noWrap/>
          </w:tcPr>
          <w:p w14:paraId="3AC465C7" w14:textId="70C6C96F" w:rsidR="00E915EB" w:rsidRPr="004817FD" w:rsidRDefault="00E915EB" w:rsidP="00E915EB">
            <w:pPr>
              <w:rPr>
                <w:rFonts w:ascii="Arial" w:eastAsia="Times New Roman" w:hAnsi="Arial" w:cs="Arial"/>
                <w:color w:val="000000" w:themeColor="text1"/>
                <w:sz w:val="16"/>
                <w:szCs w:val="16"/>
              </w:rPr>
            </w:pPr>
          </w:p>
        </w:tc>
        <w:tc>
          <w:tcPr>
            <w:tcW w:w="747" w:type="dxa"/>
          </w:tcPr>
          <w:p w14:paraId="76FE1161" w14:textId="77777777" w:rsidR="00E915EB" w:rsidRPr="004817FD" w:rsidRDefault="00E915EB" w:rsidP="00E915EB">
            <w:pPr>
              <w:jc w:val="center"/>
              <w:rPr>
                <w:rFonts w:ascii="Arial" w:eastAsia="Times New Roman" w:hAnsi="Arial" w:cs="Arial"/>
                <w:color w:val="000000" w:themeColor="text1"/>
                <w:sz w:val="16"/>
                <w:szCs w:val="16"/>
              </w:rPr>
            </w:pPr>
          </w:p>
        </w:tc>
        <w:tc>
          <w:tcPr>
            <w:tcW w:w="852" w:type="dxa"/>
            <w:noWrap/>
            <w:hideMark/>
          </w:tcPr>
          <w:p w14:paraId="1B81483B" w14:textId="52B63D6F" w:rsidR="00E915EB" w:rsidRPr="004817FD" w:rsidRDefault="00E915EB" w:rsidP="00E915EB">
            <w:pPr>
              <w:jc w:val="cente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C</w:t>
            </w:r>
          </w:p>
        </w:tc>
        <w:tc>
          <w:tcPr>
            <w:tcW w:w="1143" w:type="dxa"/>
            <w:noWrap/>
            <w:hideMark/>
          </w:tcPr>
          <w:p w14:paraId="49BCB71B" w14:textId="55895FD5"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6 x 10</w:t>
            </w:r>
            <w:r w:rsidRPr="004817FD">
              <w:rPr>
                <w:rFonts w:ascii="Arial" w:eastAsia="Times New Roman" w:hAnsi="Arial" w:cs="Arial"/>
                <w:color w:val="000000" w:themeColor="text1"/>
                <w:sz w:val="16"/>
                <w:szCs w:val="16"/>
                <w:vertAlign w:val="superscript"/>
              </w:rPr>
              <w:t>-44</w:t>
            </w:r>
          </w:p>
        </w:tc>
        <w:tc>
          <w:tcPr>
            <w:tcW w:w="973" w:type="dxa"/>
          </w:tcPr>
          <w:p w14:paraId="4335BCAC" w14:textId="311205E9" w:rsidR="00E915EB" w:rsidRPr="004817FD" w:rsidRDefault="00E915EB" w:rsidP="00E915EB">
            <w:pPr>
              <w:jc w:val="center"/>
              <w:rPr>
                <w:rFonts w:ascii="Arial" w:hAnsi="Arial" w:cs="Arial"/>
                <w:sz w:val="16"/>
                <w:szCs w:val="16"/>
              </w:rPr>
            </w:pPr>
            <w:r w:rsidRPr="004817FD">
              <w:rPr>
                <w:rFonts w:ascii="Arial" w:hAnsi="Arial" w:cs="Arial"/>
                <w:sz w:val="16"/>
                <w:szCs w:val="16"/>
              </w:rPr>
              <w:t>0.3</w:t>
            </w:r>
            <w:r>
              <w:rPr>
                <w:rFonts w:ascii="Arial" w:hAnsi="Arial" w:cs="Arial"/>
                <w:sz w:val="16"/>
                <w:szCs w:val="16"/>
              </w:rPr>
              <w:t>5</w:t>
            </w:r>
          </w:p>
        </w:tc>
        <w:tc>
          <w:tcPr>
            <w:tcW w:w="1084" w:type="dxa"/>
            <w:noWrap/>
            <w:hideMark/>
          </w:tcPr>
          <w:p w14:paraId="335134B2" w14:textId="325D5FEC" w:rsidR="00E915EB" w:rsidRPr="004817FD" w:rsidRDefault="00E915EB" w:rsidP="00E915EB">
            <w:pPr>
              <w:jc w:val="center"/>
              <w:rPr>
                <w:rFonts w:cstheme="minorHAnsi"/>
                <w:sz w:val="16"/>
                <w:szCs w:val="16"/>
              </w:rPr>
            </w:pPr>
            <w:r w:rsidRPr="004817FD">
              <w:rPr>
                <w:rFonts w:cstheme="minorHAnsi"/>
                <w:sz w:val="16"/>
                <w:szCs w:val="16"/>
              </w:rPr>
              <w:t>↑</w:t>
            </w:r>
          </w:p>
        </w:tc>
        <w:tc>
          <w:tcPr>
            <w:tcW w:w="4301" w:type="dxa"/>
            <w:noWrap/>
            <w:hideMark/>
          </w:tcPr>
          <w:p w14:paraId="5C2D3A95" w14:textId="574931B0"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Serum metabolite levels (4-acetamidobutanoate)</w:t>
            </w:r>
          </w:p>
        </w:tc>
        <w:tc>
          <w:tcPr>
            <w:tcW w:w="3109" w:type="dxa"/>
            <w:noWrap/>
            <w:hideMark/>
          </w:tcPr>
          <w:p w14:paraId="4E2D5579" w14:textId="66A1AEB2"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fldChar w:fldCharType="begin"/>
            </w:r>
            <w:r>
              <w:rPr>
                <w:rFonts w:ascii="Arial" w:eastAsia="Times New Roman" w:hAnsi="Arial" w:cs="Arial"/>
                <w:color w:val="000000" w:themeColor="text1"/>
                <w:sz w:val="16"/>
                <w:szCs w:val="16"/>
              </w:rPr>
              <w:instrText xml:space="preserve"> ADDIN ZOTERO_ITEM CSL_CITATION {"citationID":"UQZD6WAx","properties":{"formattedCitation":"(Feofanova et al., 2020)","plainCitation":"(Feofanova et al., 2020)","noteIndex":0},"citationItems":[{"id":"8dHjENI5/cP2RLLPI","uris":["http://zotero.org/users/9763947/items/BIRNKA6U"],"itemData":{"id":276,"type":"article-journal","abstract":"Variation in levels of the human metabolome reflect changes in homeostasis, providing a window into health and disease. The genetic impact on circulating metabolites in Hispanics, a population with high cardiometabolic disease burden, is largely unknown. We conducted genome-wide association analyses on 640 circulating metabolites in 3,926 Hispanic Community Health Study/Study of Latinos participants. The estimated heritability for 640 metabolites ranged between 0%-54% with a median at 2.5%. We discovered 46 variant-metabolite pairs (p value &lt; 1.2 × 10-10, minor allele frequency ≥ 1%, proportion of variance explained [PEV] mean = 3.4%, PEVrange = 1%-22%) with generalized effects in two population-based studies and confirmed 301 known locus-metabolite associations. Half of the identified variants with generalized effect were located in genes, including five nonsynonymous variants. We identified co-localization with the expression quantitative trait loci at 105 discovered and 151 known loci-metabolites sets. rs5855544, upstream of SLC51A, was associated with higher levels of three steroid sulfates and co-localized with expression levels of SLC51A in several tissues. Mendelian randomization (MR) analysis identified several metabolites associated with coronary heart disease (CHD) and type 2 diabetes. For example, two variants located in or near CYP4F2 (rs2108622 and rs79400241, respectively), involved in vitamin E metabolism, were associated with the levels of octadecanedioate and vitamin E metabolites (gamma-CEHC and gamma-CEHC glucuronide); MR analysis showed that genetically high levels of these metabolites were associated with lower odds of CHD. Our findings document the genetic architecture of circulating metabolites in an underrepresented Hispanic/Latino community, shedding light on disease etiology.","container-title":"American Journal of Human Genetics","DOI":"10.1016/j.ajhg.2020.09.003","ISSN":"1537-6605","issue":"5","journalAbbreviation":"Am J Hum Genet","language":"eng","note":"PMID: 33031748\nPMCID: PMC7675000","page":"849-863","source":"PubMed","title":"A Genome-wide Association Study Discovers 46 Loci of the Human Metabolome in the Hispanic Community Health Study/Study of Latinos","volume":"107","author":[{"family":"Feofanova","given":"Elena V."},{"family":"Chen","given":"Han"},{"family":"Dai","given":"Yulin"},{"family":"Jia","given":"Peilin"},{"family":"Grove","given":"Megan L."},{"family":"Morrison","given":"Alanna C."},{"family":"Qi","given":"Qibin"},{"family":"Daviglus","given":"Martha"},{"family":"Cai","given":"Jianwen"},{"family":"North","given":"Kari E."},{"family":"Laurie","given":"Cathy C."},{"family":"Kaplan","given":"Robert C."},{"family":"Boerwinkle","given":"Eric"},{"family":"Yu","given":"Bing"}],"issued":{"date-parts":[["2020",11,5]]}}}],"schema":"https://github.com/citation-style-language/schema/raw/master/csl-citation.json"} </w:instrText>
            </w:r>
            <w:r w:rsidRPr="004817FD">
              <w:rPr>
                <w:rFonts w:ascii="Arial" w:eastAsia="Times New Roman" w:hAnsi="Arial" w:cs="Arial"/>
                <w:color w:val="000000" w:themeColor="text1"/>
                <w:sz w:val="16"/>
                <w:szCs w:val="16"/>
              </w:rPr>
              <w:fldChar w:fldCharType="separate"/>
            </w:r>
            <w:r w:rsidRPr="004817FD">
              <w:rPr>
                <w:rFonts w:ascii="Arial" w:hAnsi="Arial" w:cs="Arial"/>
                <w:color w:val="000000" w:themeColor="text1"/>
                <w:sz w:val="16"/>
                <w:szCs w:val="16"/>
              </w:rPr>
              <w:t>(Feofanova et al., 2020)</w:t>
            </w:r>
            <w:r w:rsidRPr="004817FD">
              <w:rPr>
                <w:rFonts w:ascii="Arial" w:eastAsia="Times New Roman" w:hAnsi="Arial" w:cs="Arial"/>
                <w:color w:val="000000" w:themeColor="text1"/>
                <w:sz w:val="16"/>
                <w:szCs w:val="16"/>
              </w:rPr>
              <w:fldChar w:fldCharType="end"/>
            </w:r>
          </w:p>
        </w:tc>
        <w:tc>
          <w:tcPr>
            <w:tcW w:w="1082" w:type="dxa"/>
          </w:tcPr>
          <w:p w14:paraId="19C49315" w14:textId="4D86AB24" w:rsidR="00E915EB" w:rsidRPr="004817FD" w:rsidRDefault="00E915EB" w:rsidP="00E915EB">
            <w:pPr>
              <w:rPr>
                <w:rFonts w:ascii="Arial" w:eastAsia="Times New Roman" w:hAnsi="Arial" w:cs="Arial"/>
                <w:color w:val="000000" w:themeColor="text1"/>
                <w:sz w:val="16"/>
                <w:szCs w:val="16"/>
              </w:rPr>
            </w:pPr>
          </w:p>
        </w:tc>
      </w:tr>
      <w:tr w:rsidR="00E915EB" w:rsidRPr="004817FD" w14:paraId="59E01BF5" w14:textId="6002BF9E" w:rsidTr="00E915EB">
        <w:trPr>
          <w:trHeight w:val="300"/>
        </w:trPr>
        <w:tc>
          <w:tcPr>
            <w:tcW w:w="1384" w:type="dxa"/>
            <w:noWrap/>
          </w:tcPr>
          <w:p w14:paraId="3A9AE440" w14:textId="1EBD6B23" w:rsidR="00E915EB" w:rsidRPr="004817FD" w:rsidRDefault="00E915EB" w:rsidP="00E915EB">
            <w:pPr>
              <w:rPr>
                <w:rFonts w:ascii="Arial" w:eastAsia="Times New Roman" w:hAnsi="Arial" w:cs="Arial"/>
                <w:color w:val="000000" w:themeColor="text1"/>
                <w:sz w:val="16"/>
                <w:szCs w:val="16"/>
              </w:rPr>
            </w:pPr>
          </w:p>
        </w:tc>
        <w:tc>
          <w:tcPr>
            <w:tcW w:w="747" w:type="dxa"/>
          </w:tcPr>
          <w:p w14:paraId="2FAA92C0" w14:textId="77777777" w:rsidR="00E915EB" w:rsidRPr="004817FD" w:rsidRDefault="00E915EB" w:rsidP="00E915EB">
            <w:pPr>
              <w:jc w:val="center"/>
              <w:rPr>
                <w:rFonts w:ascii="Arial" w:eastAsia="Times New Roman" w:hAnsi="Arial" w:cs="Arial"/>
                <w:color w:val="000000" w:themeColor="text1"/>
                <w:sz w:val="16"/>
                <w:szCs w:val="16"/>
              </w:rPr>
            </w:pPr>
          </w:p>
        </w:tc>
        <w:tc>
          <w:tcPr>
            <w:tcW w:w="852" w:type="dxa"/>
            <w:tcBorders>
              <w:bottom w:val="single" w:sz="4" w:space="0" w:color="auto"/>
            </w:tcBorders>
            <w:noWrap/>
            <w:hideMark/>
          </w:tcPr>
          <w:p w14:paraId="63334982" w14:textId="4DCAEFE0" w:rsidR="00E915EB" w:rsidRPr="004817FD" w:rsidRDefault="00E915EB" w:rsidP="00E915EB">
            <w:pPr>
              <w:jc w:val="cente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C</w:t>
            </w:r>
          </w:p>
        </w:tc>
        <w:tc>
          <w:tcPr>
            <w:tcW w:w="1143" w:type="dxa"/>
            <w:tcBorders>
              <w:bottom w:val="single" w:sz="4" w:space="0" w:color="auto"/>
            </w:tcBorders>
            <w:noWrap/>
            <w:hideMark/>
          </w:tcPr>
          <w:p w14:paraId="4197ED66" w14:textId="15046805"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5 x 10</w:t>
            </w:r>
            <w:r w:rsidRPr="004817FD">
              <w:rPr>
                <w:rFonts w:ascii="Arial" w:eastAsia="Times New Roman" w:hAnsi="Arial" w:cs="Arial"/>
                <w:color w:val="000000" w:themeColor="text1"/>
                <w:sz w:val="16"/>
                <w:szCs w:val="16"/>
                <w:vertAlign w:val="superscript"/>
              </w:rPr>
              <w:t>-19</w:t>
            </w:r>
          </w:p>
        </w:tc>
        <w:tc>
          <w:tcPr>
            <w:tcW w:w="973" w:type="dxa"/>
            <w:tcBorders>
              <w:bottom w:val="single" w:sz="4" w:space="0" w:color="auto"/>
            </w:tcBorders>
          </w:tcPr>
          <w:p w14:paraId="6823263A" w14:textId="5C3D55B2" w:rsidR="00E915EB" w:rsidRPr="004817FD" w:rsidRDefault="00E915EB" w:rsidP="00E915EB">
            <w:pPr>
              <w:jc w:val="center"/>
              <w:rPr>
                <w:rFonts w:ascii="Arial" w:hAnsi="Arial" w:cs="Arial"/>
                <w:sz w:val="16"/>
                <w:szCs w:val="16"/>
              </w:rPr>
            </w:pPr>
          </w:p>
        </w:tc>
        <w:tc>
          <w:tcPr>
            <w:tcW w:w="1084" w:type="dxa"/>
            <w:tcBorders>
              <w:bottom w:val="single" w:sz="4" w:space="0" w:color="auto"/>
            </w:tcBorders>
            <w:noWrap/>
            <w:hideMark/>
          </w:tcPr>
          <w:p w14:paraId="1CB30904" w14:textId="7F93E773" w:rsidR="00E915EB" w:rsidRPr="004817FD" w:rsidRDefault="00E915EB" w:rsidP="00E915EB">
            <w:pPr>
              <w:jc w:val="center"/>
              <w:rPr>
                <w:rFonts w:eastAsia="Times New Roman" w:cstheme="minorHAnsi"/>
                <w:color w:val="000000" w:themeColor="text1"/>
                <w:sz w:val="16"/>
                <w:szCs w:val="16"/>
              </w:rPr>
            </w:pPr>
            <w:r w:rsidRPr="004817FD">
              <w:rPr>
                <w:rFonts w:cstheme="minorHAnsi"/>
                <w:sz w:val="16"/>
                <w:szCs w:val="16"/>
              </w:rPr>
              <w:t>↑</w:t>
            </w:r>
          </w:p>
        </w:tc>
        <w:tc>
          <w:tcPr>
            <w:tcW w:w="4301" w:type="dxa"/>
            <w:tcBorders>
              <w:bottom w:val="single" w:sz="4" w:space="0" w:color="auto"/>
            </w:tcBorders>
            <w:noWrap/>
            <w:hideMark/>
          </w:tcPr>
          <w:p w14:paraId="56C61AA6" w14:textId="71BBD535"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Liver enzyme levels (gamma-glutamyl transferase)</w:t>
            </w:r>
          </w:p>
        </w:tc>
        <w:tc>
          <w:tcPr>
            <w:tcW w:w="3109" w:type="dxa"/>
            <w:tcBorders>
              <w:bottom w:val="single" w:sz="4" w:space="0" w:color="auto"/>
            </w:tcBorders>
            <w:noWrap/>
            <w:hideMark/>
          </w:tcPr>
          <w:p w14:paraId="08F92A80" w14:textId="50879AF0"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fldChar w:fldCharType="begin"/>
            </w:r>
            <w:r>
              <w:rPr>
                <w:rFonts w:ascii="Arial" w:eastAsia="Times New Roman" w:hAnsi="Arial" w:cs="Arial"/>
                <w:color w:val="000000" w:themeColor="text1"/>
                <w:sz w:val="16"/>
                <w:szCs w:val="16"/>
              </w:rPr>
              <w:instrText xml:space="preserve"> ADDIN ZOTERO_ITEM CSL_CITATION {"citationID":"cdoqU6IK","properties":{"formattedCitation":"(Pazoki et al., 2021)","plainCitation":"(Pazoki et al., 2021)","noteIndex":0},"citationItems":[{"id":"8dHjENI5/yCV2wk9C","uris":["http://zotero.org/users/9763947/items/ZIMTIAGA"],"itemData":{"id":388,"type":"article-journal","abstract":"Serum concentration of hepatic enzymes are linked to liver dysfunction, metabolic and cardiovascular diseases. We perform genetic analysis on serum levels of alanine transaminase (ALT), alkaline phosphatase (ALP) and gamma-glutamyl transferase (GGT) using data on 437,438 UK Biobank participants. Replication in 315,572 individuals from European descent from the Million Veteran Program, Rotterdam Study and Lifeline study confirms 517 liver enzyme SNPs. Genetic risk score analysis using the identified SNPs is strongly associated with serum activity of liver enzymes in two independent European descent studies (The Airwave Health Monitoring study and the Northern Finland Birth Cohort 1966). Gene-set enrichment analysis using the identified SNPs highlights involvement in liver development and function, lipid metabolism, insulin resistance, and vascular formation. Mendelian randomization analysis shows association of liver enzyme variants with coronary heart disease and ischemic stroke. Genetic risk score for elevated serum activity of liver enzymes is associated with higher fat percentage of body, trunk, and liver and body mass index. Our study highlights the role of molecular pathways regulated by the liver in metabolic disorders and cardiovascular disease.","container-title":"Nature Communications","DOI":"10.1038/s41467-021-22338-2","ISSN":"2041-1723","issue":"1","journalAbbreviation":"Nat Commun","language":"eng","note":"PMID: 33972514\nPMCID: PMC8110798","page":"2579","source":"PubMed","title":"Genetic analysis in European ancestry individuals identifies 517 loci associated with liver enzymes","volume":"12","author":[{"family":"Pazoki","given":"Raha"},{"family":"Vujkovic","given":"Marijana"},{"family":"Elliott","given":"Joshua"},{"family":"Evangelou","given":"Evangelos"},{"family":"Gill","given":"Dipender"},{"family":"Ghanbari","given":"Mohsen"},{"family":"Most","given":"Peter J.","non-dropping-particle":"van der"},{"family":"Pinto","given":"Rui Climaco"},{"family":"Wielscher","given":"Matthias"},{"family":"Farlik","given":"Matthias"},{"family":"Zuber","given":"Verena"},{"family":"Knegt","given":"Robert J.","non-dropping-particle":"de"},{"family":"Snieder","given":"Harold"},{"family":"Uitterlinden","given":"André G."},{"literal":"Lifelines Cohort Study"},{"family":"Lynch","given":"Julie A."},{"family":"Jiang","given":"Xiyun"},{"family":"Said","given":"Saredo"},{"family":"Kaplan","given":"David E."},{"family":"Lee","given":"Kyung Min"},{"family":"Serper","given":"Marina"},{"family":"Carr","given":"Rotonya M."},{"family":"Tsao","given":"Philip S."},{"family":"Atkinson","given":"Stephen R."},{"family":"Dehghan","given":"Abbas"},{"family":"Tzoulaki","given":"Ioanna"},{"family":"Ikram","given":"M. Arfan"},{"family":"Herzig","given":"Karl-Heinz"},{"family":"Järvelin","given":"Marjo-Riitta"},{"family":"Alizadeh","given":"Behrooz Z."},{"family":"O'Donnell","given":"Christopher J."},{"family":"Saleheen","given":"Danish"},{"family":"Voight","given":"Benjamin F."},{"family":"Chang","given":"Kyong-Mi"},{"family":"Thursz","given":"Mark R."},{"family":"Elliott","given":"Paul"},{"literal":"VA Million Veteran Program"}],"issued":{"date-parts":[["2021",5,10]]}}}],"schema":"https://github.com/citation-style-language/schema/raw/master/csl-citation.json"} </w:instrText>
            </w:r>
            <w:r w:rsidRPr="004817FD">
              <w:rPr>
                <w:rFonts w:ascii="Arial" w:eastAsia="Times New Roman" w:hAnsi="Arial" w:cs="Arial"/>
                <w:color w:val="000000" w:themeColor="text1"/>
                <w:sz w:val="16"/>
                <w:szCs w:val="16"/>
              </w:rPr>
              <w:fldChar w:fldCharType="separate"/>
            </w:r>
            <w:r w:rsidRPr="004817FD">
              <w:rPr>
                <w:rFonts w:ascii="Arial" w:hAnsi="Arial" w:cs="Arial"/>
                <w:color w:val="000000" w:themeColor="text1"/>
                <w:sz w:val="16"/>
                <w:szCs w:val="16"/>
              </w:rPr>
              <w:t>(Pazoki et al., 2021)</w:t>
            </w:r>
            <w:r w:rsidRPr="004817FD">
              <w:rPr>
                <w:rFonts w:ascii="Arial" w:eastAsia="Times New Roman" w:hAnsi="Arial" w:cs="Arial"/>
                <w:color w:val="000000" w:themeColor="text1"/>
                <w:sz w:val="16"/>
                <w:szCs w:val="16"/>
              </w:rPr>
              <w:fldChar w:fldCharType="end"/>
            </w:r>
          </w:p>
        </w:tc>
        <w:tc>
          <w:tcPr>
            <w:tcW w:w="1082" w:type="dxa"/>
            <w:tcBorders>
              <w:bottom w:val="single" w:sz="4" w:space="0" w:color="auto"/>
            </w:tcBorders>
          </w:tcPr>
          <w:p w14:paraId="647E031D" w14:textId="42605826" w:rsidR="00E915EB" w:rsidRPr="004817FD" w:rsidRDefault="00E915EB" w:rsidP="00E915EB">
            <w:pPr>
              <w:rPr>
                <w:rFonts w:ascii="Arial" w:eastAsia="Times New Roman" w:hAnsi="Arial" w:cs="Arial"/>
                <w:color w:val="000000" w:themeColor="text1"/>
                <w:sz w:val="16"/>
                <w:szCs w:val="16"/>
              </w:rPr>
            </w:pPr>
          </w:p>
        </w:tc>
      </w:tr>
      <w:tr w:rsidR="00E915EB" w:rsidRPr="004817FD" w14:paraId="5A4BDEE0" w14:textId="514A4CE5" w:rsidTr="00E915EB">
        <w:trPr>
          <w:trHeight w:val="300"/>
        </w:trPr>
        <w:tc>
          <w:tcPr>
            <w:tcW w:w="1384" w:type="dxa"/>
            <w:tcBorders>
              <w:top w:val="single" w:sz="4" w:space="0" w:color="auto"/>
              <w:bottom w:val="single" w:sz="4" w:space="0" w:color="auto"/>
            </w:tcBorders>
            <w:noWrap/>
          </w:tcPr>
          <w:p w14:paraId="059D6D55" w14:textId="0180F0AB"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rs1495743</w:t>
            </w:r>
          </w:p>
        </w:tc>
        <w:tc>
          <w:tcPr>
            <w:tcW w:w="747" w:type="dxa"/>
            <w:tcBorders>
              <w:top w:val="single" w:sz="4" w:space="0" w:color="auto"/>
              <w:bottom w:val="single" w:sz="4" w:space="0" w:color="auto"/>
            </w:tcBorders>
          </w:tcPr>
          <w:p w14:paraId="6D459209" w14:textId="4A9D9248" w:rsidR="00E915EB" w:rsidRPr="004817FD" w:rsidRDefault="00E915EB" w:rsidP="00E915EB">
            <w:pPr>
              <w:jc w:val="center"/>
              <w:rPr>
                <w:rFonts w:ascii="Arial" w:eastAsia="Times New Roman" w:hAnsi="Arial" w:cs="Arial"/>
                <w:color w:val="000000" w:themeColor="text1"/>
                <w:sz w:val="16"/>
                <w:szCs w:val="16"/>
              </w:rPr>
            </w:pPr>
            <w:r w:rsidRPr="004817FD">
              <w:rPr>
                <w:rFonts w:ascii="Arial" w:hAnsi="Arial" w:cs="Arial"/>
                <w:color w:val="000000" w:themeColor="text1"/>
                <w:sz w:val="16"/>
                <w:szCs w:val="16"/>
              </w:rPr>
              <w:t>Non-coding</w:t>
            </w:r>
          </w:p>
        </w:tc>
        <w:tc>
          <w:tcPr>
            <w:tcW w:w="852" w:type="dxa"/>
            <w:tcBorders>
              <w:top w:val="single" w:sz="4" w:space="0" w:color="auto"/>
              <w:bottom w:val="single" w:sz="4" w:space="0" w:color="auto"/>
            </w:tcBorders>
            <w:noWrap/>
            <w:hideMark/>
          </w:tcPr>
          <w:p w14:paraId="03781BDE" w14:textId="4EC88666" w:rsidR="00E915EB" w:rsidRPr="004817FD" w:rsidRDefault="00E915EB" w:rsidP="00E915EB">
            <w:pPr>
              <w:jc w:val="cente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T</w:t>
            </w:r>
          </w:p>
        </w:tc>
        <w:tc>
          <w:tcPr>
            <w:tcW w:w="1143" w:type="dxa"/>
            <w:tcBorders>
              <w:top w:val="single" w:sz="4" w:space="0" w:color="auto"/>
              <w:bottom w:val="single" w:sz="4" w:space="0" w:color="auto"/>
            </w:tcBorders>
            <w:noWrap/>
            <w:hideMark/>
          </w:tcPr>
          <w:p w14:paraId="31D1B9CA" w14:textId="0157186E"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3 x 10</w:t>
            </w:r>
            <w:r w:rsidRPr="004817FD">
              <w:rPr>
                <w:rFonts w:ascii="Arial" w:eastAsia="Times New Roman" w:hAnsi="Arial" w:cs="Arial"/>
                <w:color w:val="000000" w:themeColor="text1"/>
                <w:sz w:val="16"/>
                <w:szCs w:val="16"/>
                <w:vertAlign w:val="superscript"/>
              </w:rPr>
              <w:t>-47</w:t>
            </w:r>
          </w:p>
        </w:tc>
        <w:tc>
          <w:tcPr>
            <w:tcW w:w="973" w:type="dxa"/>
            <w:tcBorders>
              <w:top w:val="single" w:sz="4" w:space="0" w:color="auto"/>
              <w:bottom w:val="single" w:sz="4" w:space="0" w:color="auto"/>
            </w:tcBorders>
          </w:tcPr>
          <w:p w14:paraId="3ABD33EA" w14:textId="41BE4229" w:rsidR="00E915EB" w:rsidRPr="004817FD" w:rsidRDefault="00AA5A55" w:rsidP="00E915EB">
            <w:pPr>
              <w:jc w:val="center"/>
              <w:rPr>
                <w:rFonts w:ascii="Arial" w:hAnsi="Arial" w:cs="Arial"/>
                <w:sz w:val="16"/>
                <w:szCs w:val="16"/>
              </w:rPr>
            </w:pPr>
            <w:r>
              <w:rPr>
                <w:rFonts w:ascii="Arial" w:hAnsi="Arial" w:cs="Arial"/>
                <w:sz w:val="16"/>
                <w:szCs w:val="16"/>
              </w:rPr>
              <w:t>0.35</w:t>
            </w:r>
          </w:p>
        </w:tc>
        <w:tc>
          <w:tcPr>
            <w:tcW w:w="1084" w:type="dxa"/>
            <w:tcBorders>
              <w:top w:val="single" w:sz="4" w:space="0" w:color="auto"/>
              <w:bottom w:val="single" w:sz="4" w:space="0" w:color="auto"/>
            </w:tcBorders>
            <w:noWrap/>
            <w:hideMark/>
          </w:tcPr>
          <w:p w14:paraId="5776E476" w14:textId="277E7E3A" w:rsidR="00E915EB" w:rsidRPr="004817FD" w:rsidRDefault="00E915EB" w:rsidP="00E915EB">
            <w:pPr>
              <w:jc w:val="center"/>
              <w:rPr>
                <w:rFonts w:eastAsia="Times New Roman" w:cstheme="minorHAnsi"/>
                <w:color w:val="000000" w:themeColor="text1"/>
                <w:sz w:val="16"/>
                <w:szCs w:val="16"/>
              </w:rPr>
            </w:pPr>
            <w:r w:rsidRPr="004817FD">
              <w:rPr>
                <w:rFonts w:cstheme="minorHAnsi"/>
                <w:sz w:val="16"/>
                <w:szCs w:val="16"/>
              </w:rPr>
              <w:t>↓</w:t>
            </w:r>
          </w:p>
        </w:tc>
        <w:tc>
          <w:tcPr>
            <w:tcW w:w="4301" w:type="dxa"/>
            <w:tcBorders>
              <w:top w:val="single" w:sz="4" w:space="0" w:color="auto"/>
              <w:bottom w:val="single" w:sz="4" w:space="0" w:color="auto"/>
            </w:tcBorders>
            <w:noWrap/>
            <w:hideMark/>
          </w:tcPr>
          <w:p w14:paraId="0BE00025" w14:textId="14FBA666"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Blood metabolite ratios (4-acetamidobutanoate/N1-methyladenosine)</w:t>
            </w:r>
          </w:p>
        </w:tc>
        <w:tc>
          <w:tcPr>
            <w:tcW w:w="3109" w:type="dxa"/>
            <w:tcBorders>
              <w:top w:val="single" w:sz="4" w:space="0" w:color="auto"/>
              <w:bottom w:val="single" w:sz="4" w:space="0" w:color="auto"/>
            </w:tcBorders>
            <w:noWrap/>
            <w:hideMark/>
          </w:tcPr>
          <w:p w14:paraId="2B724849" w14:textId="22CD61B5"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fldChar w:fldCharType="begin"/>
            </w:r>
            <w:r>
              <w:rPr>
                <w:rFonts w:ascii="Arial" w:eastAsia="Times New Roman" w:hAnsi="Arial" w:cs="Arial"/>
                <w:color w:val="000000" w:themeColor="text1"/>
                <w:sz w:val="16"/>
                <w:szCs w:val="16"/>
              </w:rPr>
              <w:instrText xml:space="preserve"> ADDIN ZOTERO_ITEM CSL_CITATION {"citationID":"i5CGCwFw","properties":{"formattedCitation":"(Shin et al., 2014)","plainCitation":"(Shin et al., 2014)","noteIndex":0},"citationItems":[{"id":"8dHjENI5/LsUnqTFx","uris":["http://zotero.org/users/9763947/items/QS7JIHZA"],"itemData":{"id":295,"type":"article-journal","abstract":"Genome-wide association scans with high-throughput metabolic profiling provide unprecedented insights into how genetic variation influences metabolism and complex disease. Here we report the most comprehensive exploration of genetic loci influencing human metabolism thus far, comprising 7,824 adult individuals from 2 European population studies. We report genome-wide significant associations at 145 metabolic loci and their biochemical connectivity with more than 400 metabolites in human blood. We extensively characterize the resulting in vivo blueprint of metabolism in human blood by integrating it with information on gene expression, heritability and overlap with known loci for complex disorders, inborn errors of metabolism and pharmacological targets. We further developed a database and web-based resources for data mining and results visualization. Our findings provide new insights into the role of inherited variation in blood metabolic diversity and identify potential new opportunities for drug development and for understanding disease.","container-title":"Nature Genetics","DOI":"10.1038/ng.2982","ISSN":"1546-1718","issue":"6","journalAbbreviation":"Nat Genet","language":"eng","note":"PMID: 24816252\nPMCID: PMC4064254","page":"543-550","source":"PubMed","title":"An atlas of genetic influences on human blood metabolites","volume":"46","author":[{"family":"Shin","given":"So-Youn"},{"family":"Fauman","given":"Eric B."},{"family":"Petersen","given":"Ann-Kristin"},{"family":"Krumsiek","given":"Jan"},{"family":"Santos","given":"Rita"},{"family":"Huang","given":"Jie"},{"family":"Arnold","given":"Matthias"},{"family":"Erte","given":"Idil"},{"family":"Forgetta","given":"Vincenzo"},{"family":"Yang","given":"Tsun-Po"},{"family":"Walter","given":"Klaudia"},{"family":"Menni","given":"Cristina"},{"family":"Chen","given":"Lu"},{"family":"Vasquez","given":"Louella"},{"family":"Valdes","given":"Ana M."},{"family":"Hyde","given":"Craig L."},{"family":"Wang","given":"Vicky"},{"family":"Ziemek","given":"Daniel"},{"family":"Roberts","given":"Phoebe"},{"family":"Xi","given":"Li"},{"family":"Grundberg","given":"Elin"},{"literal":"Multiple Tissue Human Expression Resource (MuTHER) Consortium"},{"family":"Waldenberger","given":"Melanie"},{"family":"Richards","given":"J. Brent"},{"family":"Mohney","given":"Robert P."},{"family":"Milburn","given":"Michael V."},{"family":"John","given":"Sally L."},{"family":"Trimmer","given":"Jeff"},{"family":"Theis","given":"Fabian J."},{"family":"Overington","given":"John P."},{"family":"Suhre","given":"Karsten"},{"family":"Brosnan","given":"M. Julia"},{"family":"Gieger","given":"Christian"},{"family":"Kastenmüller","given":"Gabi"},{"family":"Spector","given":"Tim D."},{"family":"Soranzo","given":"Nicole"}],"issued":{"date-parts":[["2014",6]]}}}],"schema":"https://github.com/citation-style-language/schema/raw/master/csl-citation.json"} </w:instrText>
            </w:r>
            <w:r w:rsidRPr="004817FD">
              <w:rPr>
                <w:rFonts w:ascii="Arial" w:eastAsia="Times New Roman" w:hAnsi="Arial" w:cs="Arial"/>
                <w:color w:val="000000" w:themeColor="text1"/>
                <w:sz w:val="16"/>
                <w:szCs w:val="16"/>
              </w:rPr>
              <w:fldChar w:fldCharType="separate"/>
            </w:r>
            <w:r w:rsidRPr="004817FD">
              <w:rPr>
                <w:rFonts w:ascii="Arial" w:hAnsi="Arial" w:cs="Arial"/>
                <w:color w:val="000000" w:themeColor="text1"/>
                <w:sz w:val="16"/>
                <w:szCs w:val="16"/>
              </w:rPr>
              <w:t>(Shin et al., 2014)</w:t>
            </w:r>
            <w:r w:rsidRPr="004817FD">
              <w:rPr>
                <w:rFonts w:ascii="Arial" w:eastAsia="Times New Roman" w:hAnsi="Arial" w:cs="Arial"/>
                <w:color w:val="000000" w:themeColor="text1"/>
                <w:sz w:val="16"/>
                <w:szCs w:val="16"/>
              </w:rPr>
              <w:fldChar w:fldCharType="end"/>
            </w:r>
          </w:p>
        </w:tc>
        <w:tc>
          <w:tcPr>
            <w:tcW w:w="1082" w:type="dxa"/>
            <w:tcBorders>
              <w:top w:val="single" w:sz="4" w:space="0" w:color="auto"/>
              <w:bottom w:val="single" w:sz="4" w:space="0" w:color="auto"/>
            </w:tcBorders>
          </w:tcPr>
          <w:p w14:paraId="2A74D378" w14:textId="2E13CCA5"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8:18414867</w:t>
            </w:r>
          </w:p>
        </w:tc>
      </w:tr>
      <w:tr w:rsidR="00E915EB" w:rsidRPr="004817FD" w14:paraId="5E1F3592" w14:textId="2492DE97" w:rsidTr="00E915EB">
        <w:trPr>
          <w:trHeight w:val="300"/>
        </w:trPr>
        <w:tc>
          <w:tcPr>
            <w:tcW w:w="1384" w:type="dxa"/>
            <w:tcBorders>
              <w:top w:val="single" w:sz="4" w:space="0" w:color="auto"/>
            </w:tcBorders>
            <w:noWrap/>
          </w:tcPr>
          <w:p w14:paraId="68CCB6BA" w14:textId="4FB8F309"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rs4921914</w:t>
            </w:r>
          </w:p>
        </w:tc>
        <w:tc>
          <w:tcPr>
            <w:tcW w:w="747" w:type="dxa"/>
            <w:tcBorders>
              <w:top w:val="single" w:sz="4" w:space="0" w:color="auto"/>
            </w:tcBorders>
          </w:tcPr>
          <w:p w14:paraId="45258B14" w14:textId="7DB97B33" w:rsidR="00E915EB" w:rsidRPr="004817FD" w:rsidRDefault="00E915EB" w:rsidP="00E915EB">
            <w:pPr>
              <w:jc w:val="center"/>
              <w:rPr>
                <w:rFonts w:ascii="Arial" w:eastAsia="Times New Roman" w:hAnsi="Arial" w:cs="Arial"/>
                <w:color w:val="000000" w:themeColor="text1"/>
                <w:sz w:val="16"/>
                <w:szCs w:val="16"/>
              </w:rPr>
            </w:pPr>
            <w:r w:rsidRPr="004817FD">
              <w:rPr>
                <w:rFonts w:ascii="Arial" w:hAnsi="Arial" w:cs="Arial"/>
                <w:color w:val="000000" w:themeColor="text1"/>
                <w:sz w:val="16"/>
                <w:szCs w:val="16"/>
              </w:rPr>
              <w:t>Non-coding</w:t>
            </w:r>
          </w:p>
        </w:tc>
        <w:tc>
          <w:tcPr>
            <w:tcW w:w="852" w:type="dxa"/>
            <w:tcBorders>
              <w:top w:val="single" w:sz="4" w:space="0" w:color="auto"/>
            </w:tcBorders>
            <w:noWrap/>
            <w:hideMark/>
          </w:tcPr>
          <w:p w14:paraId="108AFBE7" w14:textId="0FCA2151" w:rsidR="00E915EB" w:rsidRPr="004817FD" w:rsidRDefault="00E915EB" w:rsidP="00E915EB">
            <w:pPr>
              <w:jc w:val="center"/>
              <w:rPr>
                <w:rFonts w:ascii="Arial" w:eastAsia="Times New Roman" w:hAnsi="Arial" w:cs="Arial"/>
                <w:color w:val="000000" w:themeColor="text1"/>
                <w:sz w:val="16"/>
                <w:szCs w:val="16"/>
              </w:rPr>
            </w:pPr>
            <w:r w:rsidRPr="004817FD">
              <w:rPr>
                <w:rFonts w:ascii="Arial" w:hAnsi="Arial" w:cs="Arial"/>
                <w:sz w:val="16"/>
                <w:szCs w:val="16"/>
              </w:rPr>
              <w:t>NR</w:t>
            </w:r>
          </w:p>
        </w:tc>
        <w:tc>
          <w:tcPr>
            <w:tcW w:w="1143" w:type="dxa"/>
            <w:tcBorders>
              <w:top w:val="single" w:sz="4" w:space="0" w:color="auto"/>
            </w:tcBorders>
            <w:noWrap/>
            <w:hideMark/>
          </w:tcPr>
          <w:p w14:paraId="3EEE89D6" w14:textId="0B0FD3CD"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6 x 10</w:t>
            </w:r>
            <w:r w:rsidRPr="004817FD">
              <w:rPr>
                <w:rFonts w:ascii="Arial" w:eastAsia="Times New Roman" w:hAnsi="Arial" w:cs="Arial"/>
                <w:color w:val="000000" w:themeColor="text1"/>
                <w:sz w:val="16"/>
                <w:szCs w:val="16"/>
                <w:vertAlign w:val="superscript"/>
              </w:rPr>
              <w:t>-18</w:t>
            </w:r>
          </w:p>
        </w:tc>
        <w:tc>
          <w:tcPr>
            <w:tcW w:w="973" w:type="dxa"/>
            <w:tcBorders>
              <w:top w:val="single" w:sz="4" w:space="0" w:color="auto"/>
            </w:tcBorders>
          </w:tcPr>
          <w:p w14:paraId="6F9A0520" w14:textId="26766F27" w:rsidR="00E915EB" w:rsidRPr="004817FD" w:rsidRDefault="00AA5A55" w:rsidP="00E915EB">
            <w:pPr>
              <w:jc w:val="center"/>
              <w:rPr>
                <w:rFonts w:ascii="Arial" w:hAnsi="Arial" w:cs="Arial"/>
                <w:sz w:val="16"/>
                <w:szCs w:val="16"/>
              </w:rPr>
            </w:pPr>
            <w:r>
              <w:rPr>
                <w:rFonts w:ascii="Arial" w:hAnsi="Arial" w:cs="Arial"/>
                <w:sz w:val="16"/>
                <w:szCs w:val="16"/>
              </w:rPr>
              <w:t>-</w:t>
            </w:r>
          </w:p>
        </w:tc>
        <w:tc>
          <w:tcPr>
            <w:tcW w:w="1084" w:type="dxa"/>
            <w:tcBorders>
              <w:top w:val="single" w:sz="4" w:space="0" w:color="auto"/>
            </w:tcBorders>
            <w:noWrap/>
            <w:hideMark/>
          </w:tcPr>
          <w:p w14:paraId="5EE50B66" w14:textId="077D5E5F" w:rsidR="00E915EB" w:rsidRPr="004817FD" w:rsidRDefault="00E915EB" w:rsidP="00E915EB">
            <w:pPr>
              <w:jc w:val="center"/>
              <w:rPr>
                <w:rFonts w:eastAsia="Times New Roman" w:cstheme="minorHAnsi"/>
                <w:color w:val="000000" w:themeColor="text1"/>
                <w:sz w:val="16"/>
                <w:szCs w:val="16"/>
              </w:rPr>
            </w:pPr>
            <w:r w:rsidRPr="004817FD">
              <w:rPr>
                <w:rFonts w:cstheme="minorHAnsi"/>
                <w:sz w:val="16"/>
                <w:szCs w:val="16"/>
              </w:rPr>
              <w:t>↑</w:t>
            </w:r>
          </w:p>
        </w:tc>
        <w:tc>
          <w:tcPr>
            <w:tcW w:w="4301" w:type="dxa"/>
            <w:tcBorders>
              <w:top w:val="single" w:sz="4" w:space="0" w:color="auto"/>
            </w:tcBorders>
            <w:noWrap/>
            <w:hideMark/>
          </w:tcPr>
          <w:p w14:paraId="70FDC4A5" w14:textId="5C5D692A"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i/>
                <w:color w:val="000000" w:themeColor="text1"/>
                <w:sz w:val="16"/>
                <w:szCs w:val="16"/>
              </w:rPr>
              <w:t>N</w:t>
            </w:r>
            <w:r w:rsidRPr="004817FD">
              <w:rPr>
                <w:rFonts w:ascii="Arial" w:eastAsia="Times New Roman" w:hAnsi="Arial" w:cs="Arial"/>
                <w:color w:val="000000" w:themeColor="text1"/>
                <w:sz w:val="16"/>
                <w:szCs w:val="16"/>
              </w:rPr>
              <w:t>-acetylputrescine levels (serum)</w:t>
            </w:r>
          </w:p>
        </w:tc>
        <w:tc>
          <w:tcPr>
            <w:tcW w:w="3109" w:type="dxa"/>
            <w:tcBorders>
              <w:top w:val="single" w:sz="4" w:space="0" w:color="auto"/>
            </w:tcBorders>
            <w:noWrap/>
            <w:hideMark/>
          </w:tcPr>
          <w:p w14:paraId="526DECB8" w14:textId="77B0457F"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fldChar w:fldCharType="begin"/>
            </w:r>
            <w:r>
              <w:rPr>
                <w:rFonts w:ascii="Arial" w:eastAsia="Times New Roman" w:hAnsi="Arial" w:cs="Arial"/>
                <w:color w:val="000000" w:themeColor="text1"/>
                <w:sz w:val="16"/>
                <w:szCs w:val="16"/>
              </w:rPr>
              <w:instrText xml:space="preserve"> ADDIN ZOTERO_ITEM CSL_CITATION {"citationID":"vpbvE27e","properties":{"formattedCitation":"(Bar et al., 2020)","plainCitation":"(Bar et al., 2020)","noteIndex":0},"citationItems":[{"id":"8dHjENI5/WNcbpmYL","uris":["http://zotero.org/users/9763947/items/7B6RN3VX"],"itemData":{"id":397,"type":"article-journal","abstract":"The serum metabolome contains a plethora of biomarkers and causative agents of various diseases, some of which are endogenously produced and some that have been taken up from the environment1. The origins of specific compounds are known, including metabolites that are highly heritable2,3, or those that are influenced by the gut microbiome4, by lifestyle choices such as smoking5, or by diet6. However, the key determinants of most metabolites are still poorly understood. Here we measured the levels of 1,251 metabolites in serum samples from a unique and deeply phenotyped healthy human cohort of 491 individuals. We applied machine-learning algorithms to predict metabolite levels in held-out individuals on the basis of host genetics, gut microbiome, clinical parameters, diet, lifestyle and anthropometric measurements, and obtained statistically significant predictions for more than 76% of the profiled metabolites. Diet and microbiome had the strongest predictive power, and each explained hundreds of metabolites-in some cases, explaining more than 50% of the observed variance. We further validated microbiome-related predictions by showing a high replication rate in two geographically independent cohorts7,8 that were not available to us when we trained the algorithms. We used feature attribution analysis9 to reveal specific dietary and bacterial interactions. We further demonstrate that some of these interactions might be causal, as some metabolites that we predicted to be positively associated with bread were found to increase after a randomized clinical trial of bread intervention. Overall, our results reveal potential determinants of more than 800 metabolites, paving the way towards a mechanistic understanding of alterations in metabolites under different conditions and to designing interventions for manipulating the levels of circulating metabolites.","container-title":"Nature","DOI":"10.1038/s41586-020-2896-2","ISSN":"1476-4687","issue":"7836","journalAbbreviation":"Nature","language":"eng","note":"PMID: 33177712","page":"135-140","source":"PubMed","title":"A reference map of potential determinants for the human serum metabolome","volume":"588","author":[{"family":"Bar","given":"Noam"},{"family":"Korem","given":"Tal"},{"family":"Weissbrod","given":"Omer"},{"family":"Zeevi","given":"David"},{"family":"Rothschild","given":"Daphna"},{"family":"Leviatan","given":"Sigal"},{"family":"Kosower","given":"Noa"},{"family":"Lotan-Pompan","given":"Maya"},{"family":"Weinberger","given":"Adina"},{"family":"Le Roy","given":"Caroline I."},{"family":"Menni","given":"Cristina"},{"family":"Visconti","given":"Alessia"},{"family":"Falchi","given":"Mario"},{"family":"Spector","given":"Tim D."},{"literal":"IMI DIRECT consortium"},{"family":"Adamski","given":"Jerzy"},{"family":"Franks","given":"Paul W."},{"family":"Pedersen","given":"Oluf"},{"family":"Segal","given":"Eran"}],"issued":{"date-parts":[["2020",12]]}}}],"schema":"https://github.com/citation-style-language/schema/raw/master/csl-citation.json"} </w:instrText>
            </w:r>
            <w:r w:rsidRPr="004817FD">
              <w:rPr>
                <w:rFonts w:ascii="Arial" w:eastAsia="Times New Roman" w:hAnsi="Arial" w:cs="Arial"/>
                <w:color w:val="000000" w:themeColor="text1"/>
                <w:sz w:val="16"/>
                <w:szCs w:val="16"/>
              </w:rPr>
              <w:fldChar w:fldCharType="separate"/>
            </w:r>
            <w:r w:rsidRPr="004817FD">
              <w:rPr>
                <w:rFonts w:ascii="Arial" w:hAnsi="Arial" w:cs="Arial"/>
                <w:color w:val="000000" w:themeColor="text1"/>
                <w:sz w:val="16"/>
                <w:szCs w:val="16"/>
              </w:rPr>
              <w:t>(Bar et al., 2020)</w:t>
            </w:r>
            <w:r w:rsidRPr="004817FD">
              <w:rPr>
                <w:rFonts w:ascii="Arial" w:eastAsia="Times New Roman" w:hAnsi="Arial" w:cs="Arial"/>
                <w:color w:val="000000" w:themeColor="text1"/>
                <w:sz w:val="16"/>
                <w:szCs w:val="16"/>
              </w:rPr>
              <w:fldChar w:fldCharType="end"/>
            </w:r>
          </w:p>
        </w:tc>
        <w:tc>
          <w:tcPr>
            <w:tcW w:w="1082" w:type="dxa"/>
            <w:tcBorders>
              <w:top w:val="single" w:sz="4" w:space="0" w:color="auto"/>
            </w:tcBorders>
          </w:tcPr>
          <w:p w14:paraId="31721F46" w14:textId="33668589"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8:18414928</w:t>
            </w:r>
          </w:p>
        </w:tc>
      </w:tr>
      <w:tr w:rsidR="00E915EB" w:rsidRPr="004817FD" w14:paraId="70071BEB" w14:textId="022680CC" w:rsidTr="00E915EB">
        <w:trPr>
          <w:trHeight w:val="300"/>
        </w:trPr>
        <w:tc>
          <w:tcPr>
            <w:tcW w:w="1384" w:type="dxa"/>
            <w:noWrap/>
          </w:tcPr>
          <w:p w14:paraId="6E56FD00" w14:textId="4FB84E56" w:rsidR="00E915EB" w:rsidRPr="004817FD" w:rsidRDefault="00E915EB" w:rsidP="00E915EB">
            <w:pPr>
              <w:rPr>
                <w:rFonts w:ascii="Arial" w:eastAsia="Times New Roman" w:hAnsi="Arial" w:cs="Arial"/>
                <w:color w:val="000000" w:themeColor="text1"/>
                <w:sz w:val="16"/>
                <w:szCs w:val="16"/>
              </w:rPr>
            </w:pPr>
          </w:p>
        </w:tc>
        <w:tc>
          <w:tcPr>
            <w:tcW w:w="747" w:type="dxa"/>
          </w:tcPr>
          <w:p w14:paraId="02162A7E" w14:textId="6CA207FD" w:rsidR="00E915EB" w:rsidRPr="004817FD" w:rsidRDefault="00E915EB" w:rsidP="00E915EB">
            <w:pPr>
              <w:jc w:val="center"/>
              <w:rPr>
                <w:rFonts w:ascii="Arial" w:eastAsia="Times New Roman" w:hAnsi="Arial" w:cs="Arial"/>
                <w:color w:val="000000" w:themeColor="text1"/>
                <w:sz w:val="16"/>
                <w:szCs w:val="16"/>
              </w:rPr>
            </w:pPr>
          </w:p>
        </w:tc>
        <w:tc>
          <w:tcPr>
            <w:tcW w:w="852" w:type="dxa"/>
            <w:noWrap/>
            <w:hideMark/>
          </w:tcPr>
          <w:p w14:paraId="1A34D679" w14:textId="323A1242" w:rsidR="00E915EB" w:rsidRPr="004817FD" w:rsidRDefault="00E915EB" w:rsidP="00E915EB">
            <w:pPr>
              <w:jc w:val="cente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C</w:t>
            </w:r>
          </w:p>
        </w:tc>
        <w:tc>
          <w:tcPr>
            <w:tcW w:w="1143" w:type="dxa"/>
            <w:noWrap/>
            <w:hideMark/>
          </w:tcPr>
          <w:p w14:paraId="7814A1F7" w14:textId="0D200877"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1 x 10</w:t>
            </w:r>
            <w:r w:rsidRPr="004817FD">
              <w:rPr>
                <w:rFonts w:ascii="Arial" w:eastAsia="Times New Roman" w:hAnsi="Arial" w:cs="Arial"/>
                <w:color w:val="000000" w:themeColor="text1"/>
                <w:sz w:val="16"/>
                <w:szCs w:val="16"/>
                <w:vertAlign w:val="superscript"/>
              </w:rPr>
              <w:t>-28</w:t>
            </w:r>
          </w:p>
        </w:tc>
        <w:tc>
          <w:tcPr>
            <w:tcW w:w="973" w:type="dxa"/>
          </w:tcPr>
          <w:p w14:paraId="24EB8832" w14:textId="483DBC71" w:rsidR="00E915EB" w:rsidRPr="004817FD" w:rsidRDefault="00AA5A55" w:rsidP="00E915EB">
            <w:pPr>
              <w:jc w:val="center"/>
              <w:rPr>
                <w:rFonts w:ascii="Arial" w:hAnsi="Arial" w:cs="Arial"/>
                <w:sz w:val="16"/>
                <w:szCs w:val="16"/>
              </w:rPr>
            </w:pPr>
            <w:r>
              <w:rPr>
                <w:rFonts w:ascii="Arial" w:hAnsi="Arial" w:cs="Arial"/>
                <w:sz w:val="16"/>
                <w:szCs w:val="16"/>
              </w:rPr>
              <w:t>0.35</w:t>
            </w:r>
          </w:p>
        </w:tc>
        <w:tc>
          <w:tcPr>
            <w:tcW w:w="1084" w:type="dxa"/>
            <w:noWrap/>
            <w:hideMark/>
          </w:tcPr>
          <w:p w14:paraId="0B0280D2" w14:textId="73E5E4C6" w:rsidR="00E915EB" w:rsidRPr="004817FD" w:rsidRDefault="00E915EB" w:rsidP="00E915EB">
            <w:pPr>
              <w:jc w:val="center"/>
              <w:rPr>
                <w:rFonts w:ascii="Arial" w:eastAsia="Times New Roman" w:hAnsi="Arial" w:cs="Arial"/>
                <w:color w:val="000000" w:themeColor="text1"/>
                <w:sz w:val="16"/>
                <w:szCs w:val="16"/>
              </w:rPr>
            </w:pPr>
            <w:r w:rsidRPr="004817FD">
              <w:rPr>
                <w:rFonts w:ascii="Arial" w:hAnsi="Arial" w:cs="Arial"/>
                <w:sz w:val="16"/>
                <w:szCs w:val="16"/>
              </w:rPr>
              <w:t>NA</w:t>
            </w:r>
          </w:p>
        </w:tc>
        <w:tc>
          <w:tcPr>
            <w:tcW w:w="4301" w:type="dxa"/>
            <w:noWrap/>
            <w:hideMark/>
          </w:tcPr>
          <w:p w14:paraId="03B58AE8" w14:textId="08705891"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Urinary metabolites (</w:t>
            </w:r>
            <w:proofErr w:type="spellStart"/>
            <w:r w:rsidRPr="004817FD">
              <w:rPr>
                <w:rFonts w:ascii="Arial" w:eastAsia="Times New Roman" w:hAnsi="Arial" w:cs="Arial"/>
                <w:color w:val="000000" w:themeColor="text1"/>
                <w:sz w:val="16"/>
                <w:szCs w:val="16"/>
              </w:rPr>
              <w:t>Formate</w:t>
            </w:r>
            <w:proofErr w:type="spellEnd"/>
            <w:r w:rsidRPr="004817FD">
              <w:rPr>
                <w:rFonts w:ascii="Arial" w:eastAsia="Times New Roman" w:hAnsi="Arial" w:cs="Arial"/>
                <w:color w:val="000000" w:themeColor="text1"/>
                <w:sz w:val="16"/>
                <w:szCs w:val="16"/>
              </w:rPr>
              <w:t>/succinate ratio)</w:t>
            </w:r>
          </w:p>
        </w:tc>
        <w:tc>
          <w:tcPr>
            <w:tcW w:w="3109" w:type="dxa"/>
            <w:noWrap/>
            <w:hideMark/>
          </w:tcPr>
          <w:p w14:paraId="669EAAB0" w14:textId="65E9D150"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fldChar w:fldCharType="begin"/>
            </w:r>
            <w:r>
              <w:rPr>
                <w:rFonts w:ascii="Arial" w:eastAsia="Times New Roman" w:hAnsi="Arial" w:cs="Arial"/>
                <w:color w:val="000000" w:themeColor="text1"/>
                <w:sz w:val="16"/>
                <w:szCs w:val="16"/>
              </w:rPr>
              <w:instrText xml:space="preserve"> ADDIN ZOTERO_ITEM CSL_CITATION {"citationID":"r2EVUcnF","properties":{"formattedCitation":"(Suhre et al., 2011b)","plainCitation":"(Suhre et al., 2011b)","noteIndex":0},"citationItems":[{"id":"8dHjENI5/WF6AVxWy","uris":["http://zotero.org/users/9763947/items/2T4QE98H"],"itemData":{"id":402,"type":"article-journal","abstract":"We present a genome-wide association study of metabolic traits in human urine, designed to investigate the detoxification capacity of the human body. Using NMR spectroscopy, we tested for associations between 59 metabolites in urine from 862 male participants in the population-based SHIP study. We replicated the results using 1,039 additional samples of the same study, including a 5-year follow-up, and 992 samples from the independent KORA study. We report five loci with joint P values of association from 3.2 × 10(-19) to 2.1 × 10(-182). Variants at three of these loci have previously been linked with important clinical outcomes: SLC7A9 is a risk locus for chronic kidney disease, NAT2 for coronary artery disease and genotype-dependent response to drug toxicity, and SLC6A20 for iminoglycinuria. Moreover, we identify rs37369 in AGXT2 as the genetic basis of hyper-β-aminoisobutyric aciduria.","container-title":"Nature Genetics","DOI":"10.1038/ng.837","ISSN":"1546-1718","issue":"6","journalAbbreviation":"Nat Genet","language":"eng","note":"PMID: 21572414","page":"565-569","source":"PubMed","title":"A genome-wide association study of metabolic traits in human urine","volume":"43","author":[{"family":"Suhre","given":"Karsten"},{"family":"Wallaschofski","given":"Henri"},{"family":"Raffler","given":"Johannes"},{"family":"Friedrich","given":"Nele"},{"family":"Haring","given":"Robin"},{"family":"Michael","given":"Kathrin"},{"family":"Wasner","given":"Christina"},{"family":"Krebs","given":"Alexander"},{"family":"Kronenberg","given":"Florian"},{"family":"Chang","given":"David"},{"family":"Meisinger","given":"Christa"},{"family":"Wichmann","given":"H.-Erich"},{"family":"Hoffmann","given":"Wolfgang"},{"family":"Völzke","given":"Henry"},{"family":"Völker","given":"Uwe"},{"family":"Teumer","given":"Alexander"},{"family":"Biffar","given":"Reiner"},{"family":"Kocher","given":"Thomas"},{"family":"Felix","given":"Stephan B."},{"family":"Illig","given":"Thomas"},{"family":"Kroemer","given":"Heyo K."},{"family":"Gieger","given":"Christian"},{"family":"Römisch-Margl","given":"Werner"},{"family":"Nauck","given":"Matthias"}],"issued":{"date-parts":[["2011",6]]}}}],"schema":"https://github.com/citation-style-language/schema/raw/master/csl-citation.json"} </w:instrText>
            </w:r>
            <w:r w:rsidRPr="004817FD">
              <w:rPr>
                <w:rFonts w:ascii="Arial" w:eastAsia="Times New Roman" w:hAnsi="Arial" w:cs="Arial"/>
                <w:color w:val="000000" w:themeColor="text1"/>
                <w:sz w:val="16"/>
                <w:szCs w:val="16"/>
              </w:rPr>
              <w:fldChar w:fldCharType="separate"/>
            </w:r>
            <w:r w:rsidRPr="004817FD">
              <w:rPr>
                <w:rFonts w:ascii="Arial" w:hAnsi="Arial" w:cs="Arial"/>
                <w:color w:val="000000" w:themeColor="text1"/>
                <w:sz w:val="16"/>
                <w:szCs w:val="16"/>
              </w:rPr>
              <w:t>(Suhre et al., 2011b)</w:t>
            </w:r>
            <w:r w:rsidRPr="004817FD">
              <w:rPr>
                <w:rFonts w:ascii="Arial" w:eastAsia="Times New Roman" w:hAnsi="Arial" w:cs="Arial"/>
                <w:color w:val="000000" w:themeColor="text1"/>
                <w:sz w:val="16"/>
                <w:szCs w:val="16"/>
              </w:rPr>
              <w:fldChar w:fldCharType="end"/>
            </w:r>
          </w:p>
        </w:tc>
        <w:tc>
          <w:tcPr>
            <w:tcW w:w="1082" w:type="dxa"/>
          </w:tcPr>
          <w:p w14:paraId="1A27C6B6" w14:textId="53B02508" w:rsidR="00E915EB" w:rsidRPr="004817FD" w:rsidRDefault="00E915EB" w:rsidP="00E915EB">
            <w:pPr>
              <w:rPr>
                <w:rFonts w:ascii="Arial" w:eastAsia="Times New Roman" w:hAnsi="Arial" w:cs="Arial"/>
                <w:color w:val="000000" w:themeColor="text1"/>
                <w:sz w:val="16"/>
                <w:szCs w:val="16"/>
              </w:rPr>
            </w:pPr>
          </w:p>
        </w:tc>
      </w:tr>
      <w:tr w:rsidR="00E915EB" w:rsidRPr="004817FD" w14:paraId="1F5519DE" w14:textId="02DE72E0" w:rsidTr="00E915EB">
        <w:trPr>
          <w:trHeight w:val="300"/>
        </w:trPr>
        <w:tc>
          <w:tcPr>
            <w:tcW w:w="1384" w:type="dxa"/>
            <w:noWrap/>
          </w:tcPr>
          <w:p w14:paraId="7C7AB0EF" w14:textId="13C618FD" w:rsidR="00E915EB" w:rsidRPr="004817FD" w:rsidRDefault="00E915EB" w:rsidP="00E915EB">
            <w:pPr>
              <w:rPr>
                <w:rFonts w:ascii="Arial" w:eastAsia="Times New Roman" w:hAnsi="Arial" w:cs="Arial"/>
                <w:color w:val="000000" w:themeColor="text1"/>
                <w:sz w:val="16"/>
                <w:szCs w:val="16"/>
              </w:rPr>
            </w:pPr>
          </w:p>
        </w:tc>
        <w:tc>
          <w:tcPr>
            <w:tcW w:w="747" w:type="dxa"/>
          </w:tcPr>
          <w:p w14:paraId="7FD3096B" w14:textId="77777777" w:rsidR="00E915EB" w:rsidRPr="004817FD" w:rsidRDefault="00E915EB" w:rsidP="00E915EB">
            <w:pPr>
              <w:jc w:val="center"/>
              <w:rPr>
                <w:rFonts w:ascii="Arial" w:eastAsia="Times New Roman" w:hAnsi="Arial" w:cs="Arial"/>
                <w:color w:val="000000" w:themeColor="text1"/>
                <w:sz w:val="16"/>
                <w:szCs w:val="16"/>
              </w:rPr>
            </w:pPr>
          </w:p>
        </w:tc>
        <w:tc>
          <w:tcPr>
            <w:tcW w:w="852" w:type="dxa"/>
            <w:noWrap/>
            <w:hideMark/>
          </w:tcPr>
          <w:p w14:paraId="09E2BD6F" w14:textId="74087935" w:rsidR="00E915EB" w:rsidRPr="004817FD" w:rsidRDefault="00E915EB" w:rsidP="00E915EB">
            <w:pPr>
              <w:jc w:val="cente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C</w:t>
            </w:r>
          </w:p>
        </w:tc>
        <w:tc>
          <w:tcPr>
            <w:tcW w:w="1143" w:type="dxa"/>
            <w:noWrap/>
            <w:hideMark/>
          </w:tcPr>
          <w:p w14:paraId="5A8A017F" w14:textId="2E1A83AB"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5 x 10</w:t>
            </w:r>
            <w:r w:rsidRPr="004817FD">
              <w:rPr>
                <w:rFonts w:ascii="Arial" w:eastAsia="Times New Roman" w:hAnsi="Arial" w:cs="Arial"/>
                <w:color w:val="000000" w:themeColor="text1"/>
                <w:sz w:val="16"/>
                <w:szCs w:val="16"/>
                <w:vertAlign w:val="superscript"/>
              </w:rPr>
              <w:t>-18</w:t>
            </w:r>
          </w:p>
        </w:tc>
        <w:tc>
          <w:tcPr>
            <w:tcW w:w="973" w:type="dxa"/>
          </w:tcPr>
          <w:p w14:paraId="4D02441E" w14:textId="037304EF" w:rsidR="00E915EB" w:rsidRPr="004817FD" w:rsidRDefault="00E915EB" w:rsidP="00E915EB">
            <w:pPr>
              <w:tabs>
                <w:tab w:val="left" w:pos="388"/>
                <w:tab w:val="center" w:pos="434"/>
              </w:tabs>
              <w:jc w:val="center"/>
              <w:rPr>
                <w:rFonts w:ascii="Arial" w:hAnsi="Arial" w:cs="Arial"/>
                <w:sz w:val="16"/>
                <w:szCs w:val="16"/>
              </w:rPr>
            </w:pPr>
          </w:p>
        </w:tc>
        <w:tc>
          <w:tcPr>
            <w:tcW w:w="1084" w:type="dxa"/>
            <w:noWrap/>
            <w:hideMark/>
          </w:tcPr>
          <w:p w14:paraId="6B24D8E4" w14:textId="301A87E0" w:rsidR="00E915EB" w:rsidRPr="004817FD" w:rsidRDefault="00E915EB" w:rsidP="00E915EB">
            <w:pPr>
              <w:tabs>
                <w:tab w:val="left" w:pos="388"/>
                <w:tab w:val="center" w:pos="434"/>
              </w:tabs>
              <w:jc w:val="center"/>
              <w:rPr>
                <w:rFonts w:eastAsia="Times New Roman" w:cstheme="minorHAnsi"/>
                <w:color w:val="000000" w:themeColor="text1"/>
                <w:sz w:val="16"/>
                <w:szCs w:val="16"/>
              </w:rPr>
            </w:pPr>
            <w:r w:rsidRPr="004817FD">
              <w:rPr>
                <w:rFonts w:ascii="Arial" w:hAnsi="Arial" w:cs="Arial"/>
                <w:sz w:val="16"/>
                <w:szCs w:val="16"/>
              </w:rPr>
              <w:t>NA</w:t>
            </w:r>
          </w:p>
        </w:tc>
        <w:tc>
          <w:tcPr>
            <w:tcW w:w="4301" w:type="dxa"/>
            <w:noWrap/>
            <w:hideMark/>
          </w:tcPr>
          <w:p w14:paraId="7742F84A" w14:textId="6649D8EB"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Urinary metabolite levels in chronic kidney disease (X - 12410)</w:t>
            </w:r>
          </w:p>
        </w:tc>
        <w:tc>
          <w:tcPr>
            <w:tcW w:w="3109" w:type="dxa"/>
            <w:noWrap/>
            <w:hideMark/>
          </w:tcPr>
          <w:p w14:paraId="5F3C1742" w14:textId="4F48930E"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fldChar w:fldCharType="begin"/>
            </w:r>
            <w:r>
              <w:rPr>
                <w:rFonts w:ascii="Arial" w:eastAsia="Times New Roman" w:hAnsi="Arial" w:cs="Arial"/>
                <w:color w:val="000000" w:themeColor="text1"/>
                <w:sz w:val="16"/>
                <w:szCs w:val="16"/>
              </w:rPr>
              <w:instrText xml:space="preserve"> ADDIN ZOTERO_ITEM CSL_CITATION {"citationID":"qf5mhovR","properties":{"formattedCitation":"(Schlosser et al., 2020)","plainCitation":"(Schlosser et al., 2020)","noteIndex":0},"citationItems":[{"id":"8dHjENI5/EWWs8qTS","uris":["http://zotero.org/users/9763947/items/B8LZW9V2"],"itemData":{"id":331,"type":"article-journal","abstract":"The kidneys integrate information from continuous systemic processes related to the absorption, distribution, metabolism and excretion (ADME) of metabolites. To identify underlying molecular mechanisms, we performed genome-wide association studies of the urinary concentrations of 1,172 metabolites among 1,627 patients with reduced kidney function. The 240 unique metabolite-locus associations (metabolite quantitative trait loci, mQTLs) that were identified and replicated highlight novel candidate substrates for transport proteins. The identified genes are enriched in ADME-relevant tissues and cell types, and they reveal novel candidates for biotransformation and detoxification reactions. Fine mapping of mQTLs and integration with single-cell gene expression permitted the prioritization of causal genes, functional variants and target cell types. The combination of mQTLs with genetic and health information from 450,000 UK Biobank participants illuminated metabolic mediators, and hence, novel urinary biomarkers of disease risk. This comprehensive resource of genetic targets and their substrates is informative for ADME processes in humans and is relevant to basic science, clinical medicine and pharmaceutical research.","container-title":"Nature Genetics","DOI":"10.1038/s41588-019-0567-8","ISSN":"1546-1718","issue":"2","journalAbbreviation":"Nat Genet","language":"eng","note":"PMID: 31959995\nPMCID: PMC7484970","page":"167-176","source":"PubMed","title":"Genetic studies of urinary metabolites illuminate mechanisms of detoxification and excretion in humans","volume":"52","author":[{"family":"Schlosser","given":"Pascal"},{"family":"Li","given":"Yong"},{"family":"Sekula","given":"Peggy"},{"family":"Raffler","given":"Johannes"},{"family":"Grundner-Culemann","given":"Franziska"},{"family":"Pietzner","given":"Maik"},{"family":"Cheng","given":"Yurong"},{"family":"Wuttke","given":"Matthias"},{"family":"Steinbrenner","given":"Inga"},{"family":"Schultheiss","given":"Ulla T."},{"family":"Kotsis","given":"Fruzsina"},{"family":"Kacprowski","given":"Tim"},{"family":"Forer","given":"Lukas"},{"family":"Hausknecht","given":"Birgit"},{"family":"Ekici","given":"Arif B."},{"family":"Nauck","given":"Matthias"},{"family":"Völker","given":"Uwe"},{"literal":"GCKD Investigators"},{"family":"Walz","given":"Gerd"},{"family":"Oefner","given":"Peter J."},{"family":"Kronenberg","given":"Florian"},{"family":"Mohney","given":"Robert P."},{"family":"Köttgen","given":"Michael"},{"family":"Suhre","given":"Karsten"},{"family":"Eckardt","given":"Kai-Uwe"},{"family":"Kastenmüller","given":"Gabi"},{"family":"Köttgen","given":"Anna"}],"issued":{"date-parts":[["2020",2]]}}}],"schema":"https://github.com/citation-style-language/schema/raw/master/csl-citation.json"} </w:instrText>
            </w:r>
            <w:r w:rsidRPr="004817FD">
              <w:rPr>
                <w:rFonts w:ascii="Arial" w:eastAsia="Times New Roman" w:hAnsi="Arial" w:cs="Arial"/>
                <w:color w:val="000000" w:themeColor="text1"/>
                <w:sz w:val="16"/>
                <w:szCs w:val="16"/>
              </w:rPr>
              <w:fldChar w:fldCharType="separate"/>
            </w:r>
            <w:r w:rsidRPr="004817FD">
              <w:rPr>
                <w:rFonts w:ascii="Arial" w:hAnsi="Arial" w:cs="Arial"/>
                <w:color w:val="000000" w:themeColor="text1"/>
                <w:sz w:val="16"/>
                <w:szCs w:val="16"/>
              </w:rPr>
              <w:t>(Schlosser et al., 2020)</w:t>
            </w:r>
            <w:r w:rsidRPr="004817FD">
              <w:rPr>
                <w:rFonts w:ascii="Arial" w:eastAsia="Times New Roman" w:hAnsi="Arial" w:cs="Arial"/>
                <w:color w:val="000000" w:themeColor="text1"/>
                <w:sz w:val="16"/>
                <w:szCs w:val="16"/>
              </w:rPr>
              <w:fldChar w:fldCharType="end"/>
            </w:r>
          </w:p>
        </w:tc>
        <w:tc>
          <w:tcPr>
            <w:tcW w:w="1082" w:type="dxa"/>
          </w:tcPr>
          <w:p w14:paraId="2AE9AA1F" w14:textId="27898983" w:rsidR="00E915EB" w:rsidRPr="004817FD" w:rsidRDefault="00E915EB" w:rsidP="00E915EB">
            <w:pPr>
              <w:rPr>
                <w:rFonts w:ascii="Arial" w:eastAsia="Times New Roman" w:hAnsi="Arial" w:cs="Arial"/>
                <w:color w:val="000000" w:themeColor="text1"/>
                <w:sz w:val="16"/>
                <w:szCs w:val="16"/>
              </w:rPr>
            </w:pPr>
          </w:p>
        </w:tc>
      </w:tr>
      <w:tr w:rsidR="00E915EB" w:rsidRPr="004817FD" w14:paraId="2E27B962" w14:textId="61303F08" w:rsidTr="00E915EB">
        <w:trPr>
          <w:trHeight w:val="300"/>
        </w:trPr>
        <w:tc>
          <w:tcPr>
            <w:tcW w:w="1384" w:type="dxa"/>
            <w:noWrap/>
          </w:tcPr>
          <w:p w14:paraId="1ECE19CA" w14:textId="31B964E6" w:rsidR="00E915EB" w:rsidRPr="004817FD" w:rsidRDefault="00E915EB" w:rsidP="00E915EB">
            <w:pPr>
              <w:rPr>
                <w:rFonts w:ascii="Arial" w:eastAsia="Times New Roman" w:hAnsi="Arial" w:cs="Arial"/>
                <w:color w:val="000000" w:themeColor="text1"/>
                <w:sz w:val="16"/>
                <w:szCs w:val="16"/>
              </w:rPr>
            </w:pPr>
          </w:p>
        </w:tc>
        <w:tc>
          <w:tcPr>
            <w:tcW w:w="747" w:type="dxa"/>
          </w:tcPr>
          <w:p w14:paraId="229FBF60" w14:textId="77777777" w:rsidR="00E915EB" w:rsidRPr="004817FD" w:rsidRDefault="00E915EB" w:rsidP="00E915EB">
            <w:pPr>
              <w:jc w:val="center"/>
              <w:rPr>
                <w:rFonts w:ascii="Arial" w:eastAsia="Times New Roman" w:hAnsi="Arial" w:cs="Arial"/>
                <w:color w:val="000000" w:themeColor="text1"/>
                <w:sz w:val="16"/>
                <w:szCs w:val="16"/>
              </w:rPr>
            </w:pPr>
          </w:p>
        </w:tc>
        <w:tc>
          <w:tcPr>
            <w:tcW w:w="852" w:type="dxa"/>
            <w:noWrap/>
            <w:hideMark/>
          </w:tcPr>
          <w:p w14:paraId="63C02070" w14:textId="59BFD063" w:rsidR="00E915EB" w:rsidRPr="004817FD" w:rsidRDefault="00E915EB" w:rsidP="00E915EB">
            <w:pPr>
              <w:jc w:val="cente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C</w:t>
            </w:r>
          </w:p>
        </w:tc>
        <w:tc>
          <w:tcPr>
            <w:tcW w:w="1143" w:type="dxa"/>
            <w:noWrap/>
            <w:hideMark/>
          </w:tcPr>
          <w:p w14:paraId="5CA96285" w14:textId="578EEEC7"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1 x 10</w:t>
            </w:r>
            <w:r w:rsidRPr="004817FD">
              <w:rPr>
                <w:rFonts w:ascii="Arial" w:eastAsia="Times New Roman" w:hAnsi="Arial" w:cs="Arial"/>
                <w:color w:val="000000" w:themeColor="text1"/>
                <w:sz w:val="16"/>
                <w:szCs w:val="16"/>
                <w:vertAlign w:val="superscript"/>
              </w:rPr>
              <w:t>-11</w:t>
            </w:r>
          </w:p>
        </w:tc>
        <w:tc>
          <w:tcPr>
            <w:tcW w:w="973" w:type="dxa"/>
          </w:tcPr>
          <w:p w14:paraId="64086EBE" w14:textId="4B222D2E" w:rsidR="00E915EB" w:rsidRPr="004817FD" w:rsidRDefault="00E915EB" w:rsidP="00E915EB">
            <w:pPr>
              <w:jc w:val="center"/>
              <w:rPr>
                <w:rFonts w:ascii="Arial" w:hAnsi="Arial" w:cs="Arial"/>
                <w:sz w:val="16"/>
                <w:szCs w:val="16"/>
              </w:rPr>
            </w:pPr>
          </w:p>
        </w:tc>
        <w:tc>
          <w:tcPr>
            <w:tcW w:w="1084" w:type="dxa"/>
            <w:noWrap/>
            <w:hideMark/>
          </w:tcPr>
          <w:p w14:paraId="4203132F" w14:textId="6AFC16ED" w:rsidR="00E915EB" w:rsidRPr="004817FD" w:rsidRDefault="00E915EB" w:rsidP="00E915EB">
            <w:pPr>
              <w:jc w:val="center"/>
              <w:rPr>
                <w:rFonts w:eastAsia="Times New Roman" w:cstheme="minorHAnsi"/>
                <w:color w:val="000000" w:themeColor="text1"/>
                <w:sz w:val="16"/>
                <w:szCs w:val="16"/>
              </w:rPr>
            </w:pPr>
            <w:r w:rsidRPr="004817FD">
              <w:rPr>
                <w:rFonts w:cstheme="minorHAnsi"/>
                <w:sz w:val="16"/>
                <w:szCs w:val="16"/>
              </w:rPr>
              <w:t>↓</w:t>
            </w:r>
          </w:p>
        </w:tc>
        <w:tc>
          <w:tcPr>
            <w:tcW w:w="4301" w:type="dxa"/>
            <w:noWrap/>
            <w:hideMark/>
          </w:tcPr>
          <w:p w14:paraId="2AEF2A7A" w14:textId="7EA012C0"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Urinary metabolite levels in chronic kidney disease (1-methylurate)</w:t>
            </w:r>
          </w:p>
        </w:tc>
        <w:tc>
          <w:tcPr>
            <w:tcW w:w="3109" w:type="dxa"/>
            <w:noWrap/>
            <w:hideMark/>
          </w:tcPr>
          <w:p w14:paraId="343D4909" w14:textId="65940941"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fldChar w:fldCharType="begin"/>
            </w:r>
            <w:r>
              <w:rPr>
                <w:rFonts w:ascii="Arial" w:eastAsia="Times New Roman" w:hAnsi="Arial" w:cs="Arial"/>
                <w:color w:val="000000" w:themeColor="text1"/>
                <w:sz w:val="16"/>
                <w:szCs w:val="16"/>
              </w:rPr>
              <w:instrText xml:space="preserve"> ADDIN ZOTERO_ITEM CSL_CITATION {"citationID":"ZGfKDQE6","properties":{"formattedCitation":"(Schlosser et al., 2020)","plainCitation":"(Schlosser et al., 2020)","noteIndex":0},"citationItems":[{"id":"8dHjENI5/EWWs8qTS","uris":["http://zotero.org/users/9763947/items/B8LZW9V2"],"itemData":{"id":331,"type":"article-journal","abstract":"The kidneys integrate information from continuous systemic processes related to the absorption, distribution, metabolism and excretion (ADME) of metabolites. To identify underlying molecular mechanisms, we performed genome-wide association studies of the urinary concentrations of 1,172 metabolites among 1,627 patients with reduced kidney function. The 240 unique metabolite-locus associations (metabolite quantitative trait loci, mQTLs) that were identified and replicated highlight novel candidate substrates for transport proteins. The identified genes are enriched in ADME-relevant tissues and cell types, and they reveal novel candidates for biotransformation and detoxification reactions. Fine mapping of mQTLs and integration with single-cell gene expression permitted the prioritization of causal genes, functional variants and target cell types. The combination of mQTLs with genetic and health information from 450,000 UK Biobank participants illuminated metabolic mediators, and hence, novel urinary biomarkers of disease risk. This comprehensive resource of genetic targets and their substrates is informative for ADME processes in humans and is relevant to basic science, clinical medicine and pharmaceutical research.","container-title":"Nature Genetics","DOI":"10.1038/s41588-019-0567-8","ISSN":"1546-1718","issue":"2","journalAbbreviation":"Nat Genet","language":"eng","note":"PMID: 31959995\nPMCID: PMC7484970","page":"167-176","source":"PubMed","title":"Genetic studies of urinary metabolites illuminate mechanisms of detoxification and excretion in humans","volume":"52","author":[{"family":"Schlosser","given":"Pascal"},{"family":"Li","given":"Yong"},{"family":"Sekula","given":"Peggy"},{"family":"Raffler","given":"Johannes"},{"family":"Grundner-Culemann","given":"Franziska"},{"family":"Pietzner","given":"Maik"},{"family":"Cheng","given":"Yurong"},{"family":"Wuttke","given":"Matthias"},{"family":"Steinbrenner","given":"Inga"},{"family":"Schultheiss","given":"Ulla T."},{"family":"Kotsis","given":"Fruzsina"},{"family":"Kacprowski","given":"Tim"},{"family":"Forer","given":"Lukas"},{"family":"Hausknecht","given":"Birgit"},{"family":"Ekici","given":"Arif B."},{"family":"Nauck","given":"Matthias"},{"family":"Völker","given":"Uwe"},{"literal":"GCKD Investigators"},{"family":"Walz","given":"Gerd"},{"family":"Oefner","given":"Peter J."},{"family":"Kronenberg","given":"Florian"},{"family":"Mohney","given":"Robert P."},{"family":"Köttgen","given":"Michael"},{"family":"Suhre","given":"Karsten"},{"family":"Eckardt","given":"Kai-Uwe"},{"family":"Kastenmüller","given":"Gabi"},{"family":"Köttgen","given":"Anna"}],"issued":{"date-parts":[["2020",2]]}}}],"schema":"https://github.com/citation-style-language/schema/raw/master/csl-citation.json"} </w:instrText>
            </w:r>
            <w:r w:rsidRPr="004817FD">
              <w:rPr>
                <w:rFonts w:ascii="Arial" w:eastAsia="Times New Roman" w:hAnsi="Arial" w:cs="Arial"/>
                <w:color w:val="000000" w:themeColor="text1"/>
                <w:sz w:val="16"/>
                <w:szCs w:val="16"/>
              </w:rPr>
              <w:fldChar w:fldCharType="separate"/>
            </w:r>
            <w:r w:rsidRPr="004817FD">
              <w:rPr>
                <w:rFonts w:ascii="Arial" w:hAnsi="Arial" w:cs="Arial"/>
                <w:color w:val="000000" w:themeColor="text1"/>
                <w:sz w:val="16"/>
                <w:szCs w:val="16"/>
              </w:rPr>
              <w:t>(Schlosser et al., 2020)</w:t>
            </w:r>
            <w:r w:rsidRPr="004817FD">
              <w:rPr>
                <w:rFonts w:ascii="Arial" w:eastAsia="Times New Roman" w:hAnsi="Arial" w:cs="Arial"/>
                <w:color w:val="000000" w:themeColor="text1"/>
                <w:sz w:val="16"/>
                <w:szCs w:val="16"/>
              </w:rPr>
              <w:fldChar w:fldCharType="end"/>
            </w:r>
          </w:p>
        </w:tc>
        <w:tc>
          <w:tcPr>
            <w:tcW w:w="1082" w:type="dxa"/>
          </w:tcPr>
          <w:p w14:paraId="12EF02B5" w14:textId="626D25C1" w:rsidR="00E915EB" w:rsidRPr="004817FD" w:rsidRDefault="00E915EB" w:rsidP="00E915EB">
            <w:pPr>
              <w:rPr>
                <w:rFonts w:ascii="Arial" w:eastAsia="Times New Roman" w:hAnsi="Arial" w:cs="Arial"/>
                <w:color w:val="000000" w:themeColor="text1"/>
                <w:sz w:val="16"/>
                <w:szCs w:val="16"/>
              </w:rPr>
            </w:pPr>
          </w:p>
        </w:tc>
      </w:tr>
      <w:tr w:rsidR="00E915EB" w:rsidRPr="004817FD" w14:paraId="6BECBEB4" w14:textId="76478356" w:rsidTr="00E915EB">
        <w:trPr>
          <w:trHeight w:val="300"/>
        </w:trPr>
        <w:tc>
          <w:tcPr>
            <w:tcW w:w="1384" w:type="dxa"/>
            <w:noWrap/>
          </w:tcPr>
          <w:p w14:paraId="44FFB9A5" w14:textId="30608DDE" w:rsidR="00E915EB" w:rsidRPr="004817FD" w:rsidRDefault="00E915EB" w:rsidP="00E915EB">
            <w:pPr>
              <w:rPr>
                <w:rFonts w:ascii="Arial" w:eastAsia="Times New Roman" w:hAnsi="Arial" w:cs="Arial"/>
                <w:color w:val="000000" w:themeColor="text1"/>
                <w:sz w:val="16"/>
                <w:szCs w:val="16"/>
              </w:rPr>
            </w:pPr>
          </w:p>
        </w:tc>
        <w:tc>
          <w:tcPr>
            <w:tcW w:w="747" w:type="dxa"/>
          </w:tcPr>
          <w:p w14:paraId="1E4E2DB3" w14:textId="77777777" w:rsidR="00E915EB" w:rsidRPr="004817FD" w:rsidRDefault="00E915EB" w:rsidP="00E915EB">
            <w:pPr>
              <w:jc w:val="center"/>
              <w:rPr>
                <w:rFonts w:ascii="Arial" w:eastAsia="Times New Roman" w:hAnsi="Arial" w:cs="Arial"/>
                <w:color w:val="000000" w:themeColor="text1"/>
                <w:sz w:val="16"/>
                <w:szCs w:val="16"/>
              </w:rPr>
            </w:pPr>
          </w:p>
        </w:tc>
        <w:tc>
          <w:tcPr>
            <w:tcW w:w="852" w:type="dxa"/>
            <w:noWrap/>
            <w:hideMark/>
          </w:tcPr>
          <w:p w14:paraId="2181CF00" w14:textId="33DEAC3B" w:rsidR="00E915EB" w:rsidRPr="004817FD" w:rsidRDefault="00E915EB" w:rsidP="00E915EB">
            <w:pPr>
              <w:jc w:val="cente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T</w:t>
            </w:r>
          </w:p>
        </w:tc>
        <w:tc>
          <w:tcPr>
            <w:tcW w:w="1143" w:type="dxa"/>
            <w:noWrap/>
            <w:hideMark/>
          </w:tcPr>
          <w:p w14:paraId="0BEF0799" w14:textId="19EACC51"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4 x 10</w:t>
            </w:r>
            <w:r w:rsidRPr="004817FD">
              <w:rPr>
                <w:rFonts w:ascii="Arial" w:eastAsia="Times New Roman" w:hAnsi="Arial" w:cs="Arial"/>
                <w:color w:val="000000" w:themeColor="text1"/>
                <w:sz w:val="16"/>
                <w:szCs w:val="16"/>
                <w:vertAlign w:val="superscript"/>
              </w:rPr>
              <w:t>-32</w:t>
            </w:r>
          </w:p>
        </w:tc>
        <w:tc>
          <w:tcPr>
            <w:tcW w:w="973" w:type="dxa"/>
          </w:tcPr>
          <w:p w14:paraId="73647E9B" w14:textId="3E78F529" w:rsidR="00AA5A55" w:rsidRPr="004817FD" w:rsidRDefault="00AA5A55" w:rsidP="00AA5A55">
            <w:pPr>
              <w:jc w:val="center"/>
              <w:rPr>
                <w:rFonts w:ascii="Arial" w:hAnsi="Arial" w:cs="Arial"/>
                <w:sz w:val="16"/>
                <w:szCs w:val="16"/>
              </w:rPr>
            </w:pPr>
            <w:r>
              <w:rPr>
                <w:rFonts w:ascii="Arial" w:hAnsi="Arial" w:cs="Arial"/>
                <w:sz w:val="16"/>
                <w:szCs w:val="16"/>
              </w:rPr>
              <w:t>0.65</w:t>
            </w:r>
          </w:p>
        </w:tc>
        <w:tc>
          <w:tcPr>
            <w:tcW w:w="1084" w:type="dxa"/>
            <w:noWrap/>
            <w:hideMark/>
          </w:tcPr>
          <w:p w14:paraId="51286856" w14:textId="328D578D" w:rsidR="00E915EB" w:rsidRPr="004817FD" w:rsidRDefault="00E915EB" w:rsidP="00E915EB">
            <w:pPr>
              <w:jc w:val="center"/>
              <w:rPr>
                <w:rFonts w:cstheme="minorHAnsi"/>
                <w:sz w:val="16"/>
                <w:szCs w:val="16"/>
              </w:rPr>
            </w:pPr>
            <w:r w:rsidRPr="004817FD">
              <w:rPr>
                <w:rFonts w:cstheme="minorHAnsi"/>
                <w:sz w:val="16"/>
                <w:szCs w:val="16"/>
              </w:rPr>
              <w:t>↑</w:t>
            </w:r>
          </w:p>
        </w:tc>
        <w:tc>
          <w:tcPr>
            <w:tcW w:w="4301" w:type="dxa"/>
            <w:noWrap/>
            <w:hideMark/>
          </w:tcPr>
          <w:p w14:paraId="6B104744" w14:textId="6A112749"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Urinary metabolites (H-NMR features; unknown)</w:t>
            </w:r>
          </w:p>
        </w:tc>
        <w:tc>
          <w:tcPr>
            <w:tcW w:w="3109" w:type="dxa"/>
            <w:noWrap/>
            <w:hideMark/>
          </w:tcPr>
          <w:p w14:paraId="6A8ADA7C" w14:textId="6E013945"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fldChar w:fldCharType="begin"/>
            </w:r>
            <w:r>
              <w:rPr>
                <w:rFonts w:ascii="Arial" w:eastAsia="Times New Roman" w:hAnsi="Arial" w:cs="Arial"/>
                <w:color w:val="000000" w:themeColor="text1"/>
                <w:sz w:val="16"/>
                <w:szCs w:val="16"/>
              </w:rPr>
              <w:instrText xml:space="preserve"> ADDIN ZOTERO_ITEM CSL_CITATION {"citationID":"REyGaCV5","properties":{"formattedCitation":"(Rueedi et al., 2014)","plainCitation":"(Rueedi et al., 2014)","noteIndex":0},"citationItems":[{"id":"8dHjENI5/17BAzTEW","uris":["http://zotero.org/users/9763947/items/SQM3NZM9"],"itemData":{"id":404,"type":"article-journal","abstract":"Metabolic traits are molecular phenotypes that can drive clinical phenotypes and may predict disease progression. Here, we report results from a metabolome- and genome-wide association study on (1)H-NMR urine metabolic profiles. The study was conducted within an untargeted approach, employing a novel method for compound identification. From our discovery cohort of 835 Caucasian individuals who participated in the CoLaus study, we identified 139 suggestively significant (P&lt;5×10(-8)) and independent associations between single nucleotide polymorphisms (SNP) and metabolome features. Fifty-six of these associations replicated in the TasteSensomics cohort, comprising 601 individuals from São Paulo of vastly diverse ethnic background. They correspond to eleven gene-metabolite associations, six of which had been previously identified in the urine metabolome and three in the serum metabolome. Our key novel findings are the associations of two SNPs with NMR spectral signatures pointing to fucose (rs492602, P = 6.9×10(-44)) and lysine (rs8101881, P = 1.2×10(-33)), respectively. Fine-mapping of the first locus pinpointed the FUT2 gene, which encodes a fucosyltransferase enzyme and has previously been associated with Crohn's disease. This implicates fucose as a potential prognostic disease marker, for which there is already published evidence from a mouse model. The second SNP lies within the SLC7A9 gene, rare mutations of which have been linked to severe kidney damage. The replication of previous associations and our new discoveries demonstrate the potential of untargeted metabolomics GWAS to robustly identify molecular disease markers.","container-title":"PLoS genetics","DOI":"10.1371/journal.pgen.1004132","ISSN":"1553-7404","issue":"2","journalAbbreviation":"PLoS Genet","language":"eng","note":"PMID: 24586186\nPMCID: PMC3930510","page":"e1004132","source":"PubMed","title":"Genome-wide association study of metabolic traits reveals novel gene-metabolite-disease links","volume":"10","author":[{"family":"Rueedi","given":"Rico"},{"family":"Ledda","given":"Mirko"},{"family":"Nicholls","given":"Andrew W."},{"family":"Salek","given":"Reza M."},{"family":"Marques-Vidal","given":"Pedro"},{"family":"Morya","given":"Edgard"},{"family":"Sameshima","given":"Koichi"},{"family":"Montoliu","given":"Ivan"},{"family":"Da Silva","given":"Laeticia"},{"family":"Collino","given":"Sebastiano"},{"family":"Martin","given":"François-Pierre"},{"family":"Rezzi","given":"Serge"},{"family":"Steinbeck","given":"Christoph"},{"family":"Waterworth","given":"Dawn M."},{"family":"Waeber","given":"Gérard"},{"family":"Vollenweider","given":"Peter"},{"family":"Beckmann","given":"Jacques S."},{"family":"Le Coutre","given":"Johannes"},{"family":"Mooser","given":"Vincent"},{"family":"Bergmann","given":"Sven"},{"family":"Genick","given":"Ulrich K."},{"family":"Kutalik","given":"Zoltán"}],"issued":{"date-parts":[["2014",2]]}}}],"schema":"https://github.com/citation-style-language/schema/raw/master/csl-citation.json"} </w:instrText>
            </w:r>
            <w:r w:rsidRPr="004817FD">
              <w:rPr>
                <w:rFonts w:ascii="Arial" w:eastAsia="Times New Roman" w:hAnsi="Arial" w:cs="Arial"/>
                <w:color w:val="000000" w:themeColor="text1"/>
                <w:sz w:val="16"/>
                <w:szCs w:val="16"/>
              </w:rPr>
              <w:fldChar w:fldCharType="separate"/>
            </w:r>
            <w:r w:rsidRPr="004817FD">
              <w:rPr>
                <w:rFonts w:ascii="Arial" w:hAnsi="Arial" w:cs="Arial"/>
                <w:color w:val="000000" w:themeColor="text1"/>
                <w:sz w:val="16"/>
                <w:szCs w:val="16"/>
              </w:rPr>
              <w:t>(Rueedi et al., 2014)</w:t>
            </w:r>
            <w:r w:rsidRPr="004817FD">
              <w:rPr>
                <w:rFonts w:ascii="Arial" w:eastAsia="Times New Roman" w:hAnsi="Arial" w:cs="Arial"/>
                <w:color w:val="000000" w:themeColor="text1"/>
                <w:sz w:val="16"/>
                <w:szCs w:val="16"/>
              </w:rPr>
              <w:fldChar w:fldCharType="end"/>
            </w:r>
          </w:p>
        </w:tc>
        <w:tc>
          <w:tcPr>
            <w:tcW w:w="1082" w:type="dxa"/>
          </w:tcPr>
          <w:p w14:paraId="3086732D" w14:textId="104E3BAD" w:rsidR="00E915EB" w:rsidRPr="004817FD" w:rsidRDefault="00E915EB" w:rsidP="00E915EB">
            <w:pPr>
              <w:rPr>
                <w:rFonts w:ascii="Arial" w:eastAsia="Times New Roman" w:hAnsi="Arial" w:cs="Arial"/>
                <w:color w:val="000000" w:themeColor="text1"/>
                <w:sz w:val="16"/>
                <w:szCs w:val="16"/>
              </w:rPr>
            </w:pPr>
          </w:p>
        </w:tc>
      </w:tr>
      <w:tr w:rsidR="00E915EB" w:rsidRPr="004817FD" w14:paraId="5392963A" w14:textId="390F1FF1" w:rsidTr="00E915EB">
        <w:trPr>
          <w:trHeight w:val="300"/>
        </w:trPr>
        <w:tc>
          <w:tcPr>
            <w:tcW w:w="1384" w:type="dxa"/>
            <w:tcBorders>
              <w:bottom w:val="single" w:sz="4" w:space="0" w:color="auto"/>
            </w:tcBorders>
            <w:noWrap/>
          </w:tcPr>
          <w:p w14:paraId="1C43BB6C" w14:textId="032F4DFA" w:rsidR="00E915EB" w:rsidRPr="004817FD" w:rsidRDefault="00E915EB" w:rsidP="00E915EB">
            <w:pPr>
              <w:rPr>
                <w:rFonts w:ascii="Arial" w:eastAsia="Times New Roman" w:hAnsi="Arial" w:cs="Arial"/>
                <w:color w:val="000000" w:themeColor="text1"/>
                <w:sz w:val="16"/>
                <w:szCs w:val="16"/>
              </w:rPr>
            </w:pPr>
          </w:p>
        </w:tc>
        <w:tc>
          <w:tcPr>
            <w:tcW w:w="747" w:type="dxa"/>
            <w:tcBorders>
              <w:bottom w:val="single" w:sz="4" w:space="0" w:color="auto"/>
            </w:tcBorders>
          </w:tcPr>
          <w:p w14:paraId="2A95DBA6" w14:textId="77777777" w:rsidR="00E915EB" w:rsidRPr="004817FD" w:rsidRDefault="00E915EB" w:rsidP="00E915EB">
            <w:pPr>
              <w:jc w:val="center"/>
              <w:rPr>
                <w:rFonts w:ascii="Arial" w:eastAsia="Times New Roman" w:hAnsi="Arial" w:cs="Arial"/>
                <w:color w:val="000000" w:themeColor="text1"/>
                <w:sz w:val="16"/>
                <w:szCs w:val="16"/>
              </w:rPr>
            </w:pPr>
          </w:p>
        </w:tc>
        <w:tc>
          <w:tcPr>
            <w:tcW w:w="852" w:type="dxa"/>
            <w:tcBorders>
              <w:bottom w:val="single" w:sz="4" w:space="0" w:color="auto"/>
            </w:tcBorders>
            <w:noWrap/>
            <w:hideMark/>
          </w:tcPr>
          <w:p w14:paraId="6D79D408" w14:textId="1B543324" w:rsidR="00E915EB" w:rsidRPr="004817FD" w:rsidRDefault="00E915EB" w:rsidP="00E915EB">
            <w:pPr>
              <w:jc w:val="cente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T</w:t>
            </w:r>
          </w:p>
        </w:tc>
        <w:tc>
          <w:tcPr>
            <w:tcW w:w="1143" w:type="dxa"/>
            <w:tcBorders>
              <w:bottom w:val="single" w:sz="4" w:space="0" w:color="auto"/>
            </w:tcBorders>
            <w:noWrap/>
            <w:hideMark/>
          </w:tcPr>
          <w:p w14:paraId="75C820C7" w14:textId="4DB9E8BB"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1 x 10</w:t>
            </w:r>
            <w:r w:rsidRPr="004817FD">
              <w:rPr>
                <w:rFonts w:ascii="Arial" w:eastAsia="Times New Roman" w:hAnsi="Arial" w:cs="Arial"/>
                <w:color w:val="000000" w:themeColor="text1"/>
                <w:sz w:val="16"/>
                <w:szCs w:val="16"/>
                <w:vertAlign w:val="superscript"/>
              </w:rPr>
              <w:t>-60</w:t>
            </w:r>
          </w:p>
        </w:tc>
        <w:tc>
          <w:tcPr>
            <w:tcW w:w="973" w:type="dxa"/>
            <w:tcBorders>
              <w:bottom w:val="single" w:sz="4" w:space="0" w:color="auto"/>
            </w:tcBorders>
          </w:tcPr>
          <w:p w14:paraId="2470B7BC" w14:textId="4161F65E" w:rsidR="00E915EB" w:rsidRPr="004817FD" w:rsidRDefault="00E915EB" w:rsidP="00E915EB">
            <w:pPr>
              <w:jc w:val="center"/>
              <w:rPr>
                <w:rFonts w:ascii="Arial" w:hAnsi="Arial" w:cs="Arial"/>
                <w:sz w:val="16"/>
                <w:szCs w:val="16"/>
              </w:rPr>
            </w:pPr>
          </w:p>
        </w:tc>
        <w:tc>
          <w:tcPr>
            <w:tcW w:w="1084" w:type="dxa"/>
            <w:tcBorders>
              <w:bottom w:val="single" w:sz="4" w:space="0" w:color="auto"/>
            </w:tcBorders>
            <w:noWrap/>
            <w:hideMark/>
          </w:tcPr>
          <w:p w14:paraId="6CA71A62" w14:textId="7159FDF6" w:rsidR="00E915EB" w:rsidRPr="004817FD" w:rsidRDefault="00E915EB" w:rsidP="00E915EB">
            <w:pPr>
              <w:jc w:val="center"/>
              <w:rPr>
                <w:rFonts w:eastAsia="Times New Roman" w:cstheme="minorHAnsi"/>
                <w:color w:val="000000" w:themeColor="text1"/>
                <w:sz w:val="16"/>
                <w:szCs w:val="16"/>
              </w:rPr>
            </w:pPr>
            <w:r w:rsidRPr="004817FD">
              <w:rPr>
                <w:rFonts w:cstheme="minorHAnsi"/>
                <w:sz w:val="16"/>
                <w:szCs w:val="16"/>
              </w:rPr>
              <w:t>↑</w:t>
            </w:r>
          </w:p>
        </w:tc>
        <w:tc>
          <w:tcPr>
            <w:tcW w:w="4301" w:type="dxa"/>
            <w:tcBorders>
              <w:bottom w:val="single" w:sz="4" w:space="0" w:color="auto"/>
            </w:tcBorders>
            <w:noWrap/>
            <w:hideMark/>
          </w:tcPr>
          <w:p w14:paraId="22CD96B1" w14:textId="3DA64A36"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Blood metabolite levels (1-methylxanthine)</w:t>
            </w:r>
          </w:p>
        </w:tc>
        <w:tc>
          <w:tcPr>
            <w:tcW w:w="3109" w:type="dxa"/>
            <w:tcBorders>
              <w:bottom w:val="single" w:sz="4" w:space="0" w:color="auto"/>
            </w:tcBorders>
            <w:noWrap/>
            <w:hideMark/>
          </w:tcPr>
          <w:p w14:paraId="441ACF61" w14:textId="38031B75"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fldChar w:fldCharType="begin"/>
            </w:r>
            <w:r>
              <w:rPr>
                <w:rFonts w:ascii="Arial" w:eastAsia="Times New Roman" w:hAnsi="Arial" w:cs="Arial"/>
                <w:color w:val="000000" w:themeColor="text1"/>
                <w:sz w:val="16"/>
                <w:szCs w:val="16"/>
              </w:rPr>
              <w:instrText xml:space="preserve"> ADDIN ZOTERO_ITEM CSL_CITATION {"citationID":"w6JJu9uS","properties":{"formattedCitation":"(Shin et al., 2014)","plainCitation":"(Shin et al., 2014)","noteIndex":0},"citationItems":[{"id":"8dHjENI5/LsUnqTFx","uris":["http://zotero.org/users/9763947/items/QS7JIHZA"],"itemData":{"id":295,"type":"article-journal","abstract":"Genome-wide association scans with high-throughput metabolic profiling provide unprecedented insights into how genetic variation influences metabolism and complex disease. Here we report the most comprehensive exploration of genetic loci influencing human metabolism thus far, comprising 7,824 adult individuals from 2 European population studies. We report genome-wide significant associations at 145 metabolic loci and their biochemical connectivity with more than 400 metabolites in human blood. We extensively characterize the resulting in vivo blueprint of metabolism in human blood by integrating it with information on gene expression, heritability and overlap with known loci for complex disorders, inborn errors of metabolism and pharmacological targets. We further developed a database and web-based resources for data mining and results visualization. Our findings provide new insights into the role of inherited variation in blood metabolic diversity and identify potential new opportunities for drug development and for understanding disease.","container-title":"Nature Genetics","DOI":"10.1038/ng.2982","ISSN":"1546-1718","issue":"6","journalAbbreviation":"Nat Genet","language":"eng","note":"PMID: 24816252\nPMCID: PMC4064254","page":"543-550","source":"PubMed","title":"An atlas of genetic influences on human blood metabolites","volume":"46","author":[{"family":"Shin","given":"So-Youn"},{"family":"Fauman","given":"Eric B."},{"family":"Petersen","given":"Ann-Kristin"},{"family":"Krumsiek","given":"Jan"},{"family":"Santos","given":"Rita"},{"family":"Huang","given":"Jie"},{"family":"Arnold","given":"Matthias"},{"family":"Erte","given":"Idil"},{"family":"Forgetta","given":"Vincenzo"},{"family":"Yang","given":"Tsun-Po"},{"family":"Walter","given":"Klaudia"},{"family":"Menni","given":"Cristina"},{"family":"Chen","given":"Lu"},{"family":"Vasquez","given":"Louella"},{"family":"Valdes","given":"Ana M."},{"family":"Hyde","given":"Craig L."},{"family":"Wang","given":"Vicky"},{"family":"Ziemek","given":"Daniel"},{"family":"Roberts","given":"Phoebe"},{"family":"Xi","given":"Li"},{"family":"Grundberg","given":"Elin"},{"literal":"Multiple Tissue Human Expression Resource (MuTHER) Consortium"},{"family":"Waldenberger","given":"Melanie"},{"family":"Richards","given":"J. Brent"},{"family":"Mohney","given":"Robert P."},{"family":"Milburn","given":"Michael V."},{"family":"John","given":"Sally L."},{"family":"Trimmer","given":"Jeff"},{"family":"Theis","given":"Fabian J."},{"family":"Overington","given":"John P."},{"family":"Suhre","given":"Karsten"},{"family":"Brosnan","given":"M. Julia"},{"family":"Gieger","given":"Christian"},{"family":"Kastenmüller","given":"Gabi"},{"family":"Spector","given":"Tim D."},{"family":"Soranzo","given":"Nicole"}],"issued":{"date-parts":[["2014",6]]}}}],"schema":"https://github.com/citation-style-language/schema/raw/master/csl-citation.json"} </w:instrText>
            </w:r>
            <w:r w:rsidRPr="004817FD">
              <w:rPr>
                <w:rFonts w:ascii="Arial" w:eastAsia="Times New Roman" w:hAnsi="Arial" w:cs="Arial"/>
                <w:color w:val="000000" w:themeColor="text1"/>
                <w:sz w:val="16"/>
                <w:szCs w:val="16"/>
              </w:rPr>
              <w:fldChar w:fldCharType="separate"/>
            </w:r>
            <w:r w:rsidRPr="004817FD">
              <w:rPr>
                <w:rFonts w:ascii="Arial" w:hAnsi="Arial" w:cs="Arial"/>
                <w:color w:val="000000" w:themeColor="text1"/>
                <w:sz w:val="16"/>
                <w:szCs w:val="16"/>
              </w:rPr>
              <w:t>(Shin et al., 2014)</w:t>
            </w:r>
            <w:r w:rsidRPr="004817FD">
              <w:rPr>
                <w:rFonts w:ascii="Arial" w:eastAsia="Times New Roman" w:hAnsi="Arial" w:cs="Arial"/>
                <w:color w:val="000000" w:themeColor="text1"/>
                <w:sz w:val="16"/>
                <w:szCs w:val="16"/>
              </w:rPr>
              <w:fldChar w:fldCharType="end"/>
            </w:r>
          </w:p>
        </w:tc>
        <w:tc>
          <w:tcPr>
            <w:tcW w:w="1082" w:type="dxa"/>
            <w:tcBorders>
              <w:bottom w:val="single" w:sz="4" w:space="0" w:color="auto"/>
            </w:tcBorders>
          </w:tcPr>
          <w:p w14:paraId="14492962" w14:textId="2454182B" w:rsidR="00E915EB" w:rsidRPr="004817FD" w:rsidRDefault="00E915EB" w:rsidP="00E915EB">
            <w:pPr>
              <w:rPr>
                <w:rFonts w:ascii="Arial" w:eastAsia="Times New Roman" w:hAnsi="Arial" w:cs="Arial"/>
                <w:color w:val="000000" w:themeColor="text1"/>
                <w:sz w:val="16"/>
                <w:szCs w:val="16"/>
              </w:rPr>
            </w:pPr>
          </w:p>
        </w:tc>
      </w:tr>
      <w:tr w:rsidR="00E915EB" w:rsidRPr="004817FD" w14:paraId="43611564" w14:textId="55C55D5B" w:rsidTr="00E915EB">
        <w:trPr>
          <w:trHeight w:val="300"/>
        </w:trPr>
        <w:tc>
          <w:tcPr>
            <w:tcW w:w="1384" w:type="dxa"/>
            <w:tcBorders>
              <w:top w:val="single" w:sz="4" w:space="0" w:color="auto"/>
              <w:bottom w:val="single" w:sz="4" w:space="0" w:color="auto"/>
            </w:tcBorders>
            <w:noWrap/>
          </w:tcPr>
          <w:p w14:paraId="399A0EAE" w14:textId="1F197171"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rs4921915</w:t>
            </w:r>
          </w:p>
        </w:tc>
        <w:tc>
          <w:tcPr>
            <w:tcW w:w="747" w:type="dxa"/>
            <w:tcBorders>
              <w:top w:val="single" w:sz="4" w:space="0" w:color="auto"/>
              <w:bottom w:val="single" w:sz="4" w:space="0" w:color="auto"/>
            </w:tcBorders>
          </w:tcPr>
          <w:p w14:paraId="07A6EE88" w14:textId="2E21D1B2" w:rsidR="00E915EB" w:rsidRPr="004817FD" w:rsidRDefault="00E915EB" w:rsidP="00E915EB">
            <w:pPr>
              <w:jc w:val="center"/>
              <w:rPr>
                <w:rFonts w:ascii="Arial" w:eastAsia="Times New Roman" w:hAnsi="Arial" w:cs="Arial"/>
                <w:color w:val="000000" w:themeColor="text1"/>
                <w:sz w:val="16"/>
                <w:szCs w:val="16"/>
              </w:rPr>
            </w:pPr>
            <w:r w:rsidRPr="004817FD">
              <w:rPr>
                <w:rFonts w:ascii="Arial" w:hAnsi="Arial" w:cs="Arial"/>
                <w:color w:val="000000" w:themeColor="text1"/>
                <w:sz w:val="16"/>
                <w:szCs w:val="16"/>
              </w:rPr>
              <w:t>Non-coding</w:t>
            </w:r>
          </w:p>
        </w:tc>
        <w:tc>
          <w:tcPr>
            <w:tcW w:w="852" w:type="dxa"/>
            <w:tcBorders>
              <w:top w:val="single" w:sz="4" w:space="0" w:color="auto"/>
            </w:tcBorders>
            <w:noWrap/>
            <w:hideMark/>
          </w:tcPr>
          <w:p w14:paraId="6631FA5B" w14:textId="64955A98" w:rsidR="00E915EB" w:rsidRPr="004817FD" w:rsidRDefault="00E915EB" w:rsidP="00E915EB">
            <w:pPr>
              <w:jc w:val="cente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G</w:t>
            </w:r>
          </w:p>
        </w:tc>
        <w:tc>
          <w:tcPr>
            <w:tcW w:w="1143" w:type="dxa"/>
            <w:tcBorders>
              <w:top w:val="single" w:sz="4" w:space="0" w:color="auto"/>
            </w:tcBorders>
            <w:noWrap/>
            <w:hideMark/>
          </w:tcPr>
          <w:p w14:paraId="265E6A66" w14:textId="260BFC0F"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1 x 10</w:t>
            </w:r>
            <w:r w:rsidRPr="004817FD">
              <w:rPr>
                <w:rFonts w:ascii="Arial" w:eastAsia="Times New Roman" w:hAnsi="Arial" w:cs="Arial"/>
                <w:color w:val="000000" w:themeColor="text1"/>
                <w:sz w:val="16"/>
                <w:szCs w:val="16"/>
                <w:vertAlign w:val="superscript"/>
              </w:rPr>
              <w:t>-19</w:t>
            </w:r>
          </w:p>
        </w:tc>
        <w:tc>
          <w:tcPr>
            <w:tcW w:w="973" w:type="dxa"/>
            <w:tcBorders>
              <w:top w:val="single" w:sz="4" w:space="0" w:color="auto"/>
            </w:tcBorders>
          </w:tcPr>
          <w:p w14:paraId="6B753906" w14:textId="0455336C" w:rsidR="00E915EB" w:rsidRPr="004817FD" w:rsidRDefault="00AA5A55" w:rsidP="00E915EB">
            <w:pPr>
              <w:jc w:val="center"/>
              <w:rPr>
                <w:rFonts w:ascii="Arial" w:hAnsi="Arial" w:cs="Arial"/>
                <w:sz w:val="16"/>
                <w:szCs w:val="16"/>
              </w:rPr>
            </w:pPr>
            <w:r>
              <w:rPr>
                <w:rFonts w:ascii="Arial" w:hAnsi="Arial" w:cs="Arial"/>
                <w:sz w:val="16"/>
                <w:szCs w:val="16"/>
              </w:rPr>
              <w:t>0.35</w:t>
            </w:r>
          </w:p>
        </w:tc>
        <w:tc>
          <w:tcPr>
            <w:tcW w:w="1084" w:type="dxa"/>
            <w:tcBorders>
              <w:top w:val="single" w:sz="4" w:space="0" w:color="auto"/>
            </w:tcBorders>
            <w:noWrap/>
            <w:hideMark/>
          </w:tcPr>
          <w:p w14:paraId="08AC1B56" w14:textId="13457A65" w:rsidR="00E915EB" w:rsidRPr="004817FD" w:rsidRDefault="00E915EB" w:rsidP="00E915EB">
            <w:pPr>
              <w:jc w:val="center"/>
              <w:rPr>
                <w:rFonts w:eastAsia="Times New Roman" w:cstheme="minorHAnsi"/>
                <w:color w:val="000000" w:themeColor="text1"/>
                <w:sz w:val="16"/>
                <w:szCs w:val="16"/>
              </w:rPr>
            </w:pPr>
            <w:r w:rsidRPr="004817FD">
              <w:rPr>
                <w:rFonts w:cstheme="minorHAnsi"/>
                <w:sz w:val="16"/>
                <w:szCs w:val="16"/>
              </w:rPr>
              <w:t>↑</w:t>
            </w:r>
          </w:p>
        </w:tc>
        <w:tc>
          <w:tcPr>
            <w:tcW w:w="4301" w:type="dxa"/>
            <w:tcBorders>
              <w:top w:val="single" w:sz="4" w:space="0" w:color="auto"/>
            </w:tcBorders>
            <w:noWrap/>
            <w:hideMark/>
          </w:tcPr>
          <w:p w14:paraId="456602E5" w14:textId="64A26C4D"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Urinary metabolite levels in chronic kidney disease (4-acetamidobutanoate)</w:t>
            </w:r>
          </w:p>
        </w:tc>
        <w:tc>
          <w:tcPr>
            <w:tcW w:w="3109" w:type="dxa"/>
            <w:tcBorders>
              <w:top w:val="single" w:sz="4" w:space="0" w:color="auto"/>
            </w:tcBorders>
            <w:noWrap/>
            <w:hideMark/>
          </w:tcPr>
          <w:p w14:paraId="7589D298" w14:textId="29BD9D58"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fldChar w:fldCharType="begin"/>
            </w:r>
            <w:r>
              <w:rPr>
                <w:rFonts w:ascii="Arial" w:eastAsia="Times New Roman" w:hAnsi="Arial" w:cs="Arial"/>
                <w:color w:val="000000" w:themeColor="text1"/>
                <w:sz w:val="16"/>
                <w:szCs w:val="16"/>
              </w:rPr>
              <w:instrText xml:space="preserve"> ADDIN ZOTERO_ITEM CSL_CITATION {"citationID":"mYJyWqq6","properties":{"formattedCitation":"(Schlosser et al., 2020)","plainCitation":"(Schlosser et al., 2020)","noteIndex":0},"citationItems":[{"id":"8dHjENI5/EWWs8qTS","uris":["http://zotero.org/users/9763947/items/B8LZW9V2"],"itemData":{"id":331,"type":"article-journal","abstract":"The kidneys integrate information from continuous systemic processes related to the absorption, distribution, metabolism and excretion (ADME) of metabolites. To identify underlying molecular mechanisms, we performed genome-wide association studies of the urinary concentrations of 1,172 metabolites among 1,627 patients with reduced kidney function. The 240 unique metabolite-locus associations (metabolite quantitative trait loci, mQTLs) that were identified and replicated highlight novel candidate substrates for transport proteins. The identified genes are enriched in ADME-relevant tissues and cell types, and they reveal novel candidates for biotransformation and detoxification reactions. Fine mapping of mQTLs and integration with single-cell gene expression permitted the prioritization of causal genes, functional variants and target cell types. The combination of mQTLs with genetic and health information from 450,000 UK Biobank participants illuminated metabolic mediators, and hence, novel urinary biomarkers of disease risk. This comprehensive resource of genetic targets and their substrates is informative for ADME processes in humans and is relevant to basic science, clinical medicine and pharmaceutical research.","container-title":"Nature Genetics","DOI":"10.1038/s41588-019-0567-8","ISSN":"1546-1718","issue":"2","journalAbbreviation":"Nat Genet","language":"eng","note":"PMID: 31959995\nPMCID: PMC7484970","page":"167-176","source":"PubMed","title":"Genetic studies of urinary metabolites illuminate mechanisms of detoxification and excretion in humans","volume":"52","author":[{"family":"Schlosser","given":"Pascal"},{"family":"Li","given":"Yong"},{"family":"Sekula","given":"Peggy"},{"family":"Raffler","given":"Johannes"},{"family":"Grundner-Culemann","given":"Franziska"},{"family":"Pietzner","given":"Maik"},{"family":"Cheng","given":"Yurong"},{"family":"Wuttke","given":"Matthias"},{"family":"Steinbrenner","given":"Inga"},{"family":"Schultheiss","given":"Ulla T."},{"family":"Kotsis","given":"Fruzsina"},{"family":"Kacprowski","given":"Tim"},{"family":"Forer","given":"Lukas"},{"family":"Hausknecht","given":"Birgit"},{"family":"Ekici","given":"Arif B."},{"family":"Nauck","given":"Matthias"},{"family":"Völker","given":"Uwe"},{"literal":"GCKD Investigators"},{"family":"Walz","given":"Gerd"},{"family":"Oefner","given":"Peter J."},{"family":"Kronenberg","given":"Florian"},{"family":"Mohney","given":"Robert P."},{"family":"Köttgen","given":"Michael"},{"family":"Suhre","given":"Karsten"},{"family":"Eckardt","given":"Kai-Uwe"},{"family":"Kastenmüller","given":"Gabi"},{"family":"Köttgen","given":"Anna"}],"issued":{"date-parts":[["2020",2]]}}}],"schema":"https://github.com/citation-style-language/schema/raw/master/csl-citation.json"} </w:instrText>
            </w:r>
            <w:r w:rsidRPr="004817FD">
              <w:rPr>
                <w:rFonts w:ascii="Arial" w:eastAsia="Times New Roman" w:hAnsi="Arial" w:cs="Arial"/>
                <w:color w:val="000000" w:themeColor="text1"/>
                <w:sz w:val="16"/>
                <w:szCs w:val="16"/>
              </w:rPr>
              <w:fldChar w:fldCharType="separate"/>
            </w:r>
            <w:r w:rsidRPr="004817FD">
              <w:rPr>
                <w:rFonts w:ascii="Arial" w:hAnsi="Arial" w:cs="Arial"/>
                <w:color w:val="000000" w:themeColor="text1"/>
                <w:sz w:val="16"/>
                <w:szCs w:val="16"/>
              </w:rPr>
              <w:t>(Schlosser et al., 2020)</w:t>
            </w:r>
            <w:r w:rsidRPr="004817FD">
              <w:rPr>
                <w:rFonts w:ascii="Arial" w:eastAsia="Times New Roman" w:hAnsi="Arial" w:cs="Arial"/>
                <w:color w:val="000000" w:themeColor="text1"/>
                <w:sz w:val="16"/>
                <w:szCs w:val="16"/>
              </w:rPr>
              <w:fldChar w:fldCharType="end"/>
            </w:r>
          </w:p>
        </w:tc>
        <w:tc>
          <w:tcPr>
            <w:tcW w:w="1082" w:type="dxa"/>
            <w:tcBorders>
              <w:top w:val="single" w:sz="4" w:space="0" w:color="auto"/>
            </w:tcBorders>
          </w:tcPr>
          <w:p w14:paraId="0F9B5436" w14:textId="7F0A1E29"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8:18414956</w:t>
            </w:r>
          </w:p>
        </w:tc>
      </w:tr>
      <w:tr w:rsidR="00E915EB" w:rsidRPr="004817FD" w14:paraId="16865E4C" w14:textId="44107E11" w:rsidTr="00E915EB">
        <w:trPr>
          <w:trHeight w:val="300"/>
        </w:trPr>
        <w:tc>
          <w:tcPr>
            <w:tcW w:w="1384" w:type="dxa"/>
            <w:tcBorders>
              <w:top w:val="single" w:sz="4" w:space="0" w:color="auto"/>
              <w:bottom w:val="single" w:sz="4" w:space="0" w:color="auto"/>
            </w:tcBorders>
            <w:noWrap/>
          </w:tcPr>
          <w:p w14:paraId="3EF57A8F" w14:textId="7303A702"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rs66477371</w:t>
            </w:r>
          </w:p>
        </w:tc>
        <w:tc>
          <w:tcPr>
            <w:tcW w:w="747" w:type="dxa"/>
            <w:tcBorders>
              <w:top w:val="single" w:sz="4" w:space="0" w:color="auto"/>
              <w:bottom w:val="single" w:sz="4" w:space="0" w:color="auto"/>
            </w:tcBorders>
          </w:tcPr>
          <w:p w14:paraId="6E1FBFD2" w14:textId="02538D2E" w:rsidR="00E915EB" w:rsidRPr="004817FD" w:rsidRDefault="00E915EB" w:rsidP="00E915EB">
            <w:pPr>
              <w:jc w:val="center"/>
              <w:rPr>
                <w:rFonts w:ascii="Arial" w:eastAsia="Times New Roman" w:hAnsi="Arial" w:cs="Arial"/>
                <w:color w:val="000000" w:themeColor="text1"/>
                <w:sz w:val="16"/>
                <w:szCs w:val="16"/>
              </w:rPr>
            </w:pPr>
            <w:r w:rsidRPr="004817FD">
              <w:rPr>
                <w:rFonts w:ascii="Arial" w:hAnsi="Arial" w:cs="Arial"/>
                <w:color w:val="000000" w:themeColor="text1"/>
                <w:sz w:val="16"/>
                <w:szCs w:val="16"/>
              </w:rPr>
              <w:t>Non-coding</w:t>
            </w:r>
          </w:p>
        </w:tc>
        <w:tc>
          <w:tcPr>
            <w:tcW w:w="852" w:type="dxa"/>
            <w:tcBorders>
              <w:top w:val="single" w:sz="4" w:space="0" w:color="auto"/>
              <w:bottom w:val="single" w:sz="4" w:space="0" w:color="auto"/>
            </w:tcBorders>
            <w:noWrap/>
            <w:hideMark/>
          </w:tcPr>
          <w:p w14:paraId="6A6BA447" w14:textId="61A32F84" w:rsidR="00E915EB" w:rsidRPr="004817FD" w:rsidRDefault="00E915EB" w:rsidP="00E915EB">
            <w:pPr>
              <w:jc w:val="cente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T</w:t>
            </w:r>
          </w:p>
        </w:tc>
        <w:tc>
          <w:tcPr>
            <w:tcW w:w="1143" w:type="dxa"/>
            <w:tcBorders>
              <w:top w:val="single" w:sz="4" w:space="0" w:color="auto"/>
              <w:bottom w:val="single" w:sz="4" w:space="0" w:color="auto"/>
            </w:tcBorders>
            <w:noWrap/>
            <w:hideMark/>
          </w:tcPr>
          <w:p w14:paraId="3E8A19F3" w14:textId="01E9BF7B"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6 x 10</w:t>
            </w:r>
            <w:r w:rsidRPr="004817FD">
              <w:rPr>
                <w:rFonts w:ascii="Arial" w:eastAsia="Times New Roman" w:hAnsi="Arial" w:cs="Arial"/>
                <w:color w:val="000000" w:themeColor="text1"/>
                <w:sz w:val="16"/>
                <w:szCs w:val="16"/>
                <w:vertAlign w:val="superscript"/>
              </w:rPr>
              <w:t>-6</w:t>
            </w:r>
          </w:p>
        </w:tc>
        <w:tc>
          <w:tcPr>
            <w:tcW w:w="973" w:type="dxa"/>
            <w:tcBorders>
              <w:top w:val="single" w:sz="4" w:space="0" w:color="auto"/>
              <w:bottom w:val="single" w:sz="4" w:space="0" w:color="auto"/>
            </w:tcBorders>
          </w:tcPr>
          <w:p w14:paraId="6E70E71B" w14:textId="59645215" w:rsidR="00E915EB" w:rsidRPr="004817FD" w:rsidRDefault="00AA5A55" w:rsidP="00E915EB">
            <w:pPr>
              <w:jc w:val="center"/>
              <w:rPr>
                <w:rFonts w:ascii="Arial" w:hAnsi="Arial" w:cs="Arial"/>
                <w:sz w:val="16"/>
                <w:szCs w:val="16"/>
              </w:rPr>
            </w:pPr>
            <w:r>
              <w:rPr>
                <w:rFonts w:ascii="Arial" w:hAnsi="Arial" w:cs="Arial"/>
                <w:sz w:val="16"/>
                <w:szCs w:val="16"/>
              </w:rPr>
              <w:t>0.07</w:t>
            </w:r>
          </w:p>
        </w:tc>
        <w:tc>
          <w:tcPr>
            <w:tcW w:w="1084" w:type="dxa"/>
            <w:tcBorders>
              <w:top w:val="single" w:sz="4" w:space="0" w:color="auto"/>
              <w:bottom w:val="single" w:sz="4" w:space="0" w:color="auto"/>
            </w:tcBorders>
            <w:noWrap/>
            <w:hideMark/>
          </w:tcPr>
          <w:p w14:paraId="01A6E8F0" w14:textId="0B198E33" w:rsidR="00E915EB" w:rsidRPr="004817FD" w:rsidRDefault="00E915EB" w:rsidP="00E915EB">
            <w:pPr>
              <w:jc w:val="center"/>
              <w:rPr>
                <w:rFonts w:eastAsia="Times New Roman" w:cstheme="minorHAnsi"/>
                <w:color w:val="000000" w:themeColor="text1"/>
                <w:sz w:val="16"/>
                <w:szCs w:val="16"/>
              </w:rPr>
            </w:pPr>
            <w:r w:rsidRPr="004817FD">
              <w:rPr>
                <w:rFonts w:cstheme="minorHAnsi"/>
                <w:sz w:val="16"/>
                <w:szCs w:val="16"/>
              </w:rPr>
              <w:t>↓</w:t>
            </w:r>
          </w:p>
        </w:tc>
        <w:tc>
          <w:tcPr>
            <w:tcW w:w="4301" w:type="dxa"/>
            <w:tcBorders>
              <w:top w:val="single" w:sz="4" w:space="0" w:color="auto"/>
              <w:bottom w:val="single" w:sz="4" w:space="0" w:color="auto"/>
            </w:tcBorders>
            <w:noWrap/>
            <w:hideMark/>
          </w:tcPr>
          <w:p w14:paraId="512243EA" w14:textId="3FECCCD5"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Academic attainment (math)</w:t>
            </w:r>
          </w:p>
        </w:tc>
        <w:tc>
          <w:tcPr>
            <w:tcW w:w="3109" w:type="dxa"/>
            <w:tcBorders>
              <w:top w:val="single" w:sz="4" w:space="0" w:color="auto"/>
              <w:bottom w:val="single" w:sz="4" w:space="0" w:color="auto"/>
            </w:tcBorders>
            <w:noWrap/>
            <w:hideMark/>
          </w:tcPr>
          <w:p w14:paraId="2A944E23" w14:textId="57D9DCC4"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fldChar w:fldCharType="begin"/>
            </w:r>
            <w:r>
              <w:rPr>
                <w:rFonts w:ascii="Arial" w:eastAsia="Times New Roman" w:hAnsi="Arial" w:cs="Arial"/>
                <w:color w:val="000000" w:themeColor="text1"/>
                <w:sz w:val="16"/>
                <w:szCs w:val="16"/>
              </w:rPr>
              <w:instrText xml:space="preserve"> ADDIN ZOTERO_ITEM CSL_CITATION {"citationID":"X5plf9cg","properties":{"formattedCitation":"(Donati et al., 2021)","plainCitation":"(Donati et al., 2021)","noteIndex":0},"citationItems":[{"id":"8dHjENI5/CTr1JirG","uris":["http://zotero.org/users/9763947/items/QXE36EHJ"],"itemData":{"id":410,"type":"article-journal","abstract":"How well one does at school is predictive of a wide range of important cognitive, socioeconomic, and health outcomes. The last few years have shown marked advancement in our understanding of the genetic contributions to, and correlations with, academic attainment. However, there exists a gap in our understanding of the specificity of genetic associations with performance in academic subjects during adolescence, a critical developmental period. To address this, the Avon Longitudinal Study of Parents and Children was used to conduct genome-wide association studies of standardised national English (N = 5983), maths (N = 6017) and science (N = 6089) tests. High SNP-based heritabilities (h2SNP) for all subjects were found (41-53%). Further, h2SNP for maths and science remained after removing shared variance between subjects or IQ (N = 3197-5895). One genome-wide significant single nucleotide polymorphism (rs952964, p = 4.86 × 10-8) and four gene-level associations with science attainment (MEF2C, BRINP1, S100A1 and S100A13) were identified. Rs952964 remained significant after removing the variance shared between academic subjects. The findings highlight the benefits of using environmentally homogeneous samples for genetic analyses and indicate that finer-grained phenotyping will help build more specific biological models of variance in learning processes and abilities.","container-title":"Scientific Reports","DOI":"10.1038/s41598-021-82877-y","ISSN":"2045-2322","issue":"1","journalAbbreviation":"Sci Rep","language":"eng","note":"PMID: 33594131\nPMCID: PMC7887196","page":"3851","source":"PubMed","title":"Evidence for specificity of polygenic contributions to attainment in English, maths and science during adolescence","volume":"11","author":[{"family":"Donati","given":"Georgina"},{"family":"Dumontheil","given":"Iroise"},{"family":"Pain","given":"Oliver"},{"family":"Asbury","given":"Kathryn"},{"family":"Meaburn","given":"Emma L."}],"issued":{"date-parts":[["2021",2,16]]}}}],"schema":"https://github.com/citation-style-language/schema/raw/master/csl-citation.json"} </w:instrText>
            </w:r>
            <w:r w:rsidRPr="004817FD">
              <w:rPr>
                <w:rFonts w:ascii="Arial" w:eastAsia="Times New Roman" w:hAnsi="Arial" w:cs="Arial"/>
                <w:color w:val="000000" w:themeColor="text1"/>
                <w:sz w:val="16"/>
                <w:szCs w:val="16"/>
              </w:rPr>
              <w:fldChar w:fldCharType="separate"/>
            </w:r>
            <w:r w:rsidRPr="004817FD">
              <w:rPr>
                <w:rFonts w:ascii="Arial" w:hAnsi="Arial" w:cs="Arial"/>
                <w:color w:val="000000" w:themeColor="text1"/>
                <w:sz w:val="16"/>
                <w:szCs w:val="16"/>
              </w:rPr>
              <w:t>(Donati et al., 2021)</w:t>
            </w:r>
            <w:r w:rsidRPr="004817FD">
              <w:rPr>
                <w:rFonts w:ascii="Arial" w:eastAsia="Times New Roman" w:hAnsi="Arial" w:cs="Arial"/>
                <w:color w:val="000000" w:themeColor="text1"/>
                <w:sz w:val="16"/>
                <w:szCs w:val="16"/>
              </w:rPr>
              <w:fldChar w:fldCharType="end"/>
            </w:r>
          </w:p>
        </w:tc>
        <w:tc>
          <w:tcPr>
            <w:tcW w:w="1082" w:type="dxa"/>
            <w:tcBorders>
              <w:top w:val="single" w:sz="4" w:space="0" w:color="auto"/>
              <w:bottom w:val="single" w:sz="4" w:space="0" w:color="auto"/>
            </w:tcBorders>
          </w:tcPr>
          <w:p w14:paraId="47C11935" w14:textId="122B1AF3"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8:18456207</w:t>
            </w:r>
          </w:p>
        </w:tc>
      </w:tr>
      <w:tr w:rsidR="00E915EB" w:rsidRPr="004817FD" w14:paraId="37893348" w14:textId="62CF94C8" w:rsidTr="00E915EB">
        <w:trPr>
          <w:trHeight w:val="300"/>
        </w:trPr>
        <w:tc>
          <w:tcPr>
            <w:tcW w:w="1384" w:type="dxa"/>
            <w:tcBorders>
              <w:top w:val="single" w:sz="4" w:space="0" w:color="auto"/>
              <w:bottom w:val="single" w:sz="4" w:space="0" w:color="auto"/>
            </w:tcBorders>
            <w:noWrap/>
          </w:tcPr>
          <w:p w14:paraId="2DAC424B" w14:textId="0DD702BD"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rs7006687</w:t>
            </w:r>
          </w:p>
        </w:tc>
        <w:tc>
          <w:tcPr>
            <w:tcW w:w="747" w:type="dxa"/>
            <w:tcBorders>
              <w:top w:val="single" w:sz="4" w:space="0" w:color="auto"/>
              <w:bottom w:val="single" w:sz="4" w:space="0" w:color="auto"/>
            </w:tcBorders>
          </w:tcPr>
          <w:p w14:paraId="5AC2C048" w14:textId="287B2CA3" w:rsidR="00E915EB" w:rsidRPr="004817FD" w:rsidRDefault="00E915EB" w:rsidP="00E915EB">
            <w:pPr>
              <w:jc w:val="center"/>
              <w:rPr>
                <w:rFonts w:ascii="Arial" w:eastAsia="Times New Roman" w:hAnsi="Arial" w:cs="Arial"/>
                <w:color w:val="000000" w:themeColor="text1"/>
                <w:sz w:val="16"/>
                <w:szCs w:val="16"/>
              </w:rPr>
            </w:pPr>
            <w:r w:rsidRPr="004817FD">
              <w:rPr>
                <w:rFonts w:ascii="Arial" w:hAnsi="Arial" w:cs="Arial"/>
                <w:color w:val="000000" w:themeColor="text1"/>
                <w:sz w:val="16"/>
                <w:szCs w:val="16"/>
              </w:rPr>
              <w:t>Non-coding</w:t>
            </w:r>
          </w:p>
        </w:tc>
        <w:tc>
          <w:tcPr>
            <w:tcW w:w="852" w:type="dxa"/>
            <w:tcBorders>
              <w:top w:val="single" w:sz="4" w:space="0" w:color="auto"/>
              <w:bottom w:val="single" w:sz="4" w:space="0" w:color="auto"/>
            </w:tcBorders>
            <w:noWrap/>
            <w:hideMark/>
          </w:tcPr>
          <w:p w14:paraId="44781222" w14:textId="4463D93F" w:rsidR="00E915EB" w:rsidRPr="004817FD" w:rsidRDefault="00E915EB" w:rsidP="00E915EB">
            <w:pPr>
              <w:jc w:val="cente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T</w:t>
            </w:r>
          </w:p>
        </w:tc>
        <w:tc>
          <w:tcPr>
            <w:tcW w:w="1143" w:type="dxa"/>
            <w:tcBorders>
              <w:top w:val="single" w:sz="4" w:space="0" w:color="auto"/>
              <w:bottom w:val="single" w:sz="4" w:space="0" w:color="auto"/>
            </w:tcBorders>
            <w:noWrap/>
            <w:hideMark/>
          </w:tcPr>
          <w:p w14:paraId="4D5C88DA" w14:textId="145BD747"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2 x 10</w:t>
            </w:r>
            <w:r w:rsidRPr="004817FD">
              <w:rPr>
                <w:rFonts w:ascii="Arial" w:eastAsia="Times New Roman" w:hAnsi="Arial" w:cs="Arial"/>
                <w:color w:val="000000" w:themeColor="text1"/>
                <w:sz w:val="16"/>
                <w:szCs w:val="16"/>
                <w:vertAlign w:val="superscript"/>
              </w:rPr>
              <w:t>-6</w:t>
            </w:r>
          </w:p>
        </w:tc>
        <w:tc>
          <w:tcPr>
            <w:tcW w:w="973" w:type="dxa"/>
            <w:tcBorders>
              <w:top w:val="single" w:sz="4" w:space="0" w:color="auto"/>
              <w:bottom w:val="single" w:sz="4" w:space="0" w:color="auto"/>
            </w:tcBorders>
          </w:tcPr>
          <w:p w14:paraId="62A71ADE" w14:textId="0608B02F" w:rsidR="00E915EB" w:rsidRPr="004817FD" w:rsidRDefault="00E915EB" w:rsidP="00E915EB">
            <w:pPr>
              <w:jc w:val="center"/>
              <w:rPr>
                <w:rFonts w:ascii="Arial" w:hAnsi="Arial" w:cs="Arial"/>
                <w:color w:val="FF0000"/>
                <w:sz w:val="16"/>
                <w:szCs w:val="16"/>
              </w:rPr>
            </w:pPr>
            <w:r w:rsidRPr="004817FD">
              <w:rPr>
                <w:rFonts w:ascii="Arial" w:hAnsi="Arial" w:cs="Arial"/>
                <w:sz w:val="16"/>
                <w:szCs w:val="16"/>
              </w:rPr>
              <w:t>0.57</w:t>
            </w:r>
          </w:p>
        </w:tc>
        <w:tc>
          <w:tcPr>
            <w:tcW w:w="1084" w:type="dxa"/>
            <w:tcBorders>
              <w:top w:val="single" w:sz="4" w:space="0" w:color="auto"/>
              <w:bottom w:val="single" w:sz="4" w:space="0" w:color="auto"/>
            </w:tcBorders>
            <w:noWrap/>
            <w:hideMark/>
          </w:tcPr>
          <w:p w14:paraId="452D23DE" w14:textId="6E4DDBF3" w:rsidR="00E915EB" w:rsidRPr="004817FD" w:rsidRDefault="00E915EB" w:rsidP="00E915EB">
            <w:pPr>
              <w:jc w:val="center"/>
              <w:rPr>
                <w:rFonts w:eastAsia="Times New Roman" w:cstheme="minorHAnsi"/>
                <w:color w:val="000000" w:themeColor="text1"/>
                <w:sz w:val="16"/>
                <w:szCs w:val="16"/>
              </w:rPr>
            </w:pPr>
            <w:r w:rsidRPr="004817FD">
              <w:rPr>
                <w:rFonts w:ascii="Arial" w:hAnsi="Arial" w:cs="Arial"/>
                <w:sz w:val="16"/>
                <w:szCs w:val="16"/>
              </w:rPr>
              <w:t>NA</w:t>
            </w:r>
          </w:p>
        </w:tc>
        <w:tc>
          <w:tcPr>
            <w:tcW w:w="4301" w:type="dxa"/>
            <w:tcBorders>
              <w:top w:val="single" w:sz="4" w:space="0" w:color="auto"/>
              <w:bottom w:val="single" w:sz="4" w:space="0" w:color="auto"/>
            </w:tcBorders>
            <w:noWrap/>
            <w:hideMark/>
          </w:tcPr>
          <w:p w14:paraId="15A156CE" w14:textId="38D6773E"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QT interval (drug interaction; sulfonylurea hypoglycemic agents)</w:t>
            </w:r>
          </w:p>
        </w:tc>
        <w:tc>
          <w:tcPr>
            <w:tcW w:w="3109" w:type="dxa"/>
            <w:tcBorders>
              <w:top w:val="single" w:sz="4" w:space="0" w:color="auto"/>
              <w:bottom w:val="single" w:sz="4" w:space="0" w:color="auto"/>
            </w:tcBorders>
            <w:noWrap/>
            <w:hideMark/>
          </w:tcPr>
          <w:p w14:paraId="698BE97C" w14:textId="293132E1"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fldChar w:fldCharType="begin"/>
            </w:r>
            <w:r>
              <w:rPr>
                <w:rFonts w:ascii="Arial" w:eastAsia="Times New Roman" w:hAnsi="Arial" w:cs="Arial"/>
                <w:color w:val="000000" w:themeColor="text1"/>
                <w:sz w:val="16"/>
                <w:szCs w:val="16"/>
              </w:rPr>
              <w:instrText xml:space="preserve"> ADDIN ZOTERO_ITEM CSL_CITATION {"citationID":"RGRIl3zY","properties":{"formattedCitation":"(Avery et al., 2014)","plainCitation":"(Avery et al., 2014)","noteIndex":0},"citationItems":[{"id":"8dHjENI5/mud5zdb1","uris":["http://zotero.org/users/9763947/items/X5UJY32G"],"itemData":{"id":413,"type":"article-journal","abstract":"Variability in response to drug use is common and heritable, suggesting that genome-wide pharmacogenomics studies may help explain the 'missing heritability' of complex traits. Here, we describe four independent analyses in 33 781 participants of European ancestry from 10 cohorts that were designed to identify genetic variants modifying the effects of drugs on QT interval duration (QT). Each analysis cross-sectionally examined four therapeutic classes: thiazide diuretics (prevalence of use=13.0%), tri/tetracyclic antidepressants (2.6%), sulfonylurea hypoglycemic agents (2.9%) and QT-prolonging drugs as classified by the University of Arizona Center for Education and Research on Therapeutics (4.4%). Drug-gene interactions were estimated using covariable-adjusted linear regression and results were combined with fixed-effects meta-analysis. Although drug-single-nucleotide polymorphism (SNP) interactions were biologically plausible and variables were well-measured, findings from the four cross-sectional meta-analyses were null (Pinteraction&gt;5.0 × 10(-8)). Simulations suggested that additional efforts, including longitudinal modeling to increase statistical power, are likely needed to identify potentially important pharmacogenomic effects.","container-title":"The Pharmacogenomics Journal","DOI":"10.1038/tpj.2013.4","ISSN":"1473-1150","issue":"1","journalAbbreviation":"Pharmacogenomics J","language":"eng","note":"PMID: 23459443\nPMCID: PMC3766418","page":"6-13","source":"PubMed","title":"Drug-gene interactions and the search for missing heritability: a cross-sectional pharmacogenomics study of the QT interval","title-short":"Drug-gene interactions and the search for missing heritability","volume":"14","author":[{"family":"Avery","given":"C. L."},{"family":"Sitlani","given":"C. M."},{"family":"Arking","given":"D. E."},{"family":"Arnett","given":"D. K."},{"family":"Bis","given":"J. C."},{"family":"Boerwinkle","given":"E."},{"family":"Buckley","given":"B. M."},{"family":"Ida Chen","given":"Y.-D."},{"family":"Craen","given":"A. J. M.","non-dropping-particle":"de"},{"family":"Eijgelsheim","given":"M."},{"family":"Enquobahrie","given":"D."},{"family":"Evans","given":"D. S."},{"family":"Ford","given":"I."},{"family":"Garcia","given":"M. E."},{"family":"Gudnason","given":"V."},{"family":"Harris","given":"T. B."},{"family":"Heckbert","given":"S. R."},{"family":"Hochner","given":"H."},{"family":"Hofman","given":"A."},{"family":"Hsueh","given":"W.-C."},{"family":"Isaacs","given":"A."},{"family":"Jukema","given":"J. W."},{"family":"Knekt","given":"P."},{"family":"Kors","given":"J. A."},{"family":"Krijthe","given":"B. P."},{"family":"Kristiansson","given":"K."},{"family":"Laaksonen","given":"M."},{"family":"Liu","given":"Y."},{"family":"Li","given":"X."},{"family":"Macfarlane","given":"P. W."},{"family":"Newton-Cheh","given":"C."},{"family":"Nieminen","given":"M. S."},{"family":"Oostra","given":"B. A."},{"family":"Peloso","given":"G. M."},{"family":"Porthan","given":"K."},{"family":"Rice","given":"K."},{"family":"Rivadeneira","given":"F. F."},{"family":"Rotter","given":"J. I."},{"family":"Salomaa","given":"V."},{"family":"Sattar","given":"N."},{"family":"Siscovick","given":"D. S."},{"family":"Slagboom","given":"P. E."},{"family":"Smith","given":"A. V."},{"family":"Sotoodehnia","given":"N."},{"family":"Stott","given":"D. J."},{"family":"Stricker","given":"B. H."},{"family":"Stürmer","given":"T."},{"family":"Trompet","given":"S."},{"family":"Uitterlinden","given":"A. G."},{"family":"Duijn","given":"C.","non-dropping-particle":"van"},{"family":"Westendorp","given":"R. G. J."},{"family":"Witteman","given":"J. C."},{"family":"Whitsel","given":"E. A."},{"family":"Psaty","given":"B. M."}],"issued":{"date-parts":[["2014",2]]}}}],"schema":"https://github.com/citation-style-language/schema/raw/master/csl-citation.json"} </w:instrText>
            </w:r>
            <w:r w:rsidRPr="004817FD">
              <w:rPr>
                <w:rFonts w:ascii="Arial" w:eastAsia="Times New Roman" w:hAnsi="Arial" w:cs="Arial"/>
                <w:color w:val="000000" w:themeColor="text1"/>
                <w:sz w:val="16"/>
                <w:szCs w:val="16"/>
              </w:rPr>
              <w:fldChar w:fldCharType="separate"/>
            </w:r>
            <w:r w:rsidRPr="004817FD">
              <w:rPr>
                <w:rFonts w:ascii="Arial" w:hAnsi="Arial" w:cs="Arial"/>
                <w:color w:val="000000" w:themeColor="text1"/>
                <w:sz w:val="16"/>
                <w:szCs w:val="16"/>
              </w:rPr>
              <w:t>(Avery et al., 2014)</w:t>
            </w:r>
            <w:r w:rsidRPr="004817FD">
              <w:rPr>
                <w:rFonts w:ascii="Arial" w:eastAsia="Times New Roman" w:hAnsi="Arial" w:cs="Arial"/>
                <w:color w:val="000000" w:themeColor="text1"/>
                <w:sz w:val="16"/>
                <w:szCs w:val="16"/>
              </w:rPr>
              <w:fldChar w:fldCharType="end"/>
            </w:r>
          </w:p>
        </w:tc>
        <w:tc>
          <w:tcPr>
            <w:tcW w:w="1082" w:type="dxa"/>
            <w:tcBorders>
              <w:top w:val="single" w:sz="4" w:space="0" w:color="auto"/>
              <w:bottom w:val="single" w:sz="4" w:space="0" w:color="auto"/>
            </w:tcBorders>
          </w:tcPr>
          <w:p w14:paraId="508BB058" w14:textId="5C1F2D10"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8:18376073</w:t>
            </w:r>
          </w:p>
        </w:tc>
      </w:tr>
      <w:tr w:rsidR="00E915EB" w:rsidRPr="004817FD" w14:paraId="78C64529" w14:textId="66FF7A08" w:rsidTr="00E915EB">
        <w:trPr>
          <w:trHeight w:val="300"/>
        </w:trPr>
        <w:tc>
          <w:tcPr>
            <w:tcW w:w="1384" w:type="dxa"/>
            <w:tcBorders>
              <w:top w:val="single" w:sz="4" w:space="0" w:color="auto"/>
            </w:tcBorders>
            <w:noWrap/>
          </w:tcPr>
          <w:p w14:paraId="0F5C1F55" w14:textId="0B9A6A2B"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rs721399</w:t>
            </w:r>
          </w:p>
        </w:tc>
        <w:tc>
          <w:tcPr>
            <w:tcW w:w="747" w:type="dxa"/>
            <w:tcBorders>
              <w:top w:val="single" w:sz="4" w:space="0" w:color="auto"/>
            </w:tcBorders>
          </w:tcPr>
          <w:p w14:paraId="23EEB332" w14:textId="7AD71DB1" w:rsidR="00E915EB" w:rsidRPr="004817FD" w:rsidRDefault="00E915EB" w:rsidP="00E915EB">
            <w:pPr>
              <w:jc w:val="center"/>
              <w:rPr>
                <w:rFonts w:ascii="Arial" w:eastAsia="Times New Roman" w:hAnsi="Arial" w:cs="Arial"/>
                <w:color w:val="000000" w:themeColor="text1"/>
                <w:sz w:val="16"/>
                <w:szCs w:val="16"/>
              </w:rPr>
            </w:pPr>
            <w:r w:rsidRPr="004817FD">
              <w:rPr>
                <w:rFonts w:ascii="Arial" w:hAnsi="Arial" w:cs="Arial"/>
                <w:color w:val="000000" w:themeColor="text1"/>
                <w:sz w:val="16"/>
                <w:szCs w:val="16"/>
              </w:rPr>
              <w:t>Non-coding</w:t>
            </w:r>
          </w:p>
        </w:tc>
        <w:tc>
          <w:tcPr>
            <w:tcW w:w="852" w:type="dxa"/>
            <w:tcBorders>
              <w:top w:val="single" w:sz="4" w:space="0" w:color="auto"/>
            </w:tcBorders>
            <w:noWrap/>
            <w:hideMark/>
          </w:tcPr>
          <w:p w14:paraId="5C2AB467" w14:textId="1F722832" w:rsidR="00E915EB" w:rsidRPr="004817FD" w:rsidRDefault="00E915EB" w:rsidP="00E915EB">
            <w:pPr>
              <w:jc w:val="cente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T</w:t>
            </w:r>
          </w:p>
        </w:tc>
        <w:tc>
          <w:tcPr>
            <w:tcW w:w="1143" w:type="dxa"/>
            <w:tcBorders>
              <w:top w:val="single" w:sz="4" w:space="0" w:color="auto"/>
            </w:tcBorders>
            <w:noWrap/>
            <w:hideMark/>
          </w:tcPr>
          <w:p w14:paraId="6D57B9EB" w14:textId="422F6BA3"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4 x 10</w:t>
            </w:r>
            <w:r w:rsidRPr="004817FD">
              <w:rPr>
                <w:rFonts w:ascii="Arial" w:eastAsia="Times New Roman" w:hAnsi="Arial" w:cs="Arial"/>
                <w:color w:val="000000" w:themeColor="text1"/>
                <w:sz w:val="16"/>
                <w:szCs w:val="16"/>
                <w:vertAlign w:val="superscript"/>
              </w:rPr>
              <w:t>-58</w:t>
            </w:r>
          </w:p>
        </w:tc>
        <w:tc>
          <w:tcPr>
            <w:tcW w:w="973" w:type="dxa"/>
            <w:tcBorders>
              <w:top w:val="single" w:sz="4" w:space="0" w:color="auto"/>
            </w:tcBorders>
          </w:tcPr>
          <w:p w14:paraId="0DAB5239" w14:textId="4D8E3C8E" w:rsidR="00E915EB" w:rsidRPr="004817FD" w:rsidRDefault="00E915EB" w:rsidP="00E915EB">
            <w:pPr>
              <w:tabs>
                <w:tab w:val="left" w:pos="388"/>
                <w:tab w:val="center" w:pos="434"/>
              </w:tabs>
              <w:jc w:val="center"/>
              <w:rPr>
                <w:rFonts w:ascii="Arial" w:hAnsi="Arial" w:cs="Arial"/>
                <w:sz w:val="16"/>
                <w:szCs w:val="16"/>
              </w:rPr>
            </w:pPr>
            <w:r w:rsidRPr="004817FD">
              <w:rPr>
                <w:rFonts w:ascii="Arial" w:hAnsi="Arial" w:cs="Arial"/>
                <w:sz w:val="16"/>
                <w:szCs w:val="16"/>
              </w:rPr>
              <w:t>0.</w:t>
            </w:r>
            <w:r w:rsidR="00AA5A55">
              <w:rPr>
                <w:rFonts w:ascii="Arial" w:hAnsi="Arial" w:cs="Arial"/>
                <w:sz w:val="16"/>
                <w:szCs w:val="16"/>
              </w:rPr>
              <w:t>56</w:t>
            </w:r>
          </w:p>
        </w:tc>
        <w:tc>
          <w:tcPr>
            <w:tcW w:w="1084" w:type="dxa"/>
            <w:tcBorders>
              <w:top w:val="single" w:sz="4" w:space="0" w:color="auto"/>
            </w:tcBorders>
            <w:noWrap/>
            <w:hideMark/>
          </w:tcPr>
          <w:p w14:paraId="454F374B" w14:textId="3FBE96C8" w:rsidR="00E915EB" w:rsidRPr="004817FD" w:rsidRDefault="00E915EB" w:rsidP="00E915EB">
            <w:pPr>
              <w:tabs>
                <w:tab w:val="left" w:pos="388"/>
                <w:tab w:val="center" w:pos="434"/>
              </w:tabs>
              <w:jc w:val="center"/>
              <w:rPr>
                <w:rFonts w:eastAsia="Times New Roman" w:cstheme="minorHAnsi"/>
                <w:color w:val="000000" w:themeColor="text1"/>
                <w:sz w:val="16"/>
                <w:szCs w:val="16"/>
              </w:rPr>
            </w:pPr>
            <w:r w:rsidRPr="004817FD">
              <w:rPr>
                <w:rFonts w:cstheme="minorHAnsi"/>
                <w:sz w:val="16"/>
                <w:szCs w:val="16"/>
              </w:rPr>
              <w:t>↓</w:t>
            </w:r>
          </w:p>
        </w:tc>
        <w:tc>
          <w:tcPr>
            <w:tcW w:w="4301" w:type="dxa"/>
            <w:tcBorders>
              <w:top w:val="single" w:sz="4" w:space="0" w:color="auto"/>
            </w:tcBorders>
            <w:noWrap/>
            <w:hideMark/>
          </w:tcPr>
          <w:p w14:paraId="7352E6D4" w14:textId="38101A77"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Blood metabolite levels (4-acetamidobutanoate)</w:t>
            </w:r>
          </w:p>
        </w:tc>
        <w:tc>
          <w:tcPr>
            <w:tcW w:w="3109" w:type="dxa"/>
            <w:tcBorders>
              <w:top w:val="single" w:sz="4" w:space="0" w:color="auto"/>
            </w:tcBorders>
            <w:noWrap/>
            <w:hideMark/>
          </w:tcPr>
          <w:p w14:paraId="4E6E4E7F" w14:textId="2F6D2FB1"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fldChar w:fldCharType="begin"/>
            </w:r>
            <w:r>
              <w:rPr>
                <w:rFonts w:ascii="Arial" w:eastAsia="Times New Roman" w:hAnsi="Arial" w:cs="Arial"/>
                <w:color w:val="000000" w:themeColor="text1"/>
                <w:sz w:val="16"/>
                <w:szCs w:val="16"/>
              </w:rPr>
              <w:instrText xml:space="preserve"> ADDIN ZOTERO_ITEM CSL_CITATION {"citationID":"hEiVjXaB","properties":{"formattedCitation":"(Shin et al., 2014)","plainCitation":"(Shin et al., 2014)","noteIndex":0},"citationItems":[{"id":"8dHjENI5/LsUnqTFx","uris":["http://zotero.org/users/9763947/items/QS7JIHZA"],"itemData":{"id":295,"type":"article-journal","abstract":"Genome-wide association scans with high-throughput metabolic profiling provide unprecedented insights into how genetic variation influences metabolism and complex disease. Here we report the most comprehensive exploration of genetic loci influencing human metabolism thus far, comprising 7,824 adult individuals from 2 European population studies. We report genome-wide significant associations at 145 metabolic loci and their biochemical connectivity with more than 400 metabolites in human blood. We extensively characterize the resulting in vivo blueprint of metabolism in human blood by integrating it with information on gene expression, heritability and overlap with known loci for complex disorders, inborn errors of metabolism and pharmacological targets. We further developed a database and web-based resources for data mining and results visualization. Our findings provide new insights into the role of inherited variation in blood metabolic diversity and identify potential new opportunities for drug development and for understanding disease.","container-title":"Nature Genetics","DOI":"10.1038/ng.2982","ISSN":"1546-1718","issue":"6","journalAbbreviation":"Nat Genet","language":"eng","note":"PMID: 24816252\nPMCID: PMC4064254","page":"543-550","source":"PubMed","title":"An atlas of genetic influences on human blood metabolites","volume":"46","author":[{"family":"Shin","given":"So-Youn"},{"family":"Fauman","given":"Eric B."},{"family":"Petersen","given":"Ann-Kristin"},{"family":"Krumsiek","given":"Jan"},{"family":"Santos","given":"Rita"},{"family":"Huang","given":"Jie"},{"family":"Arnold","given":"Matthias"},{"family":"Erte","given":"Idil"},{"family":"Forgetta","given":"Vincenzo"},{"family":"Yang","given":"Tsun-Po"},{"family":"Walter","given":"Klaudia"},{"family":"Menni","given":"Cristina"},{"family":"Chen","given":"Lu"},{"family":"Vasquez","given":"Louella"},{"family":"Valdes","given":"Ana M."},{"family":"Hyde","given":"Craig L."},{"family":"Wang","given":"Vicky"},{"family":"Ziemek","given":"Daniel"},{"family":"Roberts","given":"Phoebe"},{"family":"Xi","given":"Li"},{"family":"Grundberg","given":"Elin"},{"literal":"Multiple Tissue Human Expression Resource (MuTHER) Consortium"},{"family":"Waldenberger","given":"Melanie"},{"family":"Richards","given":"J. Brent"},{"family":"Mohney","given":"Robert P."},{"family":"Milburn","given":"Michael V."},{"family":"John","given":"Sally L."},{"family":"Trimmer","given":"Jeff"},{"family":"Theis","given":"Fabian J."},{"family":"Overington","given":"John P."},{"family":"Suhre","given":"Karsten"},{"family":"Brosnan","given":"M. Julia"},{"family":"Gieger","given":"Christian"},{"family":"Kastenmüller","given":"Gabi"},{"family":"Spector","given":"Tim D."},{"family":"Soranzo","given":"Nicole"}],"issued":{"date-parts":[["2014",6]]}}}],"schema":"https://github.com/citation-style-language/schema/raw/master/csl-citation.json"} </w:instrText>
            </w:r>
            <w:r w:rsidRPr="004817FD">
              <w:rPr>
                <w:rFonts w:ascii="Arial" w:eastAsia="Times New Roman" w:hAnsi="Arial" w:cs="Arial"/>
                <w:color w:val="000000" w:themeColor="text1"/>
                <w:sz w:val="16"/>
                <w:szCs w:val="16"/>
              </w:rPr>
              <w:fldChar w:fldCharType="separate"/>
            </w:r>
            <w:r w:rsidRPr="004817FD">
              <w:rPr>
                <w:rFonts w:ascii="Arial" w:hAnsi="Arial" w:cs="Arial"/>
                <w:color w:val="000000" w:themeColor="text1"/>
                <w:sz w:val="16"/>
                <w:szCs w:val="16"/>
              </w:rPr>
              <w:t>(Shin et al., 2014)</w:t>
            </w:r>
            <w:r w:rsidRPr="004817FD">
              <w:rPr>
                <w:rFonts w:ascii="Arial" w:eastAsia="Times New Roman" w:hAnsi="Arial" w:cs="Arial"/>
                <w:color w:val="000000" w:themeColor="text1"/>
                <w:sz w:val="16"/>
                <w:szCs w:val="16"/>
              </w:rPr>
              <w:fldChar w:fldCharType="end"/>
            </w:r>
          </w:p>
        </w:tc>
        <w:tc>
          <w:tcPr>
            <w:tcW w:w="1082" w:type="dxa"/>
            <w:tcBorders>
              <w:top w:val="single" w:sz="4" w:space="0" w:color="auto"/>
            </w:tcBorders>
          </w:tcPr>
          <w:p w14:paraId="71F983AF" w14:textId="665F4865"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8:18401856</w:t>
            </w:r>
          </w:p>
        </w:tc>
      </w:tr>
      <w:tr w:rsidR="00E915EB" w:rsidRPr="004817FD" w14:paraId="01379F83" w14:textId="77777777" w:rsidTr="00E915EB">
        <w:trPr>
          <w:trHeight w:val="300"/>
        </w:trPr>
        <w:tc>
          <w:tcPr>
            <w:tcW w:w="1384" w:type="dxa"/>
            <w:tcBorders>
              <w:bottom w:val="single" w:sz="4" w:space="0" w:color="auto"/>
            </w:tcBorders>
            <w:noWrap/>
          </w:tcPr>
          <w:p w14:paraId="2C7602CD" w14:textId="3B242AE0" w:rsidR="00E915EB" w:rsidRPr="004817FD" w:rsidRDefault="00E915EB" w:rsidP="00E915EB">
            <w:pPr>
              <w:rPr>
                <w:rFonts w:ascii="Arial" w:eastAsia="Times New Roman" w:hAnsi="Arial" w:cs="Arial"/>
                <w:color w:val="000000" w:themeColor="text1"/>
                <w:sz w:val="16"/>
                <w:szCs w:val="16"/>
              </w:rPr>
            </w:pPr>
          </w:p>
        </w:tc>
        <w:tc>
          <w:tcPr>
            <w:tcW w:w="747" w:type="dxa"/>
            <w:tcBorders>
              <w:bottom w:val="single" w:sz="4" w:space="0" w:color="auto"/>
            </w:tcBorders>
          </w:tcPr>
          <w:p w14:paraId="46563922" w14:textId="72C643CE" w:rsidR="00E915EB" w:rsidRPr="004817FD" w:rsidRDefault="00E915EB" w:rsidP="00E915EB">
            <w:pPr>
              <w:jc w:val="center"/>
              <w:rPr>
                <w:rFonts w:ascii="Arial" w:hAnsi="Arial" w:cs="Arial"/>
                <w:color w:val="000000" w:themeColor="text1"/>
                <w:sz w:val="16"/>
                <w:szCs w:val="16"/>
              </w:rPr>
            </w:pPr>
          </w:p>
        </w:tc>
        <w:tc>
          <w:tcPr>
            <w:tcW w:w="852" w:type="dxa"/>
            <w:tcBorders>
              <w:bottom w:val="single" w:sz="4" w:space="0" w:color="auto"/>
            </w:tcBorders>
            <w:noWrap/>
          </w:tcPr>
          <w:p w14:paraId="74DAA2D8" w14:textId="2724A2AA" w:rsidR="00E915EB" w:rsidRPr="004817FD" w:rsidRDefault="00E915EB" w:rsidP="00E915EB">
            <w:pPr>
              <w:jc w:val="cente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T</w:t>
            </w:r>
          </w:p>
        </w:tc>
        <w:tc>
          <w:tcPr>
            <w:tcW w:w="1143" w:type="dxa"/>
            <w:tcBorders>
              <w:bottom w:val="single" w:sz="4" w:space="0" w:color="auto"/>
            </w:tcBorders>
            <w:noWrap/>
          </w:tcPr>
          <w:p w14:paraId="02A61BFA" w14:textId="4381189E"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2 x 10</w:t>
            </w:r>
            <w:r w:rsidRPr="004817FD">
              <w:rPr>
                <w:rFonts w:ascii="Arial" w:eastAsia="Times New Roman" w:hAnsi="Arial" w:cs="Arial"/>
                <w:color w:val="000000" w:themeColor="text1"/>
                <w:sz w:val="16"/>
                <w:szCs w:val="16"/>
                <w:vertAlign w:val="superscript"/>
              </w:rPr>
              <w:t>-10</w:t>
            </w:r>
          </w:p>
        </w:tc>
        <w:tc>
          <w:tcPr>
            <w:tcW w:w="973" w:type="dxa"/>
            <w:tcBorders>
              <w:bottom w:val="single" w:sz="4" w:space="0" w:color="auto"/>
            </w:tcBorders>
          </w:tcPr>
          <w:p w14:paraId="7DD90712" w14:textId="1CC775D7" w:rsidR="00E915EB" w:rsidRPr="004817FD" w:rsidRDefault="00E915EB" w:rsidP="00E915EB">
            <w:pPr>
              <w:tabs>
                <w:tab w:val="left" w:pos="388"/>
                <w:tab w:val="center" w:pos="434"/>
              </w:tabs>
              <w:jc w:val="center"/>
              <w:rPr>
                <w:rFonts w:ascii="Arial" w:hAnsi="Arial" w:cs="Arial"/>
                <w:sz w:val="16"/>
                <w:szCs w:val="16"/>
              </w:rPr>
            </w:pPr>
          </w:p>
        </w:tc>
        <w:tc>
          <w:tcPr>
            <w:tcW w:w="1084" w:type="dxa"/>
            <w:tcBorders>
              <w:bottom w:val="single" w:sz="4" w:space="0" w:color="auto"/>
            </w:tcBorders>
            <w:noWrap/>
          </w:tcPr>
          <w:p w14:paraId="398C01B0" w14:textId="007E06D7" w:rsidR="00E915EB" w:rsidRPr="004817FD" w:rsidRDefault="00E915EB" w:rsidP="00E915EB">
            <w:pPr>
              <w:tabs>
                <w:tab w:val="left" w:pos="388"/>
                <w:tab w:val="center" w:pos="434"/>
              </w:tabs>
              <w:jc w:val="center"/>
              <w:rPr>
                <w:rFonts w:cstheme="minorHAnsi"/>
                <w:sz w:val="16"/>
                <w:szCs w:val="16"/>
              </w:rPr>
            </w:pPr>
            <w:r w:rsidRPr="004817FD">
              <w:rPr>
                <w:rFonts w:cstheme="minorHAnsi"/>
                <w:sz w:val="16"/>
                <w:szCs w:val="16"/>
              </w:rPr>
              <w:t>↓</w:t>
            </w:r>
          </w:p>
        </w:tc>
        <w:tc>
          <w:tcPr>
            <w:tcW w:w="4301" w:type="dxa"/>
            <w:tcBorders>
              <w:bottom w:val="single" w:sz="4" w:space="0" w:color="auto"/>
            </w:tcBorders>
            <w:noWrap/>
          </w:tcPr>
          <w:p w14:paraId="4B299BCC" w14:textId="1A0E7D9F"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t>4-acetamidobutanoate levels (blood)</w:t>
            </w:r>
          </w:p>
        </w:tc>
        <w:tc>
          <w:tcPr>
            <w:tcW w:w="3109" w:type="dxa"/>
            <w:tcBorders>
              <w:bottom w:val="single" w:sz="4" w:space="0" w:color="auto"/>
            </w:tcBorders>
            <w:noWrap/>
          </w:tcPr>
          <w:p w14:paraId="164AD04E" w14:textId="6CC73925" w:rsidR="00E915EB" w:rsidRPr="004817FD" w:rsidRDefault="00E915EB" w:rsidP="00E915EB">
            <w:pPr>
              <w:rPr>
                <w:rFonts w:ascii="Arial" w:eastAsia="Times New Roman" w:hAnsi="Arial" w:cs="Arial"/>
                <w:color w:val="000000" w:themeColor="text1"/>
                <w:sz w:val="16"/>
                <w:szCs w:val="16"/>
              </w:rPr>
            </w:pPr>
            <w:r w:rsidRPr="004817FD">
              <w:rPr>
                <w:rFonts w:ascii="Arial" w:eastAsia="Times New Roman" w:hAnsi="Arial" w:cs="Arial"/>
                <w:color w:val="000000" w:themeColor="text1"/>
                <w:sz w:val="16"/>
                <w:szCs w:val="16"/>
              </w:rPr>
              <w:fldChar w:fldCharType="begin"/>
            </w:r>
            <w:r>
              <w:rPr>
                <w:rFonts w:ascii="Arial" w:eastAsia="Times New Roman" w:hAnsi="Arial" w:cs="Arial"/>
                <w:color w:val="000000" w:themeColor="text1"/>
                <w:sz w:val="16"/>
                <w:szCs w:val="16"/>
              </w:rPr>
              <w:instrText xml:space="preserve"> ADDIN ZOTERO_ITEM CSL_CITATION {"citationID":"Ixew7fMx","properties":{"formattedCitation":"(Rhee et al., 2022)","plainCitation":"(Rhee et al., 2022)","noteIndex":0},"citationItems":[{"id":"8dHjENI5/m9oEYJGV","uris":["http://zotero.org/users/9763947/items/P4ALS7RS"],"itemData":{"id":266,"type":"article-journal","abstract":"Metabolomics genome wide association study (GWAS) help outline the genetic contribution to human metabolism. However, studies to date have focused on relatively healthy, population-based samples of White individuals. Here, we conducted a GWAS of 537 blood metabolites measured in the Chronic Renal Insufficiency Cohort (CRIC) Study, with separate analyses in 822 White and 687 Black study participants. Trans-ethnic meta-analysis was then applied to improve fine-mapping of potential causal variants. Mean estimated glomerular filtration rate was 44.4 and 41.5 mL/min/1.73m2 in the White and Black participants, respectively. There were 45 significant metabolite associations at 19 loci, including novel associations at PYROXD2, PHYHD1, FADS1-3, ACOT2, MYRF, FAAH, and LIPC. The strength of associations was unchanged in models additionally adjusted for estimated glomerular filtration rate and proteinuria, consistent with a direct biochemical effect of gene products on associated metabolites. At several loci, trans-ethnic meta-analysis, which leverages differences in linkage disequilibrium across populations, reduced the number and/or genomic interval spanned by potentially causal single nucleotide polymorphisms compared to fine-mapping in the White participant cohort alone. Across all validated associations, we found strong concordance in effect sizes of the potentially causal single nucleotide polymorphisms between White and Black study participants. Thus, our study identifies novel genetic determinants of blood metabolites in chronic kidney disease, demonstrates the value of diverse cohorts to improve causal inference in metabolomics GWAS, and underscores the shared genetic basis of metabolism across race.","container-title":"Kidney International","DOI":"10.1016/j.kint.2022.01.014","ISSN":"1523-1755","issue":"4","journalAbbreviation":"Kidney Int","language":"eng","note":"PMID: 35120996\nPMCID: PMC8940669","page":"814-823","source":"PubMed","title":"Trans-ethnic genome-wide association study of blood metabolites in the Chronic Renal Insufficiency Cohort (CRIC) study","volume":"101","author":[{"family":"Rhee","given":"Eugene P."},{"family":"Surapaneni","given":"Aditya"},{"family":"Zheng","given":"Zihe"},{"family":"Zhou","given":"Linda"},{"family":"Dutta","given":"Diptavo"},{"family":"Arking","given":"Dan E."},{"family":"Zhang","given":"Jingning"},{"family":"Duong","given":"ThuyVy"},{"family":"Chatterjee","given":"Nilanjan"},{"family":"Luo","given":"Shengyuan"},{"family":"Schlosser","given":"Pascal"},{"family":"Mehta","given":"Rupal"},{"family":"Waikar","given":"Sushrut S."},{"family":"Saraf","given":"Santosh L."},{"family":"Kelly","given":"Tanika N."},{"family":"Hamm","given":"Lee L."},{"family":"Rao","given":"Panduranga S."},{"family":"Mathew","given":"Anna V."},{"family":"Hsu","given":"Chi-Yuan"},{"family":"Parsa","given":"Afshin"},{"family":"Vasan","given":"Ramachandran S."},{"family":"Kimmel","given":"Paul L."},{"family":"Clish","given":"Clary B."},{"family":"Coresh","given":"Josef"},{"family":"Feldman","given":"Harold I."},{"family":"Grams","given":"Morgan E."},{"literal":"CKD Biomarkers Consortium and the Chronic Renal Insufficiency Cohort (CRIC) Study Investigators"}],"issued":{"date-parts":[["2022",4]]}}}],"schema":"https://github.com/citation-style-language/schema/raw/master/csl-citation.json"} </w:instrText>
            </w:r>
            <w:r w:rsidRPr="004817FD">
              <w:rPr>
                <w:rFonts w:ascii="Arial" w:eastAsia="Times New Roman" w:hAnsi="Arial" w:cs="Arial"/>
                <w:color w:val="000000" w:themeColor="text1"/>
                <w:sz w:val="16"/>
                <w:szCs w:val="16"/>
              </w:rPr>
              <w:fldChar w:fldCharType="separate"/>
            </w:r>
            <w:r w:rsidRPr="004817FD">
              <w:rPr>
                <w:rFonts w:ascii="Arial" w:hAnsi="Arial" w:cs="Arial"/>
                <w:color w:val="000000" w:themeColor="text1"/>
                <w:sz w:val="16"/>
                <w:szCs w:val="16"/>
              </w:rPr>
              <w:t>(Rhee et al., 2022)</w:t>
            </w:r>
            <w:r w:rsidRPr="004817FD">
              <w:rPr>
                <w:rFonts w:ascii="Arial" w:eastAsia="Times New Roman" w:hAnsi="Arial" w:cs="Arial"/>
                <w:color w:val="000000" w:themeColor="text1"/>
                <w:sz w:val="16"/>
                <w:szCs w:val="16"/>
              </w:rPr>
              <w:fldChar w:fldCharType="end"/>
            </w:r>
          </w:p>
        </w:tc>
        <w:tc>
          <w:tcPr>
            <w:tcW w:w="1082" w:type="dxa"/>
            <w:tcBorders>
              <w:bottom w:val="single" w:sz="4" w:space="0" w:color="auto"/>
            </w:tcBorders>
          </w:tcPr>
          <w:p w14:paraId="4F260917" w14:textId="2ED59B36" w:rsidR="00E915EB" w:rsidRPr="004817FD" w:rsidRDefault="00E915EB" w:rsidP="00E915EB">
            <w:pPr>
              <w:rPr>
                <w:rFonts w:ascii="Arial" w:eastAsia="Times New Roman" w:hAnsi="Arial" w:cs="Arial"/>
                <w:color w:val="000000" w:themeColor="text1"/>
                <w:sz w:val="16"/>
                <w:szCs w:val="16"/>
              </w:rPr>
            </w:pPr>
          </w:p>
        </w:tc>
      </w:tr>
      <w:tr w:rsidR="00E915EB" w:rsidRPr="004817FD" w14:paraId="36779761" w14:textId="5600DC65" w:rsidTr="00E915EB">
        <w:trPr>
          <w:trHeight w:val="300"/>
        </w:trPr>
        <w:tc>
          <w:tcPr>
            <w:tcW w:w="1384" w:type="dxa"/>
            <w:tcBorders>
              <w:top w:val="single" w:sz="4" w:space="0" w:color="auto"/>
            </w:tcBorders>
            <w:noWrap/>
          </w:tcPr>
          <w:p w14:paraId="5F6A8246" w14:textId="5CBE80A6" w:rsidR="00E915EB" w:rsidRPr="004817FD" w:rsidRDefault="00E915EB" w:rsidP="00E915EB">
            <w:pPr>
              <w:rPr>
                <w:rFonts w:ascii="Arial" w:eastAsia="Times New Roman" w:hAnsi="Arial" w:cs="Arial"/>
                <w:color w:val="000000" w:themeColor="text1"/>
                <w:sz w:val="16"/>
                <w:szCs w:val="16"/>
              </w:rPr>
            </w:pPr>
          </w:p>
        </w:tc>
        <w:tc>
          <w:tcPr>
            <w:tcW w:w="747" w:type="dxa"/>
            <w:tcBorders>
              <w:top w:val="single" w:sz="4" w:space="0" w:color="auto"/>
            </w:tcBorders>
          </w:tcPr>
          <w:p w14:paraId="2BE8DC43" w14:textId="71F846BC" w:rsidR="00E915EB" w:rsidRPr="004817FD" w:rsidRDefault="00E915EB" w:rsidP="00E915EB">
            <w:pPr>
              <w:jc w:val="center"/>
              <w:rPr>
                <w:rFonts w:ascii="Arial" w:eastAsia="Times New Roman" w:hAnsi="Arial" w:cs="Arial"/>
                <w:color w:val="000000" w:themeColor="text1"/>
                <w:sz w:val="16"/>
                <w:szCs w:val="16"/>
              </w:rPr>
            </w:pPr>
          </w:p>
        </w:tc>
        <w:tc>
          <w:tcPr>
            <w:tcW w:w="852" w:type="dxa"/>
            <w:tcBorders>
              <w:top w:val="single" w:sz="4" w:space="0" w:color="auto"/>
            </w:tcBorders>
            <w:noWrap/>
          </w:tcPr>
          <w:p w14:paraId="1414983D" w14:textId="11B91197" w:rsidR="00E915EB" w:rsidRPr="004817FD" w:rsidRDefault="00E915EB" w:rsidP="00E915EB">
            <w:pPr>
              <w:jc w:val="center"/>
              <w:rPr>
                <w:rFonts w:ascii="Arial" w:eastAsia="Times New Roman" w:hAnsi="Arial" w:cs="Arial"/>
                <w:color w:val="000000" w:themeColor="text1"/>
                <w:sz w:val="16"/>
                <w:szCs w:val="16"/>
              </w:rPr>
            </w:pPr>
          </w:p>
        </w:tc>
        <w:tc>
          <w:tcPr>
            <w:tcW w:w="1143" w:type="dxa"/>
            <w:tcBorders>
              <w:top w:val="single" w:sz="4" w:space="0" w:color="auto"/>
            </w:tcBorders>
            <w:noWrap/>
          </w:tcPr>
          <w:p w14:paraId="752129B5" w14:textId="4DCB77A0" w:rsidR="00E915EB" w:rsidRPr="004817FD" w:rsidRDefault="00E915EB" w:rsidP="00E915EB">
            <w:pPr>
              <w:rPr>
                <w:rFonts w:ascii="Arial" w:eastAsia="Times New Roman" w:hAnsi="Arial" w:cs="Arial"/>
                <w:color w:val="000000" w:themeColor="text1"/>
                <w:sz w:val="16"/>
                <w:szCs w:val="16"/>
              </w:rPr>
            </w:pPr>
          </w:p>
        </w:tc>
        <w:tc>
          <w:tcPr>
            <w:tcW w:w="973" w:type="dxa"/>
            <w:tcBorders>
              <w:top w:val="single" w:sz="4" w:space="0" w:color="auto"/>
            </w:tcBorders>
          </w:tcPr>
          <w:p w14:paraId="0C6F7542" w14:textId="77777777" w:rsidR="00E915EB" w:rsidRPr="004817FD" w:rsidRDefault="00E915EB" w:rsidP="00E915EB">
            <w:pPr>
              <w:jc w:val="center"/>
              <w:rPr>
                <w:rFonts w:ascii="Arial" w:eastAsia="Times New Roman" w:hAnsi="Arial" w:cs="Arial"/>
                <w:color w:val="000000" w:themeColor="text1"/>
                <w:sz w:val="16"/>
                <w:szCs w:val="16"/>
              </w:rPr>
            </w:pPr>
          </w:p>
        </w:tc>
        <w:tc>
          <w:tcPr>
            <w:tcW w:w="1084" w:type="dxa"/>
            <w:tcBorders>
              <w:top w:val="single" w:sz="4" w:space="0" w:color="auto"/>
            </w:tcBorders>
            <w:noWrap/>
          </w:tcPr>
          <w:p w14:paraId="76AA1CF4" w14:textId="4C524D62" w:rsidR="00E915EB" w:rsidRPr="004817FD" w:rsidRDefault="00E915EB" w:rsidP="00E915EB">
            <w:pPr>
              <w:jc w:val="center"/>
              <w:rPr>
                <w:rFonts w:ascii="Arial" w:eastAsia="Times New Roman" w:hAnsi="Arial" w:cs="Arial"/>
                <w:color w:val="000000" w:themeColor="text1"/>
                <w:sz w:val="16"/>
                <w:szCs w:val="16"/>
              </w:rPr>
            </w:pPr>
          </w:p>
        </w:tc>
        <w:tc>
          <w:tcPr>
            <w:tcW w:w="4301" w:type="dxa"/>
            <w:tcBorders>
              <w:top w:val="single" w:sz="4" w:space="0" w:color="auto"/>
            </w:tcBorders>
            <w:noWrap/>
          </w:tcPr>
          <w:p w14:paraId="7AAE401C" w14:textId="0580F282" w:rsidR="00E915EB" w:rsidRPr="004817FD" w:rsidRDefault="00E915EB" w:rsidP="00E915EB">
            <w:pPr>
              <w:rPr>
                <w:rFonts w:ascii="Arial" w:eastAsia="Times New Roman" w:hAnsi="Arial" w:cs="Arial"/>
                <w:color w:val="000000" w:themeColor="text1"/>
                <w:sz w:val="16"/>
                <w:szCs w:val="16"/>
              </w:rPr>
            </w:pPr>
          </w:p>
        </w:tc>
        <w:tc>
          <w:tcPr>
            <w:tcW w:w="3109" w:type="dxa"/>
            <w:tcBorders>
              <w:top w:val="single" w:sz="4" w:space="0" w:color="auto"/>
            </w:tcBorders>
            <w:noWrap/>
          </w:tcPr>
          <w:p w14:paraId="09DE7693" w14:textId="079F4E06" w:rsidR="00E915EB" w:rsidRPr="004817FD" w:rsidRDefault="00E915EB" w:rsidP="00E915EB">
            <w:pPr>
              <w:rPr>
                <w:rFonts w:ascii="Arial" w:eastAsia="Times New Roman" w:hAnsi="Arial" w:cs="Arial"/>
                <w:color w:val="000000" w:themeColor="text1"/>
                <w:sz w:val="16"/>
                <w:szCs w:val="16"/>
              </w:rPr>
            </w:pPr>
          </w:p>
        </w:tc>
        <w:tc>
          <w:tcPr>
            <w:tcW w:w="1082" w:type="dxa"/>
            <w:tcBorders>
              <w:top w:val="single" w:sz="4" w:space="0" w:color="auto"/>
            </w:tcBorders>
          </w:tcPr>
          <w:p w14:paraId="7A13EC93" w14:textId="6ACE4E50" w:rsidR="00E915EB" w:rsidRPr="004817FD" w:rsidRDefault="00E915EB" w:rsidP="00E915EB">
            <w:pPr>
              <w:rPr>
                <w:rFonts w:ascii="Arial" w:eastAsia="Times New Roman" w:hAnsi="Arial" w:cs="Arial"/>
                <w:color w:val="000000" w:themeColor="text1"/>
                <w:sz w:val="16"/>
                <w:szCs w:val="16"/>
              </w:rPr>
            </w:pPr>
          </w:p>
        </w:tc>
      </w:tr>
    </w:tbl>
    <w:p w14:paraId="7A2D48D9" w14:textId="77777777" w:rsidR="00F833EB" w:rsidRPr="00FE60FE" w:rsidRDefault="00F833EB" w:rsidP="00F833EB">
      <w:pPr>
        <w:jc w:val="both"/>
        <w:rPr>
          <w:rFonts w:ascii="Arial" w:hAnsi="Arial" w:cs="Arial"/>
          <w:color w:val="000000" w:themeColor="text1"/>
          <w:sz w:val="20"/>
          <w:szCs w:val="20"/>
        </w:rPr>
      </w:pPr>
      <w:r w:rsidRPr="00FE60FE">
        <w:rPr>
          <w:rFonts w:ascii="Arial" w:hAnsi="Arial" w:cs="Arial"/>
          <w:color w:val="000000" w:themeColor="text1"/>
          <w:sz w:val="20"/>
          <w:szCs w:val="20"/>
        </w:rPr>
        <w:t>*, Based on 1000 Genomes Project (phase 3)</w:t>
      </w:r>
    </w:p>
    <w:p w14:paraId="259F906E" w14:textId="7258198C" w:rsidR="00AD3979" w:rsidRDefault="00547323" w:rsidP="00191113">
      <w:pPr>
        <w:pStyle w:val="Bibliography"/>
        <w:rPr>
          <w:rFonts w:ascii="Arial" w:hAnsi="Arial" w:cs="Arial"/>
          <w:color w:val="000000" w:themeColor="text1"/>
          <w:sz w:val="20"/>
          <w:szCs w:val="20"/>
        </w:rPr>
      </w:pPr>
      <w:r w:rsidRPr="004817FD">
        <w:rPr>
          <w:rFonts w:ascii="Arial" w:hAnsi="Arial" w:cs="Arial"/>
          <w:color w:val="000000" w:themeColor="text1"/>
          <w:sz w:val="20"/>
          <w:szCs w:val="20"/>
        </w:rPr>
        <w:t>†, Human GRCh38/hg38</w:t>
      </w:r>
    </w:p>
    <w:p w14:paraId="5AEA1E8F" w14:textId="64CD24F4" w:rsidR="004817FD" w:rsidRDefault="004817FD" w:rsidP="004817FD">
      <w:pPr>
        <w:rPr>
          <w:rFonts w:ascii="Arial" w:hAnsi="Arial" w:cs="Arial"/>
          <w:sz w:val="20"/>
          <w:szCs w:val="20"/>
        </w:rPr>
      </w:pPr>
      <w:r w:rsidRPr="00963998">
        <w:rPr>
          <w:rFonts w:ascii="Arial" w:hAnsi="Arial" w:cs="Arial"/>
          <w:sz w:val="20"/>
          <w:szCs w:val="20"/>
        </w:rPr>
        <w:t>RAF, relative allele frequency. NR, not reported. NA, not available.</w:t>
      </w:r>
    </w:p>
    <w:p w14:paraId="65497DF6" w14:textId="1C126B33" w:rsidR="00061C8E" w:rsidRDefault="00F87F02" w:rsidP="00191113">
      <w:pPr>
        <w:rPr>
          <w:rFonts w:ascii="Arial" w:hAnsi="Arial" w:cs="Arial"/>
          <w:color w:val="000000" w:themeColor="text1"/>
          <w:sz w:val="20"/>
          <w:szCs w:val="20"/>
        </w:rPr>
      </w:pPr>
      <w:r>
        <w:rPr>
          <w:rFonts w:ascii="Arial" w:hAnsi="Arial" w:cs="Arial"/>
          <w:color w:val="000000" w:themeColor="text1"/>
          <w:sz w:val="20"/>
          <w:szCs w:val="20"/>
        </w:rPr>
        <w:t>Ins, insertion</w:t>
      </w:r>
    </w:p>
    <w:p w14:paraId="09A7458B" w14:textId="77777777" w:rsidR="001C642B" w:rsidRPr="004817FD" w:rsidRDefault="001C642B" w:rsidP="00191113">
      <w:pPr>
        <w:rPr>
          <w:rFonts w:ascii="Arial" w:hAnsi="Arial" w:cs="Arial"/>
          <w:color w:val="000000" w:themeColor="text1"/>
          <w:sz w:val="20"/>
          <w:szCs w:val="20"/>
        </w:rPr>
      </w:pPr>
    </w:p>
    <w:p w14:paraId="49C73A51" w14:textId="0E581C7C" w:rsidR="00AD3979" w:rsidRPr="004817FD" w:rsidRDefault="00061C8E" w:rsidP="00191113">
      <w:pPr>
        <w:pStyle w:val="Bibliography"/>
        <w:ind w:left="0" w:firstLine="0"/>
        <w:rPr>
          <w:rFonts w:ascii="Arial" w:hAnsi="Arial" w:cs="Arial"/>
          <w:b/>
          <w:color w:val="000000" w:themeColor="text1"/>
          <w:sz w:val="20"/>
          <w:szCs w:val="20"/>
        </w:rPr>
      </w:pPr>
      <w:r w:rsidRPr="004817FD">
        <w:rPr>
          <w:rFonts w:ascii="Arial" w:hAnsi="Arial" w:cs="Arial"/>
          <w:b/>
          <w:color w:val="000000" w:themeColor="text1"/>
          <w:sz w:val="20"/>
          <w:szCs w:val="20"/>
        </w:rPr>
        <w:t>References</w:t>
      </w:r>
    </w:p>
    <w:p w14:paraId="601C6D15" w14:textId="77777777" w:rsidR="000C28EC" w:rsidRPr="000C28EC" w:rsidRDefault="0032128C" w:rsidP="000C28EC">
      <w:pPr>
        <w:pStyle w:val="Bibliography"/>
        <w:rPr>
          <w:rFonts w:ascii="Arial" w:hAnsi="Arial" w:cs="Arial"/>
          <w:sz w:val="20"/>
        </w:rPr>
      </w:pPr>
      <w:r w:rsidRPr="004817FD">
        <w:rPr>
          <w:rFonts w:ascii="Arial" w:hAnsi="Arial" w:cs="Arial"/>
          <w:color w:val="000000" w:themeColor="text1"/>
          <w:sz w:val="20"/>
          <w:szCs w:val="20"/>
        </w:rPr>
        <w:fldChar w:fldCharType="begin"/>
      </w:r>
      <w:r w:rsidR="00061C8E" w:rsidRPr="004817FD">
        <w:rPr>
          <w:rFonts w:ascii="Arial" w:hAnsi="Arial" w:cs="Arial"/>
          <w:color w:val="000000" w:themeColor="text1"/>
          <w:sz w:val="20"/>
          <w:szCs w:val="20"/>
        </w:rPr>
        <w:instrText xml:space="preserve"> ADDIN ZOTERO_BIBL {"uncited":[],"omitted":[],"custom":[]} CSL_BIBLIOGRAPHY </w:instrText>
      </w:r>
      <w:r w:rsidRPr="004817FD">
        <w:rPr>
          <w:rFonts w:ascii="Arial" w:hAnsi="Arial" w:cs="Arial"/>
          <w:color w:val="000000" w:themeColor="text1"/>
          <w:sz w:val="20"/>
          <w:szCs w:val="20"/>
        </w:rPr>
        <w:fldChar w:fldCharType="separate"/>
      </w:r>
      <w:r w:rsidR="000C28EC" w:rsidRPr="000C28EC">
        <w:rPr>
          <w:rFonts w:ascii="Arial" w:hAnsi="Arial" w:cs="Arial"/>
          <w:sz w:val="20"/>
        </w:rPr>
        <w:t xml:space="preserve">Avery, C. L., Sitlani, C. M., Arking, D. E., Arnett, D. K., Bis, J. C., Boerwinkle, E., et al. (2014). Drug-gene interactions and the search for missing heritability: a cross-sectional pharmacogenomics study of the QT interval. </w:t>
      </w:r>
      <w:r w:rsidR="000C28EC" w:rsidRPr="000C28EC">
        <w:rPr>
          <w:rFonts w:ascii="Arial" w:hAnsi="Arial" w:cs="Arial"/>
          <w:i/>
          <w:iCs/>
          <w:sz w:val="20"/>
        </w:rPr>
        <w:t>Pharmacogenomics J.</w:t>
      </w:r>
      <w:r w:rsidR="000C28EC" w:rsidRPr="000C28EC">
        <w:rPr>
          <w:rFonts w:ascii="Arial" w:hAnsi="Arial" w:cs="Arial"/>
          <w:sz w:val="20"/>
        </w:rPr>
        <w:t xml:space="preserve"> 14, 6–13. doi: 10.1038/tpj.2013.4.</w:t>
      </w:r>
    </w:p>
    <w:p w14:paraId="3D91B0E5" w14:textId="77777777" w:rsidR="000C28EC" w:rsidRPr="000C28EC" w:rsidRDefault="000C28EC" w:rsidP="000C28EC">
      <w:pPr>
        <w:pStyle w:val="Bibliography"/>
        <w:rPr>
          <w:rFonts w:ascii="Arial" w:hAnsi="Arial" w:cs="Arial"/>
          <w:sz w:val="20"/>
        </w:rPr>
      </w:pPr>
      <w:r w:rsidRPr="000C28EC">
        <w:rPr>
          <w:rFonts w:ascii="Arial" w:hAnsi="Arial" w:cs="Arial"/>
          <w:sz w:val="20"/>
        </w:rPr>
        <w:t xml:space="preserve">Bar, N., Korem, T., Weissbrod, O., Zeevi, D., Rothschild, D., Leviatan, S., et al. (2020). A reference map of potential determinants for the human serum metabolome. </w:t>
      </w:r>
      <w:r w:rsidRPr="000C28EC">
        <w:rPr>
          <w:rFonts w:ascii="Arial" w:hAnsi="Arial" w:cs="Arial"/>
          <w:i/>
          <w:iCs/>
          <w:sz w:val="20"/>
        </w:rPr>
        <w:t>Nature</w:t>
      </w:r>
      <w:r w:rsidRPr="000C28EC">
        <w:rPr>
          <w:rFonts w:ascii="Arial" w:hAnsi="Arial" w:cs="Arial"/>
          <w:sz w:val="20"/>
        </w:rPr>
        <w:t xml:space="preserve"> 588, 135–140. doi: 10.1038/s41586-020-2896-2.</w:t>
      </w:r>
    </w:p>
    <w:p w14:paraId="193C1B1C" w14:textId="77777777" w:rsidR="000C28EC" w:rsidRPr="000C28EC" w:rsidRDefault="000C28EC" w:rsidP="000C28EC">
      <w:pPr>
        <w:pStyle w:val="Bibliography"/>
        <w:rPr>
          <w:rFonts w:ascii="Arial" w:hAnsi="Arial" w:cs="Arial"/>
          <w:sz w:val="20"/>
        </w:rPr>
      </w:pPr>
      <w:r w:rsidRPr="000C28EC">
        <w:rPr>
          <w:rFonts w:ascii="Arial" w:hAnsi="Arial" w:cs="Arial"/>
          <w:sz w:val="20"/>
        </w:rPr>
        <w:t xml:space="preserve">Bell, S., Rigas, A. S., Magnusson, M. K., Ferkingstad, E., Allara, E., Bjornsdottir, G., et al. (2021). A genome-wide meta-analysis yields 46 new loci associating with biomarkers of iron homeostasis. </w:t>
      </w:r>
      <w:r w:rsidRPr="000C28EC">
        <w:rPr>
          <w:rFonts w:ascii="Arial" w:hAnsi="Arial" w:cs="Arial"/>
          <w:i/>
          <w:iCs/>
          <w:sz w:val="20"/>
        </w:rPr>
        <w:t>Commun. Biol.</w:t>
      </w:r>
      <w:r w:rsidRPr="000C28EC">
        <w:rPr>
          <w:rFonts w:ascii="Arial" w:hAnsi="Arial" w:cs="Arial"/>
          <w:sz w:val="20"/>
        </w:rPr>
        <w:t xml:space="preserve"> 4, 156. doi: 10.1038/s42003-020-01575-z.</w:t>
      </w:r>
    </w:p>
    <w:p w14:paraId="31E8B373" w14:textId="77777777" w:rsidR="000C28EC" w:rsidRPr="000C28EC" w:rsidRDefault="000C28EC" w:rsidP="000C28EC">
      <w:pPr>
        <w:pStyle w:val="Bibliography"/>
        <w:rPr>
          <w:rFonts w:ascii="Arial" w:hAnsi="Arial" w:cs="Arial"/>
          <w:sz w:val="20"/>
        </w:rPr>
      </w:pPr>
      <w:r w:rsidRPr="000C28EC">
        <w:rPr>
          <w:rFonts w:ascii="Arial" w:hAnsi="Arial" w:cs="Arial"/>
          <w:sz w:val="20"/>
        </w:rPr>
        <w:t xml:space="preserve">Chen, M.-H., Raffield, L. M., Mousas, A., Sakaue, S., Huffman, J. E., Moscati, A., et al. (2020). Trans-ethnic and Ancestry-Specific Blood-Cell Genetics in 746,667 Individuals from 5 Global Populations. </w:t>
      </w:r>
      <w:r w:rsidRPr="000C28EC">
        <w:rPr>
          <w:rFonts w:ascii="Arial" w:hAnsi="Arial" w:cs="Arial"/>
          <w:i/>
          <w:iCs/>
          <w:sz w:val="20"/>
        </w:rPr>
        <w:t>Cell</w:t>
      </w:r>
      <w:r w:rsidRPr="000C28EC">
        <w:rPr>
          <w:rFonts w:ascii="Arial" w:hAnsi="Arial" w:cs="Arial"/>
          <w:sz w:val="20"/>
        </w:rPr>
        <w:t xml:space="preserve"> 182, 1198-1213.e14. doi: 10.1016/j.cell.2020.06.045.</w:t>
      </w:r>
    </w:p>
    <w:p w14:paraId="4739180C" w14:textId="77777777" w:rsidR="000C28EC" w:rsidRPr="000C28EC" w:rsidRDefault="000C28EC" w:rsidP="000C28EC">
      <w:pPr>
        <w:pStyle w:val="Bibliography"/>
        <w:rPr>
          <w:rFonts w:ascii="Arial" w:hAnsi="Arial" w:cs="Arial"/>
          <w:sz w:val="20"/>
        </w:rPr>
      </w:pPr>
      <w:r w:rsidRPr="000C28EC">
        <w:rPr>
          <w:rFonts w:ascii="Arial" w:hAnsi="Arial" w:cs="Arial"/>
          <w:sz w:val="20"/>
        </w:rPr>
        <w:lastRenderedPageBreak/>
        <w:t xml:space="preserve">Donati, G., Dumontheil, I., Pain, O., Asbury, K., and Meaburn, E. L. (2021). Evidence for specificity of polygenic contributions to attainment in English, maths and science during adolescence. </w:t>
      </w:r>
      <w:r w:rsidRPr="000C28EC">
        <w:rPr>
          <w:rFonts w:ascii="Arial" w:hAnsi="Arial" w:cs="Arial"/>
          <w:i/>
          <w:iCs/>
          <w:sz w:val="20"/>
        </w:rPr>
        <w:t>Sci. Rep.</w:t>
      </w:r>
      <w:r w:rsidRPr="000C28EC">
        <w:rPr>
          <w:rFonts w:ascii="Arial" w:hAnsi="Arial" w:cs="Arial"/>
          <w:sz w:val="20"/>
        </w:rPr>
        <w:t xml:space="preserve"> 11, 3851. doi: 10.1038/s41598-021-82877-y.</w:t>
      </w:r>
    </w:p>
    <w:p w14:paraId="745C52F5" w14:textId="77777777" w:rsidR="000C28EC" w:rsidRPr="000C28EC" w:rsidRDefault="000C28EC" w:rsidP="000C28EC">
      <w:pPr>
        <w:pStyle w:val="Bibliography"/>
        <w:rPr>
          <w:rFonts w:ascii="Arial" w:hAnsi="Arial" w:cs="Arial"/>
          <w:sz w:val="20"/>
        </w:rPr>
      </w:pPr>
      <w:r w:rsidRPr="000C28EC">
        <w:rPr>
          <w:rFonts w:ascii="Arial" w:hAnsi="Arial" w:cs="Arial"/>
          <w:sz w:val="20"/>
        </w:rPr>
        <w:t xml:space="preserve">Feofanova, E. V., Chen, H., Dai, Y., Jia, P., Grove, M. L., Morrison, A. C., et al. (2020). A Genome-wide Association Study Discovers 46 Loci of the Human Metabolome in the Hispanic Community Health Study/Study of Latinos. </w:t>
      </w:r>
      <w:r w:rsidRPr="000C28EC">
        <w:rPr>
          <w:rFonts w:ascii="Arial" w:hAnsi="Arial" w:cs="Arial"/>
          <w:i/>
          <w:iCs/>
          <w:sz w:val="20"/>
        </w:rPr>
        <w:t>Am. J. Hum. Genet.</w:t>
      </w:r>
      <w:r w:rsidRPr="000C28EC">
        <w:rPr>
          <w:rFonts w:ascii="Arial" w:hAnsi="Arial" w:cs="Arial"/>
          <w:sz w:val="20"/>
        </w:rPr>
        <w:t xml:space="preserve"> 107, 849–863. doi: 10.1016/j.ajhg.2020.09.003.</w:t>
      </w:r>
    </w:p>
    <w:p w14:paraId="14E76F9A" w14:textId="77777777" w:rsidR="000C28EC" w:rsidRPr="000C28EC" w:rsidRDefault="000C28EC" w:rsidP="000C28EC">
      <w:pPr>
        <w:pStyle w:val="Bibliography"/>
        <w:rPr>
          <w:rFonts w:ascii="Arial" w:hAnsi="Arial" w:cs="Arial"/>
          <w:sz w:val="20"/>
        </w:rPr>
      </w:pPr>
      <w:r w:rsidRPr="000C28EC">
        <w:rPr>
          <w:rFonts w:ascii="Arial" w:hAnsi="Arial" w:cs="Arial"/>
          <w:sz w:val="20"/>
        </w:rPr>
        <w:t xml:space="preserve">Figueroa, J. D., Ye, Y., Siddiq, A., Garcia-Closas, M., Chatterjee, N., Prokunina-Olsson, L., et al. (2014). Genome-wide association study identifies multiple loci associated with bladder cancer risk. </w:t>
      </w:r>
      <w:r w:rsidRPr="000C28EC">
        <w:rPr>
          <w:rFonts w:ascii="Arial" w:hAnsi="Arial" w:cs="Arial"/>
          <w:i/>
          <w:iCs/>
          <w:sz w:val="20"/>
        </w:rPr>
        <w:t>Hum. Mol. Genet.</w:t>
      </w:r>
      <w:r w:rsidRPr="000C28EC">
        <w:rPr>
          <w:rFonts w:ascii="Arial" w:hAnsi="Arial" w:cs="Arial"/>
          <w:sz w:val="20"/>
        </w:rPr>
        <w:t xml:space="preserve"> 23, 1387–1398. doi: 10.1093/hmg/ddt519.</w:t>
      </w:r>
    </w:p>
    <w:p w14:paraId="0DB11E52" w14:textId="77777777" w:rsidR="000C28EC" w:rsidRPr="000C28EC" w:rsidRDefault="000C28EC" w:rsidP="000C28EC">
      <w:pPr>
        <w:pStyle w:val="Bibliography"/>
        <w:rPr>
          <w:rFonts w:ascii="Arial" w:hAnsi="Arial" w:cs="Arial"/>
          <w:sz w:val="20"/>
        </w:rPr>
      </w:pPr>
      <w:r w:rsidRPr="000C28EC">
        <w:rPr>
          <w:rFonts w:ascii="Arial" w:hAnsi="Arial" w:cs="Arial"/>
          <w:sz w:val="20"/>
        </w:rPr>
        <w:t xml:space="preserve">Han, X., Ong, J.-S., An, J., Hewitt, A. W., Gharahkhani, P., and MacGregor, S. (2020). Using Mendelian randomization to evaluate the causal relationship between serum C-reactive protein levels and age-related macular degeneration. </w:t>
      </w:r>
      <w:r w:rsidRPr="000C28EC">
        <w:rPr>
          <w:rFonts w:ascii="Arial" w:hAnsi="Arial" w:cs="Arial"/>
          <w:i/>
          <w:iCs/>
          <w:sz w:val="20"/>
        </w:rPr>
        <w:t>Eur. J. Epidemiol.</w:t>
      </w:r>
      <w:r w:rsidRPr="000C28EC">
        <w:rPr>
          <w:rFonts w:ascii="Arial" w:hAnsi="Arial" w:cs="Arial"/>
          <w:sz w:val="20"/>
        </w:rPr>
        <w:t xml:space="preserve"> 35, 139–146. doi: 10.1007/s10654-019-00598-z.</w:t>
      </w:r>
    </w:p>
    <w:p w14:paraId="5EE4EC2E" w14:textId="77777777" w:rsidR="000C28EC" w:rsidRPr="000C28EC" w:rsidRDefault="000C28EC" w:rsidP="000C28EC">
      <w:pPr>
        <w:pStyle w:val="Bibliography"/>
        <w:rPr>
          <w:rFonts w:ascii="Arial" w:hAnsi="Arial" w:cs="Arial"/>
          <w:sz w:val="20"/>
        </w:rPr>
      </w:pPr>
      <w:r w:rsidRPr="000C28EC">
        <w:rPr>
          <w:rFonts w:ascii="Arial" w:hAnsi="Arial" w:cs="Arial"/>
          <w:sz w:val="20"/>
        </w:rPr>
        <w:t xml:space="preserve">Krumsiek, J., Suhre, K., Evans, A. M., Mitchell, M. W., Mohney, R. P., Milburn, M. V., et al. (2012). Mining the unknown: a systems approach to metabolite identification combining genetic and metabolic information. </w:t>
      </w:r>
      <w:r w:rsidRPr="000C28EC">
        <w:rPr>
          <w:rFonts w:ascii="Arial" w:hAnsi="Arial" w:cs="Arial"/>
          <w:i/>
          <w:iCs/>
          <w:sz w:val="20"/>
        </w:rPr>
        <w:t>PLoS Genet.</w:t>
      </w:r>
      <w:r w:rsidRPr="000C28EC">
        <w:rPr>
          <w:rFonts w:ascii="Arial" w:hAnsi="Arial" w:cs="Arial"/>
          <w:sz w:val="20"/>
        </w:rPr>
        <w:t xml:space="preserve"> 8, e1003005. doi: 10.1371/journal.pgen.1003005.</w:t>
      </w:r>
    </w:p>
    <w:p w14:paraId="0F4589FD" w14:textId="77777777" w:rsidR="000C28EC" w:rsidRPr="000C28EC" w:rsidRDefault="000C28EC" w:rsidP="000C28EC">
      <w:pPr>
        <w:pStyle w:val="Bibliography"/>
        <w:rPr>
          <w:rFonts w:ascii="Arial" w:hAnsi="Arial" w:cs="Arial"/>
          <w:sz w:val="20"/>
        </w:rPr>
      </w:pPr>
      <w:r w:rsidRPr="000C28EC">
        <w:rPr>
          <w:rFonts w:ascii="Arial" w:hAnsi="Arial" w:cs="Arial"/>
          <w:sz w:val="20"/>
        </w:rPr>
        <w:t xml:space="preserve">Müller, S. H., Girard, S. L., Hopfner, F., Merner, N. D., Bourassa, C. V., Lorenz, D., et al. (2016). Genome-wide association study in essential tremor identifies three new loci. </w:t>
      </w:r>
      <w:r w:rsidRPr="000C28EC">
        <w:rPr>
          <w:rFonts w:ascii="Arial" w:hAnsi="Arial" w:cs="Arial"/>
          <w:i/>
          <w:iCs/>
          <w:sz w:val="20"/>
        </w:rPr>
        <w:t>Brain J. Neurol.</w:t>
      </w:r>
      <w:r w:rsidRPr="000C28EC">
        <w:rPr>
          <w:rFonts w:ascii="Arial" w:hAnsi="Arial" w:cs="Arial"/>
          <w:sz w:val="20"/>
        </w:rPr>
        <w:t xml:space="preserve"> 139, 3163–3169. doi: 10.1093/brain/aww242.</w:t>
      </w:r>
    </w:p>
    <w:p w14:paraId="79CB6A40" w14:textId="77777777" w:rsidR="000C28EC" w:rsidRPr="000C28EC" w:rsidRDefault="000C28EC" w:rsidP="000C28EC">
      <w:pPr>
        <w:pStyle w:val="Bibliography"/>
        <w:rPr>
          <w:rFonts w:ascii="Arial" w:hAnsi="Arial" w:cs="Arial"/>
          <w:sz w:val="20"/>
        </w:rPr>
      </w:pPr>
      <w:r w:rsidRPr="000C28EC">
        <w:rPr>
          <w:rFonts w:ascii="Arial" w:hAnsi="Arial" w:cs="Arial"/>
          <w:sz w:val="20"/>
        </w:rPr>
        <w:t xml:space="preserve">Pazoki, R., Vujkovic, M., Elliott, J., Evangelou, E., Gill, D., Ghanbari, M., et al. (2021). Genetic analysis in European ancestry individuals identifies 517 loci associated with liver enzymes. </w:t>
      </w:r>
      <w:r w:rsidRPr="000C28EC">
        <w:rPr>
          <w:rFonts w:ascii="Arial" w:hAnsi="Arial" w:cs="Arial"/>
          <w:i/>
          <w:iCs/>
          <w:sz w:val="20"/>
        </w:rPr>
        <w:t>Nat. Commun.</w:t>
      </w:r>
      <w:r w:rsidRPr="000C28EC">
        <w:rPr>
          <w:rFonts w:ascii="Arial" w:hAnsi="Arial" w:cs="Arial"/>
          <w:sz w:val="20"/>
        </w:rPr>
        <w:t xml:space="preserve"> 12, 2579. doi: 10.1038/s41467-021-22338-2.</w:t>
      </w:r>
    </w:p>
    <w:p w14:paraId="0BB81410" w14:textId="77777777" w:rsidR="000C28EC" w:rsidRPr="000C28EC" w:rsidRDefault="000C28EC" w:rsidP="000C28EC">
      <w:pPr>
        <w:pStyle w:val="Bibliography"/>
        <w:rPr>
          <w:rFonts w:ascii="Arial" w:hAnsi="Arial" w:cs="Arial"/>
          <w:sz w:val="20"/>
        </w:rPr>
      </w:pPr>
      <w:r w:rsidRPr="000C28EC">
        <w:rPr>
          <w:rFonts w:ascii="Arial" w:hAnsi="Arial" w:cs="Arial"/>
          <w:sz w:val="20"/>
        </w:rPr>
        <w:t xml:space="preserve">Raffler, J., Friedrich, N., Arnold, M., Kacprowski, T., Rueedi, R., Altmaier, E., et al. (2015). Genome-Wide Association Study with Targeted and Non-targeted NMR Metabolomics Identifies 15 Novel Loci of Urinary Human Metabolic Individuality. </w:t>
      </w:r>
      <w:r w:rsidRPr="000C28EC">
        <w:rPr>
          <w:rFonts w:ascii="Arial" w:hAnsi="Arial" w:cs="Arial"/>
          <w:i/>
          <w:iCs/>
          <w:sz w:val="20"/>
        </w:rPr>
        <w:t>PLoS Genet.</w:t>
      </w:r>
      <w:r w:rsidRPr="000C28EC">
        <w:rPr>
          <w:rFonts w:ascii="Arial" w:hAnsi="Arial" w:cs="Arial"/>
          <w:sz w:val="20"/>
        </w:rPr>
        <w:t xml:space="preserve"> 11, e1005487. doi: 10.1371/journal.pgen.1005487.</w:t>
      </w:r>
    </w:p>
    <w:p w14:paraId="2FE65233" w14:textId="77777777" w:rsidR="000C28EC" w:rsidRPr="000C28EC" w:rsidRDefault="000C28EC" w:rsidP="000C28EC">
      <w:pPr>
        <w:pStyle w:val="Bibliography"/>
        <w:rPr>
          <w:rFonts w:ascii="Arial" w:hAnsi="Arial" w:cs="Arial"/>
          <w:sz w:val="20"/>
        </w:rPr>
      </w:pPr>
      <w:r w:rsidRPr="000C28EC">
        <w:rPr>
          <w:rFonts w:ascii="Arial" w:hAnsi="Arial" w:cs="Arial"/>
          <w:sz w:val="20"/>
        </w:rPr>
        <w:t xml:space="preserve">Rhee, E. P., Surapaneni, A., Zheng, Z., Zhou, L., Dutta, D., Arking, D. E., et al. (2022). Trans-ethnic genome-wide association study of blood metabolites in the Chronic Renal Insufficiency Cohort (CRIC) study. </w:t>
      </w:r>
      <w:r w:rsidRPr="000C28EC">
        <w:rPr>
          <w:rFonts w:ascii="Arial" w:hAnsi="Arial" w:cs="Arial"/>
          <w:i/>
          <w:iCs/>
          <w:sz w:val="20"/>
        </w:rPr>
        <w:t>Kidney Int.</w:t>
      </w:r>
      <w:r w:rsidRPr="000C28EC">
        <w:rPr>
          <w:rFonts w:ascii="Arial" w:hAnsi="Arial" w:cs="Arial"/>
          <w:sz w:val="20"/>
        </w:rPr>
        <w:t xml:space="preserve"> 101, 814–823. doi: 10.1016/j.kint.2022.01.014.</w:t>
      </w:r>
    </w:p>
    <w:p w14:paraId="31EC44B2" w14:textId="77777777" w:rsidR="000C28EC" w:rsidRPr="000C28EC" w:rsidRDefault="000C28EC" w:rsidP="000C28EC">
      <w:pPr>
        <w:pStyle w:val="Bibliography"/>
        <w:rPr>
          <w:rFonts w:ascii="Arial" w:hAnsi="Arial" w:cs="Arial"/>
          <w:sz w:val="20"/>
        </w:rPr>
      </w:pPr>
      <w:r w:rsidRPr="000C28EC">
        <w:rPr>
          <w:rFonts w:ascii="Arial" w:hAnsi="Arial" w:cs="Arial"/>
          <w:sz w:val="20"/>
        </w:rPr>
        <w:t xml:space="preserve">Roberts, V., Main, B., Timpson, N. J., and Haworth, S. (2020). Genome-Wide Association Study Identifies Genetic Associations with Perceived Age. </w:t>
      </w:r>
      <w:r w:rsidRPr="000C28EC">
        <w:rPr>
          <w:rFonts w:ascii="Arial" w:hAnsi="Arial" w:cs="Arial"/>
          <w:i/>
          <w:iCs/>
          <w:sz w:val="20"/>
        </w:rPr>
        <w:t>J. Invest. Dermatol.</w:t>
      </w:r>
      <w:r w:rsidRPr="000C28EC">
        <w:rPr>
          <w:rFonts w:ascii="Arial" w:hAnsi="Arial" w:cs="Arial"/>
          <w:sz w:val="20"/>
        </w:rPr>
        <w:t xml:space="preserve"> 140, 2380–2385. doi: 10.1016/j.jid.2020.03.970.</w:t>
      </w:r>
    </w:p>
    <w:p w14:paraId="50143628" w14:textId="77777777" w:rsidR="000C28EC" w:rsidRPr="000C28EC" w:rsidRDefault="000C28EC" w:rsidP="000C28EC">
      <w:pPr>
        <w:pStyle w:val="Bibliography"/>
        <w:rPr>
          <w:rFonts w:ascii="Arial" w:hAnsi="Arial" w:cs="Arial"/>
          <w:sz w:val="20"/>
        </w:rPr>
      </w:pPr>
      <w:r w:rsidRPr="000C28EC">
        <w:rPr>
          <w:rFonts w:ascii="Arial" w:hAnsi="Arial" w:cs="Arial"/>
          <w:sz w:val="20"/>
        </w:rPr>
        <w:t xml:space="preserve">Rothman, N., Garcia-Closas, M., Chatterjee, N., Malats, N., Wu, X., Figueroa, J. D., et al. (2010). A multi-stage genome-wide association study of bladder cancer identifies multiple susceptibility loci. </w:t>
      </w:r>
      <w:r w:rsidRPr="000C28EC">
        <w:rPr>
          <w:rFonts w:ascii="Arial" w:hAnsi="Arial" w:cs="Arial"/>
          <w:i/>
          <w:iCs/>
          <w:sz w:val="20"/>
        </w:rPr>
        <w:t>Nat. Genet.</w:t>
      </w:r>
      <w:r w:rsidRPr="000C28EC">
        <w:rPr>
          <w:rFonts w:ascii="Arial" w:hAnsi="Arial" w:cs="Arial"/>
          <w:sz w:val="20"/>
        </w:rPr>
        <w:t xml:space="preserve"> 42, 978–984. doi: 10.1038/ng.687.</w:t>
      </w:r>
    </w:p>
    <w:p w14:paraId="326E800A" w14:textId="77777777" w:rsidR="000C28EC" w:rsidRPr="000C28EC" w:rsidRDefault="000C28EC" w:rsidP="000C28EC">
      <w:pPr>
        <w:pStyle w:val="Bibliography"/>
        <w:rPr>
          <w:rFonts w:ascii="Arial" w:hAnsi="Arial" w:cs="Arial"/>
          <w:sz w:val="20"/>
        </w:rPr>
      </w:pPr>
      <w:r w:rsidRPr="000C28EC">
        <w:rPr>
          <w:rFonts w:ascii="Arial" w:hAnsi="Arial" w:cs="Arial"/>
          <w:sz w:val="20"/>
        </w:rPr>
        <w:t xml:space="preserve">Rueedi, R., Ledda, M., Nicholls, A. W., Salek, R. M., Marques-Vidal, P., Morya, E., et al. (2014). Genome-wide association study of metabolic traits reveals novel gene-metabolite-disease links. </w:t>
      </w:r>
      <w:r w:rsidRPr="000C28EC">
        <w:rPr>
          <w:rFonts w:ascii="Arial" w:hAnsi="Arial" w:cs="Arial"/>
          <w:i/>
          <w:iCs/>
          <w:sz w:val="20"/>
        </w:rPr>
        <w:t>PLoS Genet.</w:t>
      </w:r>
      <w:r w:rsidRPr="000C28EC">
        <w:rPr>
          <w:rFonts w:ascii="Arial" w:hAnsi="Arial" w:cs="Arial"/>
          <w:sz w:val="20"/>
        </w:rPr>
        <w:t xml:space="preserve"> 10, e1004132. doi: 10.1371/journal.pgen.1004132.</w:t>
      </w:r>
    </w:p>
    <w:p w14:paraId="5432BB80" w14:textId="77777777" w:rsidR="000C28EC" w:rsidRPr="000C28EC" w:rsidRDefault="000C28EC" w:rsidP="000C28EC">
      <w:pPr>
        <w:pStyle w:val="Bibliography"/>
        <w:rPr>
          <w:rFonts w:ascii="Arial" w:hAnsi="Arial" w:cs="Arial"/>
          <w:sz w:val="20"/>
        </w:rPr>
      </w:pPr>
      <w:r w:rsidRPr="000C28EC">
        <w:rPr>
          <w:rFonts w:ascii="Arial" w:hAnsi="Arial" w:cs="Arial"/>
          <w:sz w:val="20"/>
        </w:rPr>
        <w:t xml:space="preserve">Sakaue, S., Kanai, M., Tanigawa, Y., Karjalainen, J., Kurki, M., Koshiba, S., et al. (2021). A cross-population atlas of genetic associations for 220 human phenotypes. </w:t>
      </w:r>
      <w:r w:rsidRPr="000C28EC">
        <w:rPr>
          <w:rFonts w:ascii="Arial" w:hAnsi="Arial" w:cs="Arial"/>
          <w:i/>
          <w:iCs/>
          <w:sz w:val="20"/>
        </w:rPr>
        <w:t>Nat. Genet.</w:t>
      </w:r>
      <w:r w:rsidRPr="000C28EC">
        <w:rPr>
          <w:rFonts w:ascii="Arial" w:hAnsi="Arial" w:cs="Arial"/>
          <w:sz w:val="20"/>
        </w:rPr>
        <w:t xml:space="preserve"> 53, 1415–1424. doi: 10.1038/s41588-021-00931-x.</w:t>
      </w:r>
    </w:p>
    <w:p w14:paraId="394FFC5C" w14:textId="77777777" w:rsidR="000C28EC" w:rsidRPr="000C28EC" w:rsidRDefault="000C28EC" w:rsidP="000C28EC">
      <w:pPr>
        <w:pStyle w:val="Bibliography"/>
        <w:rPr>
          <w:rFonts w:ascii="Arial" w:hAnsi="Arial" w:cs="Arial"/>
          <w:sz w:val="20"/>
        </w:rPr>
      </w:pPr>
      <w:r w:rsidRPr="000C28EC">
        <w:rPr>
          <w:rFonts w:ascii="Arial" w:hAnsi="Arial" w:cs="Arial"/>
          <w:sz w:val="20"/>
        </w:rPr>
        <w:t xml:space="preserve">Schlosser, P., Li, Y., Sekula, P., Raffler, J., Grundner-Culemann, F., Pietzner, M., et al. (2020). Genetic studies of urinary metabolites illuminate mechanisms of detoxification and excretion in humans. </w:t>
      </w:r>
      <w:r w:rsidRPr="000C28EC">
        <w:rPr>
          <w:rFonts w:ascii="Arial" w:hAnsi="Arial" w:cs="Arial"/>
          <w:i/>
          <w:iCs/>
          <w:sz w:val="20"/>
        </w:rPr>
        <w:t>Nat. Genet.</w:t>
      </w:r>
      <w:r w:rsidRPr="000C28EC">
        <w:rPr>
          <w:rFonts w:ascii="Arial" w:hAnsi="Arial" w:cs="Arial"/>
          <w:sz w:val="20"/>
        </w:rPr>
        <w:t xml:space="preserve"> 52, 167–176. doi: 10.1038/s41588-019-0567-8.</w:t>
      </w:r>
    </w:p>
    <w:p w14:paraId="4C912D9D" w14:textId="77777777" w:rsidR="000C28EC" w:rsidRPr="000C28EC" w:rsidRDefault="000C28EC" w:rsidP="000C28EC">
      <w:pPr>
        <w:pStyle w:val="Bibliography"/>
        <w:rPr>
          <w:rFonts w:ascii="Arial" w:hAnsi="Arial" w:cs="Arial"/>
          <w:sz w:val="20"/>
        </w:rPr>
      </w:pPr>
      <w:r w:rsidRPr="000C28EC">
        <w:rPr>
          <w:rFonts w:ascii="Arial" w:hAnsi="Arial" w:cs="Arial"/>
          <w:sz w:val="20"/>
        </w:rPr>
        <w:t xml:space="preserve">Shin, S.-Y., Fauman, E. B., Petersen, A.-K., Krumsiek, J., Santos, R., Huang, J., et al. (2014). An atlas of genetic influences on human blood metabolites. </w:t>
      </w:r>
      <w:r w:rsidRPr="000C28EC">
        <w:rPr>
          <w:rFonts w:ascii="Arial" w:hAnsi="Arial" w:cs="Arial"/>
          <w:i/>
          <w:iCs/>
          <w:sz w:val="20"/>
        </w:rPr>
        <w:t>Nat. Genet.</w:t>
      </w:r>
      <w:r w:rsidRPr="000C28EC">
        <w:rPr>
          <w:rFonts w:ascii="Arial" w:hAnsi="Arial" w:cs="Arial"/>
          <w:sz w:val="20"/>
        </w:rPr>
        <w:t xml:space="preserve"> 46, 543–550. doi: 10.1038/ng.2982.</w:t>
      </w:r>
    </w:p>
    <w:p w14:paraId="788FB1DB" w14:textId="77777777" w:rsidR="000C28EC" w:rsidRPr="000C28EC" w:rsidRDefault="000C28EC" w:rsidP="000C28EC">
      <w:pPr>
        <w:pStyle w:val="Bibliography"/>
        <w:rPr>
          <w:rFonts w:ascii="Arial" w:hAnsi="Arial" w:cs="Arial"/>
          <w:sz w:val="20"/>
        </w:rPr>
      </w:pPr>
      <w:r w:rsidRPr="000C28EC">
        <w:rPr>
          <w:rFonts w:ascii="Arial" w:hAnsi="Arial" w:cs="Arial"/>
          <w:sz w:val="20"/>
        </w:rPr>
        <w:t xml:space="preserve">Sinnott-Armstrong, N., Tanigawa, Y., Amar, D., Mars, N., Benner, C., Aguirre, M., et al. (2021). Genetics of 35 blood and urine biomarkers in the UK Biobank. </w:t>
      </w:r>
      <w:r w:rsidRPr="000C28EC">
        <w:rPr>
          <w:rFonts w:ascii="Arial" w:hAnsi="Arial" w:cs="Arial"/>
          <w:i/>
          <w:iCs/>
          <w:sz w:val="20"/>
        </w:rPr>
        <w:t>Nat. Genet.</w:t>
      </w:r>
      <w:r w:rsidRPr="000C28EC">
        <w:rPr>
          <w:rFonts w:ascii="Arial" w:hAnsi="Arial" w:cs="Arial"/>
          <w:sz w:val="20"/>
        </w:rPr>
        <w:t xml:space="preserve"> 53, 185–194. doi: 10.1038/s41588-020-00757-z.</w:t>
      </w:r>
    </w:p>
    <w:p w14:paraId="3BA705E3" w14:textId="77777777" w:rsidR="000C28EC" w:rsidRPr="000C28EC" w:rsidRDefault="000C28EC" w:rsidP="000C28EC">
      <w:pPr>
        <w:pStyle w:val="Bibliography"/>
        <w:rPr>
          <w:rFonts w:ascii="Arial" w:hAnsi="Arial" w:cs="Arial"/>
          <w:sz w:val="20"/>
        </w:rPr>
      </w:pPr>
      <w:r w:rsidRPr="000C28EC">
        <w:rPr>
          <w:rFonts w:ascii="Arial" w:hAnsi="Arial" w:cs="Arial"/>
          <w:sz w:val="20"/>
        </w:rPr>
        <w:lastRenderedPageBreak/>
        <w:t xml:space="preserve">Suhre, K., Shin, S.-Y., Petersen, A.-K., Mohney, R. P., Meredith, D., Wägele, B., et al. (2011a). Human metabolic individuality in biomedical and pharmaceutical research. </w:t>
      </w:r>
      <w:r w:rsidRPr="000C28EC">
        <w:rPr>
          <w:rFonts w:ascii="Arial" w:hAnsi="Arial" w:cs="Arial"/>
          <w:i/>
          <w:iCs/>
          <w:sz w:val="20"/>
        </w:rPr>
        <w:t>Nature</w:t>
      </w:r>
      <w:r w:rsidRPr="000C28EC">
        <w:rPr>
          <w:rFonts w:ascii="Arial" w:hAnsi="Arial" w:cs="Arial"/>
          <w:sz w:val="20"/>
        </w:rPr>
        <w:t xml:space="preserve"> 477, 54–60. doi: 10.1038/nature10354.</w:t>
      </w:r>
    </w:p>
    <w:p w14:paraId="11999B87" w14:textId="77777777" w:rsidR="000C28EC" w:rsidRPr="000C28EC" w:rsidRDefault="000C28EC" w:rsidP="000C28EC">
      <w:pPr>
        <w:pStyle w:val="Bibliography"/>
        <w:rPr>
          <w:rFonts w:ascii="Arial" w:hAnsi="Arial" w:cs="Arial"/>
          <w:sz w:val="20"/>
        </w:rPr>
      </w:pPr>
      <w:r w:rsidRPr="000C28EC">
        <w:rPr>
          <w:rFonts w:ascii="Arial" w:hAnsi="Arial" w:cs="Arial"/>
          <w:sz w:val="20"/>
        </w:rPr>
        <w:t xml:space="preserve">Suhre, K., Wallaschofski, H., Raffler, J., Friedrich, N., Haring, R., Michael, K., et al. (2011b). A genome-wide association study of metabolic traits in human urine. </w:t>
      </w:r>
      <w:r w:rsidRPr="000C28EC">
        <w:rPr>
          <w:rFonts w:ascii="Arial" w:hAnsi="Arial" w:cs="Arial"/>
          <w:i/>
          <w:iCs/>
          <w:sz w:val="20"/>
        </w:rPr>
        <w:t>Nat. Genet.</w:t>
      </w:r>
      <w:r w:rsidRPr="000C28EC">
        <w:rPr>
          <w:rFonts w:ascii="Arial" w:hAnsi="Arial" w:cs="Arial"/>
          <w:sz w:val="20"/>
        </w:rPr>
        <w:t xml:space="preserve"> 43, 565–569. doi: 10.1038/ng.837.</w:t>
      </w:r>
    </w:p>
    <w:p w14:paraId="4CF03726" w14:textId="77777777" w:rsidR="000C28EC" w:rsidRPr="000C28EC" w:rsidRDefault="000C28EC" w:rsidP="000C28EC">
      <w:pPr>
        <w:pStyle w:val="Bibliography"/>
        <w:rPr>
          <w:rFonts w:ascii="Arial" w:hAnsi="Arial" w:cs="Arial"/>
          <w:sz w:val="20"/>
        </w:rPr>
      </w:pPr>
      <w:r w:rsidRPr="000C28EC">
        <w:rPr>
          <w:rFonts w:ascii="Arial" w:hAnsi="Arial" w:cs="Arial"/>
          <w:sz w:val="20"/>
        </w:rPr>
        <w:t xml:space="preserve">Suvichapanich, S., Wattanapokayakit, S., Mushiroda, T., Yanai, H., Chuchottawon, C., Kantima, T., et al. (2019). Genomewide Association Study Confirming the Association of NAT2 with Susceptibility to Antituberculosis Drug-Induced Liver Injury in Thai Patients. </w:t>
      </w:r>
      <w:r w:rsidRPr="000C28EC">
        <w:rPr>
          <w:rFonts w:ascii="Arial" w:hAnsi="Arial" w:cs="Arial"/>
          <w:i/>
          <w:iCs/>
          <w:sz w:val="20"/>
        </w:rPr>
        <w:t>Antimicrob. Agents Chemother.</w:t>
      </w:r>
      <w:r w:rsidRPr="000C28EC">
        <w:rPr>
          <w:rFonts w:ascii="Arial" w:hAnsi="Arial" w:cs="Arial"/>
          <w:sz w:val="20"/>
        </w:rPr>
        <w:t xml:space="preserve"> 63, e02692-18. doi: 10.1128/AAC.02692-18.</w:t>
      </w:r>
    </w:p>
    <w:p w14:paraId="368093FB" w14:textId="77777777" w:rsidR="000C28EC" w:rsidRPr="000C28EC" w:rsidRDefault="000C28EC" w:rsidP="000C28EC">
      <w:pPr>
        <w:pStyle w:val="Bibliography"/>
        <w:rPr>
          <w:rFonts w:ascii="Arial" w:hAnsi="Arial" w:cs="Arial"/>
          <w:sz w:val="20"/>
        </w:rPr>
      </w:pPr>
      <w:r w:rsidRPr="000C28EC">
        <w:rPr>
          <w:rFonts w:ascii="Arial" w:hAnsi="Arial" w:cs="Arial"/>
          <w:sz w:val="20"/>
        </w:rPr>
        <w:t xml:space="preserve">Wu, Y., Byrne, E. M., Zheng, Z., Kemper, K. E., Yengo, L., Mallett, A. J., et al. (2019). Genome-wide association study of medication-use and associated disease in the UK Biobank. </w:t>
      </w:r>
      <w:r w:rsidRPr="000C28EC">
        <w:rPr>
          <w:rFonts w:ascii="Arial" w:hAnsi="Arial" w:cs="Arial"/>
          <w:i/>
          <w:iCs/>
          <w:sz w:val="20"/>
        </w:rPr>
        <w:t>Nat. Commun.</w:t>
      </w:r>
      <w:r w:rsidRPr="000C28EC">
        <w:rPr>
          <w:rFonts w:ascii="Arial" w:hAnsi="Arial" w:cs="Arial"/>
          <w:sz w:val="20"/>
        </w:rPr>
        <w:t xml:space="preserve"> 10, 1891. doi: 10.1038/s41467-019-09572-5.</w:t>
      </w:r>
    </w:p>
    <w:p w14:paraId="7DB9E297" w14:textId="77777777" w:rsidR="000C28EC" w:rsidRPr="000C28EC" w:rsidRDefault="000C28EC" w:rsidP="000C28EC">
      <w:pPr>
        <w:pStyle w:val="Bibliography"/>
        <w:rPr>
          <w:rFonts w:ascii="Arial" w:hAnsi="Arial" w:cs="Arial"/>
          <w:sz w:val="20"/>
        </w:rPr>
      </w:pPr>
      <w:r w:rsidRPr="000C28EC">
        <w:rPr>
          <w:rFonts w:ascii="Arial" w:hAnsi="Arial" w:cs="Arial"/>
          <w:sz w:val="20"/>
        </w:rPr>
        <w:t xml:space="preserve">Yang, W., Li, L., Feng, X., Cheng, H., Ge, X., Bao, Y., et al. (2022). Genome-wide association and Mendelian randomization study of blood copper levels and 213 deep phenotypes in humans. </w:t>
      </w:r>
      <w:r w:rsidRPr="000C28EC">
        <w:rPr>
          <w:rFonts w:ascii="Arial" w:hAnsi="Arial" w:cs="Arial"/>
          <w:i/>
          <w:iCs/>
          <w:sz w:val="20"/>
        </w:rPr>
        <w:t>Commun. Biol.</w:t>
      </w:r>
      <w:r w:rsidRPr="000C28EC">
        <w:rPr>
          <w:rFonts w:ascii="Arial" w:hAnsi="Arial" w:cs="Arial"/>
          <w:sz w:val="20"/>
        </w:rPr>
        <w:t xml:space="preserve"> 5, 405. doi: 10.1038/s42003-022-03351-7.</w:t>
      </w:r>
    </w:p>
    <w:p w14:paraId="5F36B5F6" w14:textId="77777777" w:rsidR="000C28EC" w:rsidRPr="000C28EC" w:rsidRDefault="000C28EC" w:rsidP="000C28EC">
      <w:pPr>
        <w:pStyle w:val="Bibliography"/>
        <w:rPr>
          <w:rFonts w:ascii="Arial" w:hAnsi="Arial" w:cs="Arial"/>
          <w:sz w:val="20"/>
        </w:rPr>
      </w:pPr>
      <w:r w:rsidRPr="000C28EC">
        <w:rPr>
          <w:rFonts w:ascii="Arial" w:hAnsi="Arial" w:cs="Arial"/>
          <w:sz w:val="20"/>
        </w:rPr>
        <w:t xml:space="preserve">Yet, I., Menni, C., Shin, S.-Y., Mangino, M., Soranzo, N., Adamski, J., et al. (2016). Genetic Influences on Metabolite Levels: A Comparison across Metabolomic Platforms. </w:t>
      </w:r>
      <w:r w:rsidRPr="000C28EC">
        <w:rPr>
          <w:rFonts w:ascii="Arial" w:hAnsi="Arial" w:cs="Arial"/>
          <w:i/>
          <w:iCs/>
          <w:sz w:val="20"/>
        </w:rPr>
        <w:t>PloS One</w:t>
      </w:r>
      <w:r w:rsidRPr="000C28EC">
        <w:rPr>
          <w:rFonts w:ascii="Arial" w:hAnsi="Arial" w:cs="Arial"/>
          <w:sz w:val="20"/>
        </w:rPr>
        <w:t xml:space="preserve"> 11, e0153672. doi: 10.1371/journal.pone.0153672.</w:t>
      </w:r>
    </w:p>
    <w:p w14:paraId="1C0B8319" w14:textId="10673DF6" w:rsidR="00A32739" w:rsidRPr="004817FD" w:rsidRDefault="0032128C" w:rsidP="00826EC8">
      <w:pPr>
        <w:pStyle w:val="Bibliography"/>
        <w:rPr>
          <w:rFonts w:ascii="Arial" w:hAnsi="Arial" w:cs="Arial"/>
          <w:color w:val="000000" w:themeColor="text1"/>
          <w:sz w:val="20"/>
          <w:szCs w:val="20"/>
        </w:rPr>
      </w:pPr>
      <w:r w:rsidRPr="004817FD">
        <w:rPr>
          <w:rFonts w:ascii="Arial" w:hAnsi="Arial" w:cs="Arial"/>
          <w:color w:val="000000" w:themeColor="text1"/>
          <w:sz w:val="20"/>
          <w:szCs w:val="20"/>
        </w:rPr>
        <w:fldChar w:fldCharType="end"/>
      </w:r>
    </w:p>
    <w:sectPr w:rsidR="00A32739" w:rsidRPr="004817FD" w:rsidSect="00061C8E">
      <w:pgSz w:w="15840" w:h="12240" w:orient="landscape"/>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78F"/>
    <w:rsid w:val="00003545"/>
    <w:rsid w:val="0001211C"/>
    <w:rsid w:val="00024FBF"/>
    <w:rsid w:val="00026439"/>
    <w:rsid w:val="00061C8E"/>
    <w:rsid w:val="000665CF"/>
    <w:rsid w:val="00070824"/>
    <w:rsid w:val="000935F5"/>
    <w:rsid w:val="000940EA"/>
    <w:rsid w:val="000C28EC"/>
    <w:rsid w:val="000F325D"/>
    <w:rsid w:val="0011766A"/>
    <w:rsid w:val="001206C4"/>
    <w:rsid w:val="00127388"/>
    <w:rsid w:val="00143D86"/>
    <w:rsid w:val="00147F3B"/>
    <w:rsid w:val="00153906"/>
    <w:rsid w:val="00164623"/>
    <w:rsid w:val="001722AD"/>
    <w:rsid w:val="00186D54"/>
    <w:rsid w:val="00191113"/>
    <w:rsid w:val="001A1DF8"/>
    <w:rsid w:val="001A6887"/>
    <w:rsid w:val="001A6BDD"/>
    <w:rsid w:val="001B406E"/>
    <w:rsid w:val="001C642B"/>
    <w:rsid w:val="001D36C6"/>
    <w:rsid w:val="001E14CF"/>
    <w:rsid w:val="001F0C72"/>
    <w:rsid w:val="00210080"/>
    <w:rsid w:val="00211AD8"/>
    <w:rsid w:val="00217F98"/>
    <w:rsid w:val="002221D7"/>
    <w:rsid w:val="00225437"/>
    <w:rsid w:val="002273A3"/>
    <w:rsid w:val="0023038A"/>
    <w:rsid w:val="00240240"/>
    <w:rsid w:val="0024284B"/>
    <w:rsid w:val="00264493"/>
    <w:rsid w:val="002750EA"/>
    <w:rsid w:val="0028620E"/>
    <w:rsid w:val="002A30D1"/>
    <w:rsid w:val="002A4F31"/>
    <w:rsid w:val="002B2E8B"/>
    <w:rsid w:val="002B34D2"/>
    <w:rsid w:val="002D1345"/>
    <w:rsid w:val="002D16B2"/>
    <w:rsid w:val="002D3012"/>
    <w:rsid w:val="002D32CC"/>
    <w:rsid w:val="002F47E2"/>
    <w:rsid w:val="002F67E4"/>
    <w:rsid w:val="00300C9A"/>
    <w:rsid w:val="00305212"/>
    <w:rsid w:val="003101FD"/>
    <w:rsid w:val="003130A0"/>
    <w:rsid w:val="0032128C"/>
    <w:rsid w:val="003240EF"/>
    <w:rsid w:val="003311B4"/>
    <w:rsid w:val="00336C95"/>
    <w:rsid w:val="00350983"/>
    <w:rsid w:val="0035231F"/>
    <w:rsid w:val="00361CF4"/>
    <w:rsid w:val="00375EB2"/>
    <w:rsid w:val="003B1530"/>
    <w:rsid w:val="003B77E3"/>
    <w:rsid w:val="003C399B"/>
    <w:rsid w:val="003D1CCA"/>
    <w:rsid w:val="003D6F38"/>
    <w:rsid w:val="003E1796"/>
    <w:rsid w:val="003E2CA1"/>
    <w:rsid w:val="003F6CDF"/>
    <w:rsid w:val="00401394"/>
    <w:rsid w:val="00436110"/>
    <w:rsid w:val="00441180"/>
    <w:rsid w:val="00443AC3"/>
    <w:rsid w:val="00450C49"/>
    <w:rsid w:val="00453F5D"/>
    <w:rsid w:val="004817FD"/>
    <w:rsid w:val="00485B74"/>
    <w:rsid w:val="004865C7"/>
    <w:rsid w:val="00492189"/>
    <w:rsid w:val="00497E7F"/>
    <w:rsid w:val="004A6AA3"/>
    <w:rsid w:val="004B5983"/>
    <w:rsid w:val="004D37C3"/>
    <w:rsid w:val="004E53C1"/>
    <w:rsid w:val="004F342C"/>
    <w:rsid w:val="00530F97"/>
    <w:rsid w:val="005312A4"/>
    <w:rsid w:val="00547323"/>
    <w:rsid w:val="00567EC8"/>
    <w:rsid w:val="00571D8E"/>
    <w:rsid w:val="00574999"/>
    <w:rsid w:val="005927EE"/>
    <w:rsid w:val="00595322"/>
    <w:rsid w:val="005954AE"/>
    <w:rsid w:val="0059671A"/>
    <w:rsid w:val="005A3651"/>
    <w:rsid w:val="005B1750"/>
    <w:rsid w:val="005D7F25"/>
    <w:rsid w:val="005F09D5"/>
    <w:rsid w:val="006039D3"/>
    <w:rsid w:val="00623378"/>
    <w:rsid w:val="00652A1D"/>
    <w:rsid w:val="00661F5E"/>
    <w:rsid w:val="00677D38"/>
    <w:rsid w:val="006856DA"/>
    <w:rsid w:val="006B23C4"/>
    <w:rsid w:val="006B3E6F"/>
    <w:rsid w:val="006D3913"/>
    <w:rsid w:val="006F4398"/>
    <w:rsid w:val="006F44C8"/>
    <w:rsid w:val="00762F73"/>
    <w:rsid w:val="00763C5C"/>
    <w:rsid w:val="00771AE1"/>
    <w:rsid w:val="00786699"/>
    <w:rsid w:val="00793487"/>
    <w:rsid w:val="007A35D8"/>
    <w:rsid w:val="007B15F9"/>
    <w:rsid w:val="007C1B93"/>
    <w:rsid w:val="007C744B"/>
    <w:rsid w:val="007E2B48"/>
    <w:rsid w:val="007F0AD4"/>
    <w:rsid w:val="00802B64"/>
    <w:rsid w:val="00820725"/>
    <w:rsid w:val="008224F6"/>
    <w:rsid w:val="00822F97"/>
    <w:rsid w:val="00823D58"/>
    <w:rsid w:val="00826EC8"/>
    <w:rsid w:val="008319E5"/>
    <w:rsid w:val="00834A33"/>
    <w:rsid w:val="008429AD"/>
    <w:rsid w:val="00843B93"/>
    <w:rsid w:val="00844C0A"/>
    <w:rsid w:val="008479B1"/>
    <w:rsid w:val="008564F8"/>
    <w:rsid w:val="00866D00"/>
    <w:rsid w:val="008713C3"/>
    <w:rsid w:val="00890BCB"/>
    <w:rsid w:val="008A12E0"/>
    <w:rsid w:val="008C5124"/>
    <w:rsid w:val="008C7E28"/>
    <w:rsid w:val="008D1C90"/>
    <w:rsid w:val="008D2C0B"/>
    <w:rsid w:val="008F0C53"/>
    <w:rsid w:val="008F6090"/>
    <w:rsid w:val="009142BC"/>
    <w:rsid w:val="00915FC9"/>
    <w:rsid w:val="009236F9"/>
    <w:rsid w:val="00926698"/>
    <w:rsid w:val="00933849"/>
    <w:rsid w:val="009425D2"/>
    <w:rsid w:val="009540FE"/>
    <w:rsid w:val="00965CD4"/>
    <w:rsid w:val="00967503"/>
    <w:rsid w:val="009879B3"/>
    <w:rsid w:val="00992D78"/>
    <w:rsid w:val="009A5B32"/>
    <w:rsid w:val="009B7096"/>
    <w:rsid w:val="009F4700"/>
    <w:rsid w:val="009F56F4"/>
    <w:rsid w:val="009F6AEB"/>
    <w:rsid w:val="00A14969"/>
    <w:rsid w:val="00A17D36"/>
    <w:rsid w:val="00A32739"/>
    <w:rsid w:val="00A40377"/>
    <w:rsid w:val="00A44C7D"/>
    <w:rsid w:val="00A469A5"/>
    <w:rsid w:val="00A67EE4"/>
    <w:rsid w:val="00A81318"/>
    <w:rsid w:val="00A83C44"/>
    <w:rsid w:val="00A9418A"/>
    <w:rsid w:val="00A94630"/>
    <w:rsid w:val="00A94C69"/>
    <w:rsid w:val="00AA5A55"/>
    <w:rsid w:val="00AD198F"/>
    <w:rsid w:val="00AD3979"/>
    <w:rsid w:val="00AD4FB0"/>
    <w:rsid w:val="00AF01D7"/>
    <w:rsid w:val="00B02F20"/>
    <w:rsid w:val="00B06279"/>
    <w:rsid w:val="00B17B2F"/>
    <w:rsid w:val="00B21DD1"/>
    <w:rsid w:val="00B33546"/>
    <w:rsid w:val="00B412EF"/>
    <w:rsid w:val="00B43127"/>
    <w:rsid w:val="00B70E3C"/>
    <w:rsid w:val="00B8599D"/>
    <w:rsid w:val="00B868BA"/>
    <w:rsid w:val="00B91877"/>
    <w:rsid w:val="00BA3845"/>
    <w:rsid w:val="00BB35E7"/>
    <w:rsid w:val="00BB4D01"/>
    <w:rsid w:val="00BC0EBD"/>
    <w:rsid w:val="00BD3B70"/>
    <w:rsid w:val="00BE1E8F"/>
    <w:rsid w:val="00BE32AE"/>
    <w:rsid w:val="00BE57D8"/>
    <w:rsid w:val="00BF0510"/>
    <w:rsid w:val="00BF3917"/>
    <w:rsid w:val="00BF4046"/>
    <w:rsid w:val="00BF761E"/>
    <w:rsid w:val="00C303B7"/>
    <w:rsid w:val="00C54202"/>
    <w:rsid w:val="00C60532"/>
    <w:rsid w:val="00CB1A57"/>
    <w:rsid w:val="00CD2014"/>
    <w:rsid w:val="00CE209D"/>
    <w:rsid w:val="00CE3E74"/>
    <w:rsid w:val="00CE4412"/>
    <w:rsid w:val="00CF078F"/>
    <w:rsid w:val="00CF7690"/>
    <w:rsid w:val="00D0231B"/>
    <w:rsid w:val="00D16EE7"/>
    <w:rsid w:val="00D31650"/>
    <w:rsid w:val="00D3401C"/>
    <w:rsid w:val="00D41E0B"/>
    <w:rsid w:val="00D75BEF"/>
    <w:rsid w:val="00D823AD"/>
    <w:rsid w:val="00D944DE"/>
    <w:rsid w:val="00DA268C"/>
    <w:rsid w:val="00DB55FC"/>
    <w:rsid w:val="00DC37AD"/>
    <w:rsid w:val="00DE05D6"/>
    <w:rsid w:val="00DE0BB3"/>
    <w:rsid w:val="00E03D5A"/>
    <w:rsid w:val="00E07E79"/>
    <w:rsid w:val="00E16D38"/>
    <w:rsid w:val="00E23872"/>
    <w:rsid w:val="00E23E17"/>
    <w:rsid w:val="00E31A69"/>
    <w:rsid w:val="00E40FB5"/>
    <w:rsid w:val="00E41ADB"/>
    <w:rsid w:val="00E422D0"/>
    <w:rsid w:val="00E433EE"/>
    <w:rsid w:val="00E43FBD"/>
    <w:rsid w:val="00E915EB"/>
    <w:rsid w:val="00E97721"/>
    <w:rsid w:val="00EA43C1"/>
    <w:rsid w:val="00EA6B67"/>
    <w:rsid w:val="00EA6EF1"/>
    <w:rsid w:val="00EB5CA3"/>
    <w:rsid w:val="00ED5701"/>
    <w:rsid w:val="00ED68D6"/>
    <w:rsid w:val="00F00DAC"/>
    <w:rsid w:val="00F22E58"/>
    <w:rsid w:val="00F40D64"/>
    <w:rsid w:val="00F42CE3"/>
    <w:rsid w:val="00F453D7"/>
    <w:rsid w:val="00F51384"/>
    <w:rsid w:val="00F55C5C"/>
    <w:rsid w:val="00F64DC8"/>
    <w:rsid w:val="00F67688"/>
    <w:rsid w:val="00F733A1"/>
    <w:rsid w:val="00F833EB"/>
    <w:rsid w:val="00F841A6"/>
    <w:rsid w:val="00F857A2"/>
    <w:rsid w:val="00F87F02"/>
    <w:rsid w:val="00FA2F57"/>
    <w:rsid w:val="00FB09C5"/>
    <w:rsid w:val="00FC6EC6"/>
    <w:rsid w:val="00FD73B7"/>
    <w:rsid w:val="00FF56E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DC7FC"/>
  <w15:chartTrackingRefBased/>
  <w15:docId w15:val="{3A71B34A-8EF8-45BC-AD3A-62F65B0D5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078F"/>
    <w:rPr>
      <w:color w:val="0563C1"/>
      <w:u w:val="single"/>
    </w:rPr>
  </w:style>
  <w:style w:type="character" w:styleId="FollowedHyperlink">
    <w:name w:val="FollowedHyperlink"/>
    <w:basedOn w:val="DefaultParagraphFont"/>
    <w:uiPriority w:val="99"/>
    <w:semiHidden/>
    <w:unhideWhenUsed/>
    <w:rsid w:val="00CF078F"/>
    <w:rPr>
      <w:color w:val="954F72"/>
      <w:u w:val="single"/>
    </w:rPr>
  </w:style>
  <w:style w:type="paragraph" w:customStyle="1" w:styleId="msonormal0">
    <w:name w:val="msonormal"/>
    <w:basedOn w:val="Normal"/>
    <w:rsid w:val="00CF07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CF078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CF07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CF07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CF078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CF078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CF078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CF078F"/>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CF078F"/>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CF078F"/>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CF078F"/>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CF07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4"/>
      <w:szCs w:val="24"/>
    </w:rPr>
  </w:style>
  <w:style w:type="paragraph" w:customStyle="1" w:styleId="xl76">
    <w:name w:val="xl76"/>
    <w:basedOn w:val="Normal"/>
    <w:rsid w:val="00CF07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Normal"/>
    <w:rsid w:val="00CF07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Normal"/>
    <w:rsid w:val="00CF078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Normal"/>
    <w:rsid w:val="00CF078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Normal"/>
    <w:rsid w:val="00CF078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CF078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Normal"/>
    <w:rsid w:val="00CF078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CF07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84">
    <w:name w:val="xl84"/>
    <w:basedOn w:val="Normal"/>
    <w:rsid w:val="00CF07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85">
    <w:name w:val="xl85"/>
    <w:basedOn w:val="Normal"/>
    <w:rsid w:val="00CF078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86">
    <w:name w:val="xl86"/>
    <w:basedOn w:val="Normal"/>
    <w:rsid w:val="00CF078F"/>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87">
    <w:name w:val="xl87"/>
    <w:basedOn w:val="Normal"/>
    <w:rsid w:val="00CF078F"/>
    <w:pPr>
      <w:pBdr>
        <w:top w:val="single" w:sz="8" w:space="0" w:color="auto"/>
        <w:left w:val="single" w:sz="8" w:space="0" w:color="auto"/>
        <w:bottom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8">
    <w:name w:val="xl88"/>
    <w:basedOn w:val="Normal"/>
    <w:rsid w:val="00CF078F"/>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9">
    <w:name w:val="xl89"/>
    <w:basedOn w:val="Normal"/>
    <w:rsid w:val="00CF078F"/>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90">
    <w:name w:val="xl90"/>
    <w:basedOn w:val="Normal"/>
    <w:rsid w:val="00CF078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rPr>
  </w:style>
  <w:style w:type="table" w:styleId="TableGrid">
    <w:name w:val="Table Grid"/>
    <w:basedOn w:val="TableNormal"/>
    <w:uiPriority w:val="39"/>
    <w:rsid w:val="00443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32128C"/>
    <w:pPr>
      <w:spacing w:after="24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0146">
      <w:bodyDiv w:val="1"/>
      <w:marLeft w:val="0"/>
      <w:marRight w:val="0"/>
      <w:marTop w:val="0"/>
      <w:marBottom w:val="0"/>
      <w:divBdr>
        <w:top w:val="none" w:sz="0" w:space="0" w:color="auto"/>
        <w:left w:val="none" w:sz="0" w:space="0" w:color="auto"/>
        <w:bottom w:val="none" w:sz="0" w:space="0" w:color="auto"/>
        <w:right w:val="none" w:sz="0" w:space="0" w:color="auto"/>
      </w:divBdr>
    </w:div>
    <w:div w:id="36248665">
      <w:bodyDiv w:val="1"/>
      <w:marLeft w:val="0"/>
      <w:marRight w:val="0"/>
      <w:marTop w:val="0"/>
      <w:marBottom w:val="0"/>
      <w:divBdr>
        <w:top w:val="none" w:sz="0" w:space="0" w:color="auto"/>
        <w:left w:val="none" w:sz="0" w:space="0" w:color="auto"/>
        <w:bottom w:val="none" w:sz="0" w:space="0" w:color="auto"/>
        <w:right w:val="none" w:sz="0" w:space="0" w:color="auto"/>
      </w:divBdr>
    </w:div>
    <w:div w:id="39867921">
      <w:bodyDiv w:val="1"/>
      <w:marLeft w:val="0"/>
      <w:marRight w:val="0"/>
      <w:marTop w:val="0"/>
      <w:marBottom w:val="0"/>
      <w:divBdr>
        <w:top w:val="none" w:sz="0" w:space="0" w:color="auto"/>
        <w:left w:val="none" w:sz="0" w:space="0" w:color="auto"/>
        <w:bottom w:val="none" w:sz="0" w:space="0" w:color="auto"/>
        <w:right w:val="none" w:sz="0" w:space="0" w:color="auto"/>
      </w:divBdr>
    </w:div>
    <w:div w:id="47733397">
      <w:bodyDiv w:val="1"/>
      <w:marLeft w:val="0"/>
      <w:marRight w:val="0"/>
      <w:marTop w:val="0"/>
      <w:marBottom w:val="0"/>
      <w:divBdr>
        <w:top w:val="none" w:sz="0" w:space="0" w:color="auto"/>
        <w:left w:val="none" w:sz="0" w:space="0" w:color="auto"/>
        <w:bottom w:val="none" w:sz="0" w:space="0" w:color="auto"/>
        <w:right w:val="none" w:sz="0" w:space="0" w:color="auto"/>
      </w:divBdr>
    </w:div>
    <w:div w:id="156266658">
      <w:bodyDiv w:val="1"/>
      <w:marLeft w:val="0"/>
      <w:marRight w:val="0"/>
      <w:marTop w:val="0"/>
      <w:marBottom w:val="0"/>
      <w:divBdr>
        <w:top w:val="none" w:sz="0" w:space="0" w:color="auto"/>
        <w:left w:val="none" w:sz="0" w:space="0" w:color="auto"/>
        <w:bottom w:val="none" w:sz="0" w:space="0" w:color="auto"/>
        <w:right w:val="none" w:sz="0" w:space="0" w:color="auto"/>
      </w:divBdr>
    </w:div>
    <w:div w:id="181942550">
      <w:bodyDiv w:val="1"/>
      <w:marLeft w:val="0"/>
      <w:marRight w:val="0"/>
      <w:marTop w:val="0"/>
      <w:marBottom w:val="0"/>
      <w:divBdr>
        <w:top w:val="none" w:sz="0" w:space="0" w:color="auto"/>
        <w:left w:val="none" w:sz="0" w:space="0" w:color="auto"/>
        <w:bottom w:val="none" w:sz="0" w:space="0" w:color="auto"/>
        <w:right w:val="none" w:sz="0" w:space="0" w:color="auto"/>
      </w:divBdr>
    </w:div>
    <w:div w:id="277757673">
      <w:bodyDiv w:val="1"/>
      <w:marLeft w:val="0"/>
      <w:marRight w:val="0"/>
      <w:marTop w:val="0"/>
      <w:marBottom w:val="0"/>
      <w:divBdr>
        <w:top w:val="none" w:sz="0" w:space="0" w:color="auto"/>
        <w:left w:val="none" w:sz="0" w:space="0" w:color="auto"/>
        <w:bottom w:val="none" w:sz="0" w:space="0" w:color="auto"/>
        <w:right w:val="none" w:sz="0" w:space="0" w:color="auto"/>
      </w:divBdr>
    </w:div>
    <w:div w:id="290014267">
      <w:bodyDiv w:val="1"/>
      <w:marLeft w:val="0"/>
      <w:marRight w:val="0"/>
      <w:marTop w:val="0"/>
      <w:marBottom w:val="0"/>
      <w:divBdr>
        <w:top w:val="none" w:sz="0" w:space="0" w:color="auto"/>
        <w:left w:val="none" w:sz="0" w:space="0" w:color="auto"/>
        <w:bottom w:val="none" w:sz="0" w:space="0" w:color="auto"/>
        <w:right w:val="none" w:sz="0" w:space="0" w:color="auto"/>
      </w:divBdr>
    </w:div>
    <w:div w:id="311758603">
      <w:bodyDiv w:val="1"/>
      <w:marLeft w:val="0"/>
      <w:marRight w:val="0"/>
      <w:marTop w:val="0"/>
      <w:marBottom w:val="0"/>
      <w:divBdr>
        <w:top w:val="none" w:sz="0" w:space="0" w:color="auto"/>
        <w:left w:val="none" w:sz="0" w:space="0" w:color="auto"/>
        <w:bottom w:val="none" w:sz="0" w:space="0" w:color="auto"/>
        <w:right w:val="none" w:sz="0" w:space="0" w:color="auto"/>
      </w:divBdr>
    </w:div>
    <w:div w:id="324742888">
      <w:bodyDiv w:val="1"/>
      <w:marLeft w:val="0"/>
      <w:marRight w:val="0"/>
      <w:marTop w:val="0"/>
      <w:marBottom w:val="0"/>
      <w:divBdr>
        <w:top w:val="none" w:sz="0" w:space="0" w:color="auto"/>
        <w:left w:val="none" w:sz="0" w:space="0" w:color="auto"/>
        <w:bottom w:val="none" w:sz="0" w:space="0" w:color="auto"/>
        <w:right w:val="none" w:sz="0" w:space="0" w:color="auto"/>
      </w:divBdr>
    </w:div>
    <w:div w:id="370610728">
      <w:bodyDiv w:val="1"/>
      <w:marLeft w:val="0"/>
      <w:marRight w:val="0"/>
      <w:marTop w:val="0"/>
      <w:marBottom w:val="0"/>
      <w:divBdr>
        <w:top w:val="none" w:sz="0" w:space="0" w:color="auto"/>
        <w:left w:val="none" w:sz="0" w:space="0" w:color="auto"/>
        <w:bottom w:val="none" w:sz="0" w:space="0" w:color="auto"/>
        <w:right w:val="none" w:sz="0" w:space="0" w:color="auto"/>
      </w:divBdr>
    </w:div>
    <w:div w:id="433131386">
      <w:bodyDiv w:val="1"/>
      <w:marLeft w:val="0"/>
      <w:marRight w:val="0"/>
      <w:marTop w:val="0"/>
      <w:marBottom w:val="0"/>
      <w:divBdr>
        <w:top w:val="none" w:sz="0" w:space="0" w:color="auto"/>
        <w:left w:val="none" w:sz="0" w:space="0" w:color="auto"/>
        <w:bottom w:val="none" w:sz="0" w:space="0" w:color="auto"/>
        <w:right w:val="none" w:sz="0" w:space="0" w:color="auto"/>
      </w:divBdr>
    </w:div>
    <w:div w:id="440415738">
      <w:bodyDiv w:val="1"/>
      <w:marLeft w:val="0"/>
      <w:marRight w:val="0"/>
      <w:marTop w:val="0"/>
      <w:marBottom w:val="0"/>
      <w:divBdr>
        <w:top w:val="none" w:sz="0" w:space="0" w:color="auto"/>
        <w:left w:val="none" w:sz="0" w:space="0" w:color="auto"/>
        <w:bottom w:val="none" w:sz="0" w:space="0" w:color="auto"/>
        <w:right w:val="none" w:sz="0" w:space="0" w:color="auto"/>
      </w:divBdr>
    </w:div>
    <w:div w:id="458766996">
      <w:bodyDiv w:val="1"/>
      <w:marLeft w:val="0"/>
      <w:marRight w:val="0"/>
      <w:marTop w:val="0"/>
      <w:marBottom w:val="0"/>
      <w:divBdr>
        <w:top w:val="none" w:sz="0" w:space="0" w:color="auto"/>
        <w:left w:val="none" w:sz="0" w:space="0" w:color="auto"/>
        <w:bottom w:val="none" w:sz="0" w:space="0" w:color="auto"/>
        <w:right w:val="none" w:sz="0" w:space="0" w:color="auto"/>
      </w:divBdr>
    </w:div>
    <w:div w:id="505367172">
      <w:bodyDiv w:val="1"/>
      <w:marLeft w:val="0"/>
      <w:marRight w:val="0"/>
      <w:marTop w:val="0"/>
      <w:marBottom w:val="0"/>
      <w:divBdr>
        <w:top w:val="none" w:sz="0" w:space="0" w:color="auto"/>
        <w:left w:val="none" w:sz="0" w:space="0" w:color="auto"/>
        <w:bottom w:val="none" w:sz="0" w:space="0" w:color="auto"/>
        <w:right w:val="none" w:sz="0" w:space="0" w:color="auto"/>
      </w:divBdr>
    </w:div>
    <w:div w:id="509030070">
      <w:bodyDiv w:val="1"/>
      <w:marLeft w:val="0"/>
      <w:marRight w:val="0"/>
      <w:marTop w:val="0"/>
      <w:marBottom w:val="0"/>
      <w:divBdr>
        <w:top w:val="none" w:sz="0" w:space="0" w:color="auto"/>
        <w:left w:val="none" w:sz="0" w:space="0" w:color="auto"/>
        <w:bottom w:val="none" w:sz="0" w:space="0" w:color="auto"/>
        <w:right w:val="none" w:sz="0" w:space="0" w:color="auto"/>
      </w:divBdr>
    </w:div>
    <w:div w:id="551161589">
      <w:bodyDiv w:val="1"/>
      <w:marLeft w:val="0"/>
      <w:marRight w:val="0"/>
      <w:marTop w:val="0"/>
      <w:marBottom w:val="0"/>
      <w:divBdr>
        <w:top w:val="none" w:sz="0" w:space="0" w:color="auto"/>
        <w:left w:val="none" w:sz="0" w:space="0" w:color="auto"/>
        <w:bottom w:val="none" w:sz="0" w:space="0" w:color="auto"/>
        <w:right w:val="none" w:sz="0" w:space="0" w:color="auto"/>
      </w:divBdr>
    </w:div>
    <w:div w:id="556666048">
      <w:bodyDiv w:val="1"/>
      <w:marLeft w:val="0"/>
      <w:marRight w:val="0"/>
      <w:marTop w:val="0"/>
      <w:marBottom w:val="0"/>
      <w:divBdr>
        <w:top w:val="none" w:sz="0" w:space="0" w:color="auto"/>
        <w:left w:val="none" w:sz="0" w:space="0" w:color="auto"/>
        <w:bottom w:val="none" w:sz="0" w:space="0" w:color="auto"/>
        <w:right w:val="none" w:sz="0" w:space="0" w:color="auto"/>
      </w:divBdr>
    </w:div>
    <w:div w:id="573245125">
      <w:bodyDiv w:val="1"/>
      <w:marLeft w:val="0"/>
      <w:marRight w:val="0"/>
      <w:marTop w:val="0"/>
      <w:marBottom w:val="0"/>
      <w:divBdr>
        <w:top w:val="none" w:sz="0" w:space="0" w:color="auto"/>
        <w:left w:val="none" w:sz="0" w:space="0" w:color="auto"/>
        <w:bottom w:val="none" w:sz="0" w:space="0" w:color="auto"/>
        <w:right w:val="none" w:sz="0" w:space="0" w:color="auto"/>
      </w:divBdr>
    </w:div>
    <w:div w:id="586814131">
      <w:bodyDiv w:val="1"/>
      <w:marLeft w:val="0"/>
      <w:marRight w:val="0"/>
      <w:marTop w:val="0"/>
      <w:marBottom w:val="0"/>
      <w:divBdr>
        <w:top w:val="none" w:sz="0" w:space="0" w:color="auto"/>
        <w:left w:val="none" w:sz="0" w:space="0" w:color="auto"/>
        <w:bottom w:val="none" w:sz="0" w:space="0" w:color="auto"/>
        <w:right w:val="none" w:sz="0" w:space="0" w:color="auto"/>
      </w:divBdr>
    </w:div>
    <w:div w:id="590435818">
      <w:bodyDiv w:val="1"/>
      <w:marLeft w:val="0"/>
      <w:marRight w:val="0"/>
      <w:marTop w:val="0"/>
      <w:marBottom w:val="0"/>
      <w:divBdr>
        <w:top w:val="none" w:sz="0" w:space="0" w:color="auto"/>
        <w:left w:val="none" w:sz="0" w:space="0" w:color="auto"/>
        <w:bottom w:val="none" w:sz="0" w:space="0" w:color="auto"/>
        <w:right w:val="none" w:sz="0" w:space="0" w:color="auto"/>
      </w:divBdr>
    </w:div>
    <w:div w:id="628825565">
      <w:bodyDiv w:val="1"/>
      <w:marLeft w:val="0"/>
      <w:marRight w:val="0"/>
      <w:marTop w:val="0"/>
      <w:marBottom w:val="0"/>
      <w:divBdr>
        <w:top w:val="none" w:sz="0" w:space="0" w:color="auto"/>
        <w:left w:val="none" w:sz="0" w:space="0" w:color="auto"/>
        <w:bottom w:val="none" w:sz="0" w:space="0" w:color="auto"/>
        <w:right w:val="none" w:sz="0" w:space="0" w:color="auto"/>
      </w:divBdr>
    </w:div>
    <w:div w:id="665134843">
      <w:bodyDiv w:val="1"/>
      <w:marLeft w:val="0"/>
      <w:marRight w:val="0"/>
      <w:marTop w:val="0"/>
      <w:marBottom w:val="0"/>
      <w:divBdr>
        <w:top w:val="none" w:sz="0" w:space="0" w:color="auto"/>
        <w:left w:val="none" w:sz="0" w:space="0" w:color="auto"/>
        <w:bottom w:val="none" w:sz="0" w:space="0" w:color="auto"/>
        <w:right w:val="none" w:sz="0" w:space="0" w:color="auto"/>
      </w:divBdr>
    </w:div>
    <w:div w:id="693114159">
      <w:bodyDiv w:val="1"/>
      <w:marLeft w:val="0"/>
      <w:marRight w:val="0"/>
      <w:marTop w:val="0"/>
      <w:marBottom w:val="0"/>
      <w:divBdr>
        <w:top w:val="none" w:sz="0" w:space="0" w:color="auto"/>
        <w:left w:val="none" w:sz="0" w:space="0" w:color="auto"/>
        <w:bottom w:val="none" w:sz="0" w:space="0" w:color="auto"/>
        <w:right w:val="none" w:sz="0" w:space="0" w:color="auto"/>
      </w:divBdr>
    </w:div>
    <w:div w:id="718163928">
      <w:bodyDiv w:val="1"/>
      <w:marLeft w:val="0"/>
      <w:marRight w:val="0"/>
      <w:marTop w:val="0"/>
      <w:marBottom w:val="0"/>
      <w:divBdr>
        <w:top w:val="none" w:sz="0" w:space="0" w:color="auto"/>
        <w:left w:val="none" w:sz="0" w:space="0" w:color="auto"/>
        <w:bottom w:val="none" w:sz="0" w:space="0" w:color="auto"/>
        <w:right w:val="none" w:sz="0" w:space="0" w:color="auto"/>
      </w:divBdr>
    </w:div>
    <w:div w:id="723987343">
      <w:bodyDiv w:val="1"/>
      <w:marLeft w:val="0"/>
      <w:marRight w:val="0"/>
      <w:marTop w:val="0"/>
      <w:marBottom w:val="0"/>
      <w:divBdr>
        <w:top w:val="none" w:sz="0" w:space="0" w:color="auto"/>
        <w:left w:val="none" w:sz="0" w:space="0" w:color="auto"/>
        <w:bottom w:val="none" w:sz="0" w:space="0" w:color="auto"/>
        <w:right w:val="none" w:sz="0" w:space="0" w:color="auto"/>
      </w:divBdr>
    </w:div>
    <w:div w:id="724643386">
      <w:bodyDiv w:val="1"/>
      <w:marLeft w:val="0"/>
      <w:marRight w:val="0"/>
      <w:marTop w:val="0"/>
      <w:marBottom w:val="0"/>
      <w:divBdr>
        <w:top w:val="none" w:sz="0" w:space="0" w:color="auto"/>
        <w:left w:val="none" w:sz="0" w:space="0" w:color="auto"/>
        <w:bottom w:val="none" w:sz="0" w:space="0" w:color="auto"/>
        <w:right w:val="none" w:sz="0" w:space="0" w:color="auto"/>
      </w:divBdr>
    </w:div>
    <w:div w:id="726415170">
      <w:bodyDiv w:val="1"/>
      <w:marLeft w:val="0"/>
      <w:marRight w:val="0"/>
      <w:marTop w:val="0"/>
      <w:marBottom w:val="0"/>
      <w:divBdr>
        <w:top w:val="none" w:sz="0" w:space="0" w:color="auto"/>
        <w:left w:val="none" w:sz="0" w:space="0" w:color="auto"/>
        <w:bottom w:val="none" w:sz="0" w:space="0" w:color="auto"/>
        <w:right w:val="none" w:sz="0" w:space="0" w:color="auto"/>
      </w:divBdr>
    </w:div>
    <w:div w:id="834958569">
      <w:bodyDiv w:val="1"/>
      <w:marLeft w:val="0"/>
      <w:marRight w:val="0"/>
      <w:marTop w:val="0"/>
      <w:marBottom w:val="0"/>
      <w:divBdr>
        <w:top w:val="none" w:sz="0" w:space="0" w:color="auto"/>
        <w:left w:val="none" w:sz="0" w:space="0" w:color="auto"/>
        <w:bottom w:val="none" w:sz="0" w:space="0" w:color="auto"/>
        <w:right w:val="none" w:sz="0" w:space="0" w:color="auto"/>
      </w:divBdr>
    </w:div>
    <w:div w:id="848255552">
      <w:bodyDiv w:val="1"/>
      <w:marLeft w:val="0"/>
      <w:marRight w:val="0"/>
      <w:marTop w:val="0"/>
      <w:marBottom w:val="0"/>
      <w:divBdr>
        <w:top w:val="none" w:sz="0" w:space="0" w:color="auto"/>
        <w:left w:val="none" w:sz="0" w:space="0" w:color="auto"/>
        <w:bottom w:val="none" w:sz="0" w:space="0" w:color="auto"/>
        <w:right w:val="none" w:sz="0" w:space="0" w:color="auto"/>
      </w:divBdr>
    </w:div>
    <w:div w:id="862521581">
      <w:bodyDiv w:val="1"/>
      <w:marLeft w:val="0"/>
      <w:marRight w:val="0"/>
      <w:marTop w:val="0"/>
      <w:marBottom w:val="0"/>
      <w:divBdr>
        <w:top w:val="none" w:sz="0" w:space="0" w:color="auto"/>
        <w:left w:val="none" w:sz="0" w:space="0" w:color="auto"/>
        <w:bottom w:val="none" w:sz="0" w:space="0" w:color="auto"/>
        <w:right w:val="none" w:sz="0" w:space="0" w:color="auto"/>
      </w:divBdr>
    </w:div>
    <w:div w:id="874276362">
      <w:bodyDiv w:val="1"/>
      <w:marLeft w:val="0"/>
      <w:marRight w:val="0"/>
      <w:marTop w:val="0"/>
      <w:marBottom w:val="0"/>
      <w:divBdr>
        <w:top w:val="none" w:sz="0" w:space="0" w:color="auto"/>
        <w:left w:val="none" w:sz="0" w:space="0" w:color="auto"/>
        <w:bottom w:val="none" w:sz="0" w:space="0" w:color="auto"/>
        <w:right w:val="none" w:sz="0" w:space="0" w:color="auto"/>
      </w:divBdr>
    </w:div>
    <w:div w:id="930046870">
      <w:bodyDiv w:val="1"/>
      <w:marLeft w:val="0"/>
      <w:marRight w:val="0"/>
      <w:marTop w:val="0"/>
      <w:marBottom w:val="0"/>
      <w:divBdr>
        <w:top w:val="none" w:sz="0" w:space="0" w:color="auto"/>
        <w:left w:val="none" w:sz="0" w:space="0" w:color="auto"/>
        <w:bottom w:val="none" w:sz="0" w:space="0" w:color="auto"/>
        <w:right w:val="none" w:sz="0" w:space="0" w:color="auto"/>
      </w:divBdr>
    </w:div>
    <w:div w:id="940454983">
      <w:bodyDiv w:val="1"/>
      <w:marLeft w:val="0"/>
      <w:marRight w:val="0"/>
      <w:marTop w:val="0"/>
      <w:marBottom w:val="0"/>
      <w:divBdr>
        <w:top w:val="none" w:sz="0" w:space="0" w:color="auto"/>
        <w:left w:val="none" w:sz="0" w:space="0" w:color="auto"/>
        <w:bottom w:val="none" w:sz="0" w:space="0" w:color="auto"/>
        <w:right w:val="none" w:sz="0" w:space="0" w:color="auto"/>
      </w:divBdr>
    </w:div>
    <w:div w:id="955986397">
      <w:bodyDiv w:val="1"/>
      <w:marLeft w:val="0"/>
      <w:marRight w:val="0"/>
      <w:marTop w:val="0"/>
      <w:marBottom w:val="0"/>
      <w:divBdr>
        <w:top w:val="none" w:sz="0" w:space="0" w:color="auto"/>
        <w:left w:val="none" w:sz="0" w:space="0" w:color="auto"/>
        <w:bottom w:val="none" w:sz="0" w:space="0" w:color="auto"/>
        <w:right w:val="none" w:sz="0" w:space="0" w:color="auto"/>
      </w:divBdr>
    </w:div>
    <w:div w:id="958296317">
      <w:bodyDiv w:val="1"/>
      <w:marLeft w:val="0"/>
      <w:marRight w:val="0"/>
      <w:marTop w:val="0"/>
      <w:marBottom w:val="0"/>
      <w:divBdr>
        <w:top w:val="none" w:sz="0" w:space="0" w:color="auto"/>
        <w:left w:val="none" w:sz="0" w:space="0" w:color="auto"/>
        <w:bottom w:val="none" w:sz="0" w:space="0" w:color="auto"/>
        <w:right w:val="none" w:sz="0" w:space="0" w:color="auto"/>
      </w:divBdr>
    </w:div>
    <w:div w:id="1013646869">
      <w:bodyDiv w:val="1"/>
      <w:marLeft w:val="0"/>
      <w:marRight w:val="0"/>
      <w:marTop w:val="0"/>
      <w:marBottom w:val="0"/>
      <w:divBdr>
        <w:top w:val="none" w:sz="0" w:space="0" w:color="auto"/>
        <w:left w:val="none" w:sz="0" w:space="0" w:color="auto"/>
        <w:bottom w:val="none" w:sz="0" w:space="0" w:color="auto"/>
        <w:right w:val="none" w:sz="0" w:space="0" w:color="auto"/>
      </w:divBdr>
    </w:div>
    <w:div w:id="1023554191">
      <w:bodyDiv w:val="1"/>
      <w:marLeft w:val="0"/>
      <w:marRight w:val="0"/>
      <w:marTop w:val="0"/>
      <w:marBottom w:val="0"/>
      <w:divBdr>
        <w:top w:val="none" w:sz="0" w:space="0" w:color="auto"/>
        <w:left w:val="none" w:sz="0" w:space="0" w:color="auto"/>
        <w:bottom w:val="none" w:sz="0" w:space="0" w:color="auto"/>
        <w:right w:val="none" w:sz="0" w:space="0" w:color="auto"/>
      </w:divBdr>
    </w:div>
    <w:div w:id="1026174136">
      <w:bodyDiv w:val="1"/>
      <w:marLeft w:val="0"/>
      <w:marRight w:val="0"/>
      <w:marTop w:val="0"/>
      <w:marBottom w:val="0"/>
      <w:divBdr>
        <w:top w:val="none" w:sz="0" w:space="0" w:color="auto"/>
        <w:left w:val="none" w:sz="0" w:space="0" w:color="auto"/>
        <w:bottom w:val="none" w:sz="0" w:space="0" w:color="auto"/>
        <w:right w:val="none" w:sz="0" w:space="0" w:color="auto"/>
      </w:divBdr>
    </w:div>
    <w:div w:id="1149059745">
      <w:bodyDiv w:val="1"/>
      <w:marLeft w:val="0"/>
      <w:marRight w:val="0"/>
      <w:marTop w:val="0"/>
      <w:marBottom w:val="0"/>
      <w:divBdr>
        <w:top w:val="none" w:sz="0" w:space="0" w:color="auto"/>
        <w:left w:val="none" w:sz="0" w:space="0" w:color="auto"/>
        <w:bottom w:val="none" w:sz="0" w:space="0" w:color="auto"/>
        <w:right w:val="none" w:sz="0" w:space="0" w:color="auto"/>
      </w:divBdr>
    </w:div>
    <w:div w:id="1158691743">
      <w:bodyDiv w:val="1"/>
      <w:marLeft w:val="0"/>
      <w:marRight w:val="0"/>
      <w:marTop w:val="0"/>
      <w:marBottom w:val="0"/>
      <w:divBdr>
        <w:top w:val="none" w:sz="0" w:space="0" w:color="auto"/>
        <w:left w:val="none" w:sz="0" w:space="0" w:color="auto"/>
        <w:bottom w:val="none" w:sz="0" w:space="0" w:color="auto"/>
        <w:right w:val="none" w:sz="0" w:space="0" w:color="auto"/>
      </w:divBdr>
    </w:div>
    <w:div w:id="1163620412">
      <w:bodyDiv w:val="1"/>
      <w:marLeft w:val="0"/>
      <w:marRight w:val="0"/>
      <w:marTop w:val="0"/>
      <w:marBottom w:val="0"/>
      <w:divBdr>
        <w:top w:val="none" w:sz="0" w:space="0" w:color="auto"/>
        <w:left w:val="none" w:sz="0" w:space="0" w:color="auto"/>
        <w:bottom w:val="none" w:sz="0" w:space="0" w:color="auto"/>
        <w:right w:val="none" w:sz="0" w:space="0" w:color="auto"/>
      </w:divBdr>
    </w:div>
    <w:div w:id="1188375493">
      <w:bodyDiv w:val="1"/>
      <w:marLeft w:val="0"/>
      <w:marRight w:val="0"/>
      <w:marTop w:val="0"/>
      <w:marBottom w:val="0"/>
      <w:divBdr>
        <w:top w:val="none" w:sz="0" w:space="0" w:color="auto"/>
        <w:left w:val="none" w:sz="0" w:space="0" w:color="auto"/>
        <w:bottom w:val="none" w:sz="0" w:space="0" w:color="auto"/>
        <w:right w:val="none" w:sz="0" w:space="0" w:color="auto"/>
      </w:divBdr>
    </w:div>
    <w:div w:id="1198816069">
      <w:bodyDiv w:val="1"/>
      <w:marLeft w:val="0"/>
      <w:marRight w:val="0"/>
      <w:marTop w:val="0"/>
      <w:marBottom w:val="0"/>
      <w:divBdr>
        <w:top w:val="none" w:sz="0" w:space="0" w:color="auto"/>
        <w:left w:val="none" w:sz="0" w:space="0" w:color="auto"/>
        <w:bottom w:val="none" w:sz="0" w:space="0" w:color="auto"/>
        <w:right w:val="none" w:sz="0" w:space="0" w:color="auto"/>
      </w:divBdr>
    </w:div>
    <w:div w:id="1255087424">
      <w:bodyDiv w:val="1"/>
      <w:marLeft w:val="0"/>
      <w:marRight w:val="0"/>
      <w:marTop w:val="0"/>
      <w:marBottom w:val="0"/>
      <w:divBdr>
        <w:top w:val="none" w:sz="0" w:space="0" w:color="auto"/>
        <w:left w:val="none" w:sz="0" w:space="0" w:color="auto"/>
        <w:bottom w:val="none" w:sz="0" w:space="0" w:color="auto"/>
        <w:right w:val="none" w:sz="0" w:space="0" w:color="auto"/>
      </w:divBdr>
    </w:div>
    <w:div w:id="1256784347">
      <w:bodyDiv w:val="1"/>
      <w:marLeft w:val="0"/>
      <w:marRight w:val="0"/>
      <w:marTop w:val="0"/>
      <w:marBottom w:val="0"/>
      <w:divBdr>
        <w:top w:val="none" w:sz="0" w:space="0" w:color="auto"/>
        <w:left w:val="none" w:sz="0" w:space="0" w:color="auto"/>
        <w:bottom w:val="none" w:sz="0" w:space="0" w:color="auto"/>
        <w:right w:val="none" w:sz="0" w:space="0" w:color="auto"/>
      </w:divBdr>
    </w:div>
    <w:div w:id="1263341988">
      <w:bodyDiv w:val="1"/>
      <w:marLeft w:val="0"/>
      <w:marRight w:val="0"/>
      <w:marTop w:val="0"/>
      <w:marBottom w:val="0"/>
      <w:divBdr>
        <w:top w:val="none" w:sz="0" w:space="0" w:color="auto"/>
        <w:left w:val="none" w:sz="0" w:space="0" w:color="auto"/>
        <w:bottom w:val="none" w:sz="0" w:space="0" w:color="auto"/>
        <w:right w:val="none" w:sz="0" w:space="0" w:color="auto"/>
      </w:divBdr>
    </w:div>
    <w:div w:id="1266159570">
      <w:bodyDiv w:val="1"/>
      <w:marLeft w:val="0"/>
      <w:marRight w:val="0"/>
      <w:marTop w:val="0"/>
      <w:marBottom w:val="0"/>
      <w:divBdr>
        <w:top w:val="none" w:sz="0" w:space="0" w:color="auto"/>
        <w:left w:val="none" w:sz="0" w:space="0" w:color="auto"/>
        <w:bottom w:val="none" w:sz="0" w:space="0" w:color="auto"/>
        <w:right w:val="none" w:sz="0" w:space="0" w:color="auto"/>
      </w:divBdr>
    </w:div>
    <w:div w:id="1281372988">
      <w:bodyDiv w:val="1"/>
      <w:marLeft w:val="0"/>
      <w:marRight w:val="0"/>
      <w:marTop w:val="0"/>
      <w:marBottom w:val="0"/>
      <w:divBdr>
        <w:top w:val="none" w:sz="0" w:space="0" w:color="auto"/>
        <w:left w:val="none" w:sz="0" w:space="0" w:color="auto"/>
        <w:bottom w:val="none" w:sz="0" w:space="0" w:color="auto"/>
        <w:right w:val="none" w:sz="0" w:space="0" w:color="auto"/>
      </w:divBdr>
    </w:div>
    <w:div w:id="1336179189">
      <w:bodyDiv w:val="1"/>
      <w:marLeft w:val="0"/>
      <w:marRight w:val="0"/>
      <w:marTop w:val="0"/>
      <w:marBottom w:val="0"/>
      <w:divBdr>
        <w:top w:val="none" w:sz="0" w:space="0" w:color="auto"/>
        <w:left w:val="none" w:sz="0" w:space="0" w:color="auto"/>
        <w:bottom w:val="none" w:sz="0" w:space="0" w:color="auto"/>
        <w:right w:val="none" w:sz="0" w:space="0" w:color="auto"/>
      </w:divBdr>
    </w:div>
    <w:div w:id="1340154386">
      <w:bodyDiv w:val="1"/>
      <w:marLeft w:val="0"/>
      <w:marRight w:val="0"/>
      <w:marTop w:val="0"/>
      <w:marBottom w:val="0"/>
      <w:divBdr>
        <w:top w:val="none" w:sz="0" w:space="0" w:color="auto"/>
        <w:left w:val="none" w:sz="0" w:space="0" w:color="auto"/>
        <w:bottom w:val="none" w:sz="0" w:space="0" w:color="auto"/>
        <w:right w:val="none" w:sz="0" w:space="0" w:color="auto"/>
      </w:divBdr>
    </w:div>
    <w:div w:id="1357535973">
      <w:bodyDiv w:val="1"/>
      <w:marLeft w:val="0"/>
      <w:marRight w:val="0"/>
      <w:marTop w:val="0"/>
      <w:marBottom w:val="0"/>
      <w:divBdr>
        <w:top w:val="none" w:sz="0" w:space="0" w:color="auto"/>
        <w:left w:val="none" w:sz="0" w:space="0" w:color="auto"/>
        <w:bottom w:val="none" w:sz="0" w:space="0" w:color="auto"/>
        <w:right w:val="none" w:sz="0" w:space="0" w:color="auto"/>
      </w:divBdr>
    </w:div>
    <w:div w:id="1377924708">
      <w:bodyDiv w:val="1"/>
      <w:marLeft w:val="0"/>
      <w:marRight w:val="0"/>
      <w:marTop w:val="0"/>
      <w:marBottom w:val="0"/>
      <w:divBdr>
        <w:top w:val="none" w:sz="0" w:space="0" w:color="auto"/>
        <w:left w:val="none" w:sz="0" w:space="0" w:color="auto"/>
        <w:bottom w:val="none" w:sz="0" w:space="0" w:color="auto"/>
        <w:right w:val="none" w:sz="0" w:space="0" w:color="auto"/>
      </w:divBdr>
    </w:div>
    <w:div w:id="1392070986">
      <w:bodyDiv w:val="1"/>
      <w:marLeft w:val="0"/>
      <w:marRight w:val="0"/>
      <w:marTop w:val="0"/>
      <w:marBottom w:val="0"/>
      <w:divBdr>
        <w:top w:val="none" w:sz="0" w:space="0" w:color="auto"/>
        <w:left w:val="none" w:sz="0" w:space="0" w:color="auto"/>
        <w:bottom w:val="none" w:sz="0" w:space="0" w:color="auto"/>
        <w:right w:val="none" w:sz="0" w:space="0" w:color="auto"/>
      </w:divBdr>
    </w:div>
    <w:div w:id="1469319184">
      <w:bodyDiv w:val="1"/>
      <w:marLeft w:val="0"/>
      <w:marRight w:val="0"/>
      <w:marTop w:val="0"/>
      <w:marBottom w:val="0"/>
      <w:divBdr>
        <w:top w:val="none" w:sz="0" w:space="0" w:color="auto"/>
        <w:left w:val="none" w:sz="0" w:space="0" w:color="auto"/>
        <w:bottom w:val="none" w:sz="0" w:space="0" w:color="auto"/>
        <w:right w:val="none" w:sz="0" w:space="0" w:color="auto"/>
      </w:divBdr>
    </w:div>
    <w:div w:id="1478647507">
      <w:bodyDiv w:val="1"/>
      <w:marLeft w:val="0"/>
      <w:marRight w:val="0"/>
      <w:marTop w:val="0"/>
      <w:marBottom w:val="0"/>
      <w:divBdr>
        <w:top w:val="none" w:sz="0" w:space="0" w:color="auto"/>
        <w:left w:val="none" w:sz="0" w:space="0" w:color="auto"/>
        <w:bottom w:val="none" w:sz="0" w:space="0" w:color="auto"/>
        <w:right w:val="none" w:sz="0" w:space="0" w:color="auto"/>
      </w:divBdr>
    </w:div>
    <w:div w:id="1501582529">
      <w:bodyDiv w:val="1"/>
      <w:marLeft w:val="0"/>
      <w:marRight w:val="0"/>
      <w:marTop w:val="0"/>
      <w:marBottom w:val="0"/>
      <w:divBdr>
        <w:top w:val="none" w:sz="0" w:space="0" w:color="auto"/>
        <w:left w:val="none" w:sz="0" w:space="0" w:color="auto"/>
        <w:bottom w:val="none" w:sz="0" w:space="0" w:color="auto"/>
        <w:right w:val="none" w:sz="0" w:space="0" w:color="auto"/>
      </w:divBdr>
    </w:div>
    <w:div w:id="1518687900">
      <w:bodyDiv w:val="1"/>
      <w:marLeft w:val="0"/>
      <w:marRight w:val="0"/>
      <w:marTop w:val="0"/>
      <w:marBottom w:val="0"/>
      <w:divBdr>
        <w:top w:val="none" w:sz="0" w:space="0" w:color="auto"/>
        <w:left w:val="none" w:sz="0" w:space="0" w:color="auto"/>
        <w:bottom w:val="none" w:sz="0" w:space="0" w:color="auto"/>
        <w:right w:val="none" w:sz="0" w:space="0" w:color="auto"/>
      </w:divBdr>
    </w:div>
    <w:div w:id="1671448638">
      <w:bodyDiv w:val="1"/>
      <w:marLeft w:val="0"/>
      <w:marRight w:val="0"/>
      <w:marTop w:val="0"/>
      <w:marBottom w:val="0"/>
      <w:divBdr>
        <w:top w:val="none" w:sz="0" w:space="0" w:color="auto"/>
        <w:left w:val="none" w:sz="0" w:space="0" w:color="auto"/>
        <w:bottom w:val="none" w:sz="0" w:space="0" w:color="auto"/>
        <w:right w:val="none" w:sz="0" w:space="0" w:color="auto"/>
      </w:divBdr>
    </w:div>
    <w:div w:id="1672023280">
      <w:bodyDiv w:val="1"/>
      <w:marLeft w:val="0"/>
      <w:marRight w:val="0"/>
      <w:marTop w:val="0"/>
      <w:marBottom w:val="0"/>
      <w:divBdr>
        <w:top w:val="none" w:sz="0" w:space="0" w:color="auto"/>
        <w:left w:val="none" w:sz="0" w:space="0" w:color="auto"/>
        <w:bottom w:val="none" w:sz="0" w:space="0" w:color="auto"/>
        <w:right w:val="none" w:sz="0" w:space="0" w:color="auto"/>
      </w:divBdr>
    </w:div>
    <w:div w:id="1703092438">
      <w:bodyDiv w:val="1"/>
      <w:marLeft w:val="0"/>
      <w:marRight w:val="0"/>
      <w:marTop w:val="0"/>
      <w:marBottom w:val="0"/>
      <w:divBdr>
        <w:top w:val="none" w:sz="0" w:space="0" w:color="auto"/>
        <w:left w:val="none" w:sz="0" w:space="0" w:color="auto"/>
        <w:bottom w:val="none" w:sz="0" w:space="0" w:color="auto"/>
        <w:right w:val="none" w:sz="0" w:space="0" w:color="auto"/>
      </w:divBdr>
    </w:div>
    <w:div w:id="1727411465">
      <w:bodyDiv w:val="1"/>
      <w:marLeft w:val="0"/>
      <w:marRight w:val="0"/>
      <w:marTop w:val="0"/>
      <w:marBottom w:val="0"/>
      <w:divBdr>
        <w:top w:val="none" w:sz="0" w:space="0" w:color="auto"/>
        <w:left w:val="none" w:sz="0" w:space="0" w:color="auto"/>
        <w:bottom w:val="none" w:sz="0" w:space="0" w:color="auto"/>
        <w:right w:val="none" w:sz="0" w:space="0" w:color="auto"/>
      </w:divBdr>
    </w:div>
    <w:div w:id="1759864373">
      <w:bodyDiv w:val="1"/>
      <w:marLeft w:val="0"/>
      <w:marRight w:val="0"/>
      <w:marTop w:val="0"/>
      <w:marBottom w:val="0"/>
      <w:divBdr>
        <w:top w:val="none" w:sz="0" w:space="0" w:color="auto"/>
        <w:left w:val="none" w:sz="0" w:space="0" w:color="auto"/>
        <w:bottom w:val="none" w:sz="0" w:space="0" w:color="auto"/>
        <w:right w:val="none" w:sz="0" w:space="0" w:color="auto"/>
      </w:divBdr>
    </w:div>
    <w:div w:id="1825394432">
      <w:bodyDiv w:val="1"/>
      <w:marLeft w:val="0"/>
      <w:marRight w:val="0"/>
      <w:marTop w:val="0"/>
      <w:marBottom w:val="0"/>
      <w:divBdr>
        <w:top w:val="none" w:sz="0" w:space="0" w:color="auto"/>
        <w:left w:val="none" w:sz="0" w:space="0" w:color="auto"/>
        <w:bottom w:val="none" w:sz="0" w:space="0" w:color="auto"/>
        <w:right w:val="none" w:sz="0" w:space="0" w:color="auto"/>
      </w:divBdr>
    </w:div>
    <w:div w:id="1859536853">
      <w:bodyDiv w:val="1"/>
      <w:marLeft w:val="0"/>
      <w:marRight w:val="0"/>
      <w:marTop w:val="0"/>
      <w:marBottom w:val="0"/>
      <w:divBdr>
        <w:top w:val="none" w:sz="0" w:space="0" w:color="auto"/>
        <w:left w:val="none" w:sz="0" w:space="0" w:color="auto"/>
        <w:bottom w:val="none" w:sz="0" w:space="0" w:color="auto"/>
        <w:right w:val="none" w:sz="0" w:space="0" w:color="auto"/>
      </w:divBdr>
    </w:div>
    <w:div w:id="1864662986">
      <w:bodyDiv w:val="1"/>
      <w:marLeft w:val="0"/>
      <w:marRight w:val="0"/>
      <w:marTop w:val="0"/>
      <w:marBottom w:val="0"/>
      <w:divBdr>
        <w:top w:val="none" w:sz="0" w:space="0" w:color="auto"/>
        <w:left w:val="none" w:sz="0" w:space="0" w:color="auto"/>
        <w:bottom w:val="none" w:sz="0" w:space="0" w:color="auto"/>
        <w:right w:val="none" w:sz="0" w:space="0" w:color="auto"/>
      </w:divBdr>
    </w:div>
    <w:div w:id="1905869295">
      <w:bodyDiv w:val="1"/>
      <w:marLeft w:val="0"/>
      <w:marRight w:val="0"/>
      <w:marTop w:val="0"/>
      <w:marBottom w:val="0"/>
      <w:divBdr>
        <w:top w:val="none" w:sz="0" w:space="0" w:color="auto"/>
        <w:left w:val="none" w:sz="0" w:space="0" w:color="auto"/>
        <w:bottom w:val="none" w:sz="0" w:space="0" w:color="auto"/>
        <w:right w:val="none" w:sz="0" w:space="0" w:color="auto"/>
      </w:divBdr>
    </w:div>
    <w:div w:id="1906454544">
      <w:bodyDiv w:val="1"/>
      <w:marLeft w:val="0"/>
      <w:marRight w:val="0"/>
      <w:marTop w:val="0"/>
      <w:marBottom w:val="0"/>
      <w:divBdr>
        <w:top w:val="none" w:sz="0" w:space="0" w:color="auto"/>
        <w:left w:val="none" w:sz="0" w:space="0" w:color="auto"/>
        <w:bottom w:val="none" w:sz="0" w:space="0" w:color="auto"/>
        <w:right w:val="none" w:sz="0" w:space="0" w:color="auto"/>
      </w:divBdr>
    </w:div>
    <w:div w:id="1908101505">
      <w:bodyDiv w:val="1"/>
      <w:marLeft w:val="0"/>
      <w:marRight w:val="0"/>
      <w:marTop w:val="0"/>
      <w:marBottom w:val="0"/>
      <w:divBdr>
        <w:top w:val="none" w:sz="0" w:space="0" w:color="auto"/>
        <w:left w:val="none" w:sz="0" w:space="0" w:color="auto"/>
        <w:bottom w:val="none" w:sz="0" w:space="0" w:color="auto"/>
        <w:right w:val="none" w:sz="0" w:space="0" w:color="auto"/>
      </w:divBdr>
    </w:div>
    <w:div w:id="1932423549">
      <w:bodyDiv w:val="1"/>
      <w:marLeft w:val="0"/>
      <w:marRight w:val="0"/>
      <w:marTop w:val="0"/>
      <w:marBottom w:val="0"/>
      <w:divBdr>
        <w:top w:val="none" w:sz="0" w:space="0" w:color="auto"/>
        <w:left w:val="none" w:sz="0" w:space="0" w:color="auto"/>
        <w:bottom w:val="none" w:sz="0" w:space="0" w:color="auto"/>
        <w:right w:val="none" w:sz="0" w:space="0" w:color="auto"/>
      </w:divBdr>
    </w:div>
    <w:div w:id="1938754098">
      <w:bodyDiv w:val="1"/>
      <w:marLeft w:val="0"/>
      <w:marRight w:val="0"/>
      <w:marTop w:val="0"/>
      <w:marBottom w:val="0"/>
      <w:divBdr>
        <w:top w:val="none" w:sz="0" w:space="0" w:color="auto"/>
        <w:left w:val="none" w:sz="0" w:space="0" w:color="auto"/>
        <w:bottom w:val="none" w:sz="0" w:space="0" w:color="auto"/>
        <w:right w:val="none" w:sz="0" w:space="0" w:color="auto"/>
      </w:divBdr>
    </w:div>
    <w:div w:id="1994484301">
      <w:bodyDiv w:val="1"/>
      <w:marLeft w:val="0"/>
      <w:marRight w:val="0"/>
      <w:marTop w:val="0"/>
      <w:marBottom w:val="0"/>
      <w:divBdr>
        <w:top w:val="none" w:sz="0" w:space="0" w:color="auto"/>
        <w:left w:val="none" w:sz="0" w:space="0" w:color="auto"/>
        <w:bottom w:val="none" w:sz="0" w:space="0" w:color="auto"/>
        <w:right w:val="none" w:sz="0" w:space="0" w:color="auto"/>
      </w:divBdr>
    </w:div>
    <w:div w:id="1994986606">
      <w:bodyDiv w:val="1"/>
      <w:marLeft w:val="0"/>
      <w:marRight w:val="0"/>
      <w:marTop w:val="0"/>
      <w:marBottom w:val="0"/>
      <w:divBdr>
        <w:top w:val="none" w:sz="0" w:space="0" w:color="auto"/>
        <w:left w:val="none" w:sz="0" w:space="0" w:color="auto"/>
        <w:bottom w:val="none" w:sz="0" w:space="0" w:color="auto"/>
        <w:right w:val="none" w:sz="0" w:space="0" w:color="auto"/>
      </w:divBdr>
    </w:div>
    <w:div w:id="2032561416">
      <w:bodyDiv w:val="1"/>
      <w:marLeft w:val="0"/>
      <w:marRight w:val="0"/>
      <w:marTop w:val="0"/>
      <w:marBottom w:val="0"/>
      <w:divBdr>
        <w:top w:val="none" w:sz="0" w:space="0" w:color="auto"/>
        <w:left w:val="none" w:sz="0" w:space="0" w:color="auto"/>
        <w:bottom w:val="none" w:sz="0" w:space="0" w:color="auto"/>
        <w:right w:val="none" w:sz="0" w:space="0" w:color="auto"/>
      </w:divBdr>
    </w:div>
    <w:div w:id="2044674386">
      <w:bodyDiv w:val="1"/>
      <w:marLeft w:val="0"/>
      <w:marRight w:val="0"/>
      <w:marTop w:val="0"/>
      <w:marBottom w:val="0"/>
      <w:divBdr>
        <w:top w:val="none" w:sz="0" w:space="0" w:color="auto"/>
        <w:left w:val="none" w:sz="0" w:space="0" w:color="auto"/>
        <w:bottom w:val="none" w:sz="0" w:space="0" w:color="auto"/>
        <w:right w:val="none" w:sz="0" w:space="0" w:color="auto"/>
      </w:divBdr>
    </w:div>
    <w:div w:id="2064908748">
      <w:bodyDiv w:val="1"/>
      <w:marLeft w:val="0"/>
      <w:marRight w:val="0"/>
      <w:marTop w:val="0"/>
      <w:marBottom w:val="0"/>
      <w:divBdr>
        <w:top w:val="none" w:sz="0" w:space="0" w:color="auto"/>
        <w:left w:val="none" w:sz="0" w:space="0" w:color="auto"/>
        <w:bottom w:val="none" w:sz="0" w:space="0" w:color="auto"/>
        <w:right w:val="none" w:sz="0" w:space="0" w:color="auto"/>
      </w:divBdr>
    </w:div>
    <w:div w:id="2078045295">
      <w:bodyDiv w:val="1"/>
      <w:marLeft w:val="0"/>
      <w:marRight w:val="0"/>
      <w:marTop w:val="0"/>
      <w:marBottom w:val="0"/>
      <w:divBdr>
        <w:top w:val="none" w:sz="0" w:space="0" w:color="auto"/>
        <w:left w:val="none" w:sz="0" w:space="0" w:color="auto"/>
        <w:bottom w:val="none" w:sz="0" w:space="0" w:color="auto"/>
        <w:right w:val="none" w:sz="0" w:space="0" w:color="auto"/>
      </w:divBdr>
    </w:div>
    <w:div w:id="2094661658">
      <w:bodyDiv w:val="1"/>
      <w:marLeft w:val="0"/>
      <w:marRight w:val="0"/>
      <w:marTop w:val="0"/>
      <w:marBottom w:val="0"/>
      <w:divBdr>
        <w:top w:val="none" w:sz="0" w:space="0" w:color="auto"/>
        <w:left w:val="none" w:sz="0" w:space="0" w:color="auto"/>
        <w:bottom w:val="none" w:sz="0" w:space="0" w:color="auto"/>
        <w:right w:val="none" w:sz="0" w:space="0" w:color="auto"/>
      </w:divBdr>
    </w:div>
    <w:div w:id="2107916725">
      <w:bodyDiv w:val="1"/>
      <w:marLeft w:val="0"/>
      <w:marRight w:val="0"/>
      <w:marTop w:val="0"/>
      <w:marBottom w:val="0"/>
      <w:divBdr>
        <w:top w:val="none" w:sz="0" w:space="0" w:color="auto"/>
        <w:left w:val="none" w:sz="0" w:space="0" w:color="auto"/>
        <w:bottom w:val="none" w:sz="0" w:space="0" w:color="auto"/>
        <w:right w:val="none" w:sz="0" w:space="0" w:color="auto"/>
      </w:divBdr>
    </w:div>
    <w:div w:id="2126390271">
      <w:bodyDiv w:val="1"/>
      <w:marLeft w:val="0"/>
      <w:marRight w:val="0"/>
      <w:marTop w:val="0"/>
      <w:marBottom w:val="0"/>
      <w:divBdr>
        <w:top w:val="none" w:sz="0" w:space="0" w:color="auto"/>
        <w:left w:val="none" w:sz="0" w:space="0" w:color="auto"/>
        <w:bottom w:val="none" w:sz="0" w:space="0" w:color="auto"/>
        <w:right w:val="none" w:sz="0" w:space="0" w:color="auto"/>
      </w:divBdr>
    </w:div>
    <w:div w:id="213995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25497</Words>
  <Characters>145339</Characters>
  <Application>Microsoft Office Word</Application>
  <DocSecurity>4</DocSecurity>
  <Lines>1211</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Walls, Kennedy</dc:creator>
  <cp:keywords/>
  <dc:description/>
  <cp:lastModifiedBy>Hein, David</cp:lastModifiedBy>
  <cp:revision>2</cp:revision>
  <dcterms:created xsi:type="dcterms:W3CDTF">2023-03-07T22:50:00Z</dcterms:created>
  <dcterms:modified xsi:type="dcterms:W3CDTF">2023-03-07T22:50:00Z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zotero-version="6.0.16"&gt;&lt;session id="8dHjENI5"/&gt;&lt;style id="http://www.zotero.org/styles/frontiers-in-pharmacology" hasBibliography="1" bibliographyStyleHasBeenSet="1"/&gt;&lt;prefs&gt;&lt;pref name="fieldType" value="Field"/&gt;&lt;pref name="automat</vt:lpwstr>
  </property>
  <property fmtid="{D5CDD505-2E9C-101B-9397-08002B2CF9AE}" pid="3" name="ZOTERO_PREF_2">
    <vt:lpwstr>icJournalAbbreviations" value="true"/&gt;&lt;pref name="dontAskDelayCitationUpdates" value="true"/&gt;&lt;/prefs&gt;&lt;/data&gt;</vt:lpwstr>
  </property>
</Properties>
</file>