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14EF6" w14:textId="0F5DB3A5" w:rsidR="00A911D0" w:rsidRDefault="00A911D0" w:rsidP="00A911D0">
      <w:pPr>
        <w:pStyle w:val="SupplementaryMaterial"/>
      </w:pPr>
      <w:r>
        <w:t>Supplementary Information</w:t>
      </w:r>
    </w:p>
    <w:p w14:paraId="094F54EE" w14:textId="0B71BC46" w:rsidR="00C663E9" w:rsidRDefault="00C663E9" w:rsidP="00A911D0">
      <w:pPr>
        <w:pStyle w:val="Heading1"/>
      </w:pPr>
      <w:r>
        <w:t>Material properties of TiO</w:t>
      </w:r>
      <w:r w:rsidRPr="004D200B">
        <w:rPr>
          <w:vertAlign w:val="subscript"/>
        </w:rPr>
        <w:t>2</w:t>
      </w:r>
    </w:p>
    <w:p w14:paraId="2ACD3116" w14:textId="153B41EB" w:rsidR="00C663E9" w:rsidRDefault="00C663E9" w:rsidP="00C663E9">
      <w:r>
        <w:t>This is linked to Section 2 in the main manuscript. TiO</w:t>
      </w:r>
      <w:r w:rsidRPr="004D200B">
        <w:rPr>
          <w:vertAlign w:val="subscript"/>
        </w:rPr>
        <w:t>2</w:t>
      </w:r>
      <w:r>
        <w:t xml:space="preserve"> was used as the material for metasurface nanostructures. The optical properties of TiO</w:t>
      </w:r>
      <w:r w:rsidRPr="004D200B">
        <w:rPr>
          <w:vertAlign w:val="subscript"/>
        </w:rPr>
        <w:t>2</w:t>
      </w:r>
      <w:r>
        <w:t xml:space="preserve"> are shown in Fig. S1</w:t>
      </w:r>
      <w:r w:rsidR="00D60F5B">
        <w:fldChar w:fldCharType="begin" w:fldLock="1"/>
      </w:r>
      <w:r w:rsidR="00D60F5B">
        <w:instrText>ADDIN CSL_CITATION {"citationItems":[{"id":"ITEM-1","itemData":{"DOI":"10.1038/s41467-021-25797-9","ISSN":"20411723","PMID":"34548490","abstract":"Over the past years, broadband achromatic metalenses have been intensively studied due to their great potential for applications in consumer and industry products. Even though significant progress has been made, the efficiency of technologically relevant silicon metalenses is limited by the intrinsic material loss above the bandgap. In turn, the recently proposed achromatic metalens utilizing transparent, high-index materials such as titanium dioxide has been restricted by the small thickness and showed relatively low focusing efficiency at longer wavelengths. Consequently, metalens-based optical imaging in the biological transparency window has so far been severely limited. Herein, we experimentally demonstrate a polarization-insensitive, broadband titanium dioxide achromatic metalens for applications in the near-infrared biological imaging. A large-scale fabrication technology has been developed to produce titanium dioxide nanopillars with record-high aspect ratios featuring pillar heights of 1.5 µm and ~90° vertical sidewalls. The demonstrated metalens exhibits dramatically increased group delay range, and the spectral range of achromatism is substantially extended to the wavelength range of 650–1000 nm with an average efficiency of 77.1%–88.5% and a numerical aperture of 0.24–0.1. This research paves a solid step towards practical applications of flat photonics.","author":[{"dropping-particle":"","family":"Wang","given":"Yujie","non-dropping-particle":"","parse-names":false,"suffix":""},{"dropping-particle":"","family":"Chen","given":"Qinmiao","non-dropping-particle":"","parse-names":false,"suffix":""},{"dropping-particle":"","family":"Yang","given":"Wenhong","non-dropping-particle":"","parse-names":false,"suffix":""},{"dropping-particle":"","family":"Ji","given":"Ziheng","non-dropping-particle":"","parse-names":false,"suffix":""},{"dropping-particle":"","family":"Jin","given":"Limin","non-dropping-particle":"","parse-names":false,"suffix":""},{"dropping-particle":"","family":"Ma","given":"Xing","non-dropping-particle":"","parse-names":false,"suffix":""},{"dropping-particle":"","family":"Song","given":"Qinghai","non-dropping-particle":"","parse-names":false,"suffix":""},{"dropping-particle":"","family":"Boltasseva","given":"Alexandra","non-dropping-particle":"","parse-names":false,"suffix":""},{"dropping-particle":"","family":"Han","given":"Jiecai","non-dropping-particle":"","parse-names":false,"suffix":""},{"dropping-particle":"","family":"Shalaev","given":"Vladimir M.","non-dropping-particle":"","parse-names":false,"suffix":""},{"dropping-particle":"","family":"Xiao","given":"Shumin","non-dropping-particle":"","parse-names":false,"suffix":""}],"container-title":"Nature Communications","id":"ITEM-1","issue":"1","issued":{"date-parts":[["2021","12","21"]]},"page":"5560","title":"High-efficiency broadband achromatic metalens for near-IR biological imaging window","type":"article-journal","volume":"12"},"uris":["http://www.mendeley.com/documents/?uuid=8770a4e9-267a-317d-acba-36bbc1b7db02"]}],"mendeley":{"formattedCitation":" [1]","plainTextFormattedCitation":" [1]","previouslyFormattedCitation":" [1]"},"properties":{"noteIndex":0},"schema":"https://github.com/citation-style-language/schema/raw/master/csl-citation.json"}</w:instrText>
      </w:r>
      <w:r w:rsidR="00D60F5B">
        <w:fldChar w:fldCharType="separate"/>
      </w:r>
      <w:r w:rsidR="00D60F5B" w:rsidRPr="00D60F5B">
        <w:rPr>
          <w:noProof/>
        </w:rPr>
        <w:t> [1]</w:t>
      </w:r>
      <w:r w:rsidR="00D60F5B">
        <w:fldChar w:fldCharType="end"/>
      </w:r>
      <w:r>
        <w:t>.</w:t>
      </w:r>
    </w:p>
    <w:p w14:paraId="00E30D6B" w14:textId="08FAF1EB" w:rsidR="00D60F5B" w:rsidRDefault="00D60F5B" w:rsidP="00D60F5B">
      <w:pPr>
        <w:jc w:val="center"/>
      </w:pPr>
      <w:r>
        <w:rPr>
          <w:noProof/>
        </w:rPr>
        <w:drawing>
          <wp:inline distT="0" distB="0" distL="0" distR="0" wp14:anchorId="657F6BD5" wp14:editId="39152E16">
            <wp:extent cx="2605178" cy="1940172"/>
            <wp:effectExtent l="0" t="0" r="5080" b="3175"/>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8"/>
                    <a:stretch>
                      <a:fillRect/>
                    </a:stretch>
                  </pic:blipFill>
                  <pic:spPr>
                    <a:xfrm>
                      <a:off x="0" y="0"/>
                      <a:ext cx="2612137" cy="1945355"/>
                    </a:xfrm>
                    <a:prstGeom prst="rect">
                      <a:avLst/>
                    </a:prstGeom>
                  </pic:spPr>
                </pic:pic>
              </a:graphicData>
            </a:graphic>
          </wp:inline>
        </w:drawing>
      </w:r>
    </w:p>
    <w:p w14:paraId="1E1F84D0" w14:textId="39099513" w:rsidR="00D60F5B" w:rsidRPr="00C663E9" w:rsidRDefault="00D60F5B" w:rsidP="004D200B">
      <w:pPr>
        <w:jc w:val="center"/>
      </w:pPr>
      <w:r w:rsidRPr="004D200B">
        <w:rPr>
          <w:b/>
          <w:bCs/>
        </w:rPr>
        <w:t>Figure S1</w:t>
      </w:r>
      <w:r>
        <w:t>. Refractive index of TiO</w:t>
      </w:r>
      <w:r w:rsidRPr="004D200B">
        <w:rPr>
          <w:vertAlign w:val="subscript"/>
        </w:rPr>
        <w:t>2</w:t>
      </w:r>
      <w:r>
        <w:t>.</w:t>
      </w:r>
    </w:p>
    <w:p w14:paraId="4A563165" w14:textId="685112E9" w:rsidR="00A911D0" w:rsidRDefault="00A911D0" w:rsidP="00A911D0">
      <w:pPr>
        <w:pStyle w:val="Heading1"/>
      </w:pPr>
      <w:r w:rsidRPr="001E4257">
        <w:t xml:space="preserve">Phase maps of </w:t>
      </w:r>
      <w:proofErr w:type="spellStart"/>
      <w:r w:rsidRPr="001E4257">
        <w:t>metalens</w:t>
      </w:r>
      <w:proofErr w:type="spellEnd"/>
      <w:r w:rsidRPr="001E4257">
        <w:t xml:space="preserve"> unit cells</w:t>
      </w:r>
    </w:p>
    <w:p w14:paraId="67B1D777" w14:textId="22497034" w:rsidR="00A911D0" w:rsidRPr="00D9376C" w:rsidRDefault="00A911D0" w:rsidP="00C80919">
      <w:r w:rsidRPr="00D9376C">
        <w:t xml:space="preserve">This is linked </w:t>
      </w:r>
      <w:r w:rsidR="00C663E9">
        <w:t xml:space="preserve">to </w:t>
      </w:r>
      <w:r w:rsidRPr="00D9376C">
        <w:t xml:space="preserve">Section </w:t>
      </w:r>
      <w:r>
        <w:t>2</w:t>
      </w:r>
      <w:r w:rsidRPr="00D9376C">
        <w:t xml:space="preserve"> in the main manuscript. The phase and transmission values of different diameters for 671 nm and 785 nm are plotted in Fig. S</w:t>
      </w:r>
      <w:r w:rsidR="00C663E9">
        <w:t>2</w:t>
      </w:r>
      <w:r w:rsidRPr="00D9376C">
        <w:t xml:space="preserve"> (a) and (b), respectively. The phase (blue curves) covered the full range from 0 to 2π. The transmission values (orange curves) were close to 1.</w:t>
      </w:r>
    </w:p>
    <w:p w14:paraId="2CA3E006" w14:textId="77777777" w:rsidR="00A911D0" w:rsidRPr="00D9376C" w:rsidRDefault="00A911D0" w:rsidP="00A911D0">
      <w:pPr>
        <w:pStyle w:val="11Figure"/>
      </w:pPr>
      <w:r w:rsidRPr="00D9376C">
        <w:rPr>
          <w:noProof/>
        </w:rPr>
        <w:drawing>
          <wp:inline distT="0" distB="0" distL="0" distR="0" wp14:anchorId="750FEF30" wp14:editId="2B3F7E50">
            <wp:extent cx="5868000" cy="2369694"/>
            <wp:effectExtent l="0" t="0" r="0" b="0"/>
            <wp:docPr id="15"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Chart, line chart&#10;&#10;Description automatically generated"/>
                    <pic:cNvPicPr>
                      <a:picLocks noChangeAspect="1"/>
                    </pic:cNvPicPr>
                  </pic:nvPicPr>
                  <pic:blipFill>
                    <a:blip r:embed="rId9"/>
                    <a:stretch>
                      <a:fillRect/>
                    </a:stretch>
                  </pic:blipFill>
                  <pic:spPr>
                    <a:xfrm>
                      <a:off x="0" y="0"/>
                      <a:ext cx="5868000" cy="2369694"/>
                    </a:xfrm>
                    <a:prstGeom prst="rect">
                      <a:avLst/>
                    </a:prstGeom>
                  </pic:spPr>
                </pic:pic>
              </a:graphicData>
            </a:graphic>
          </wp:inline>
        </w:drawing>
      </w:r>
    </w:p>
    <w:p w14:paraId="25D62052" w14:textId="76624D02" w:rsidR="00A911D0" w:rsidRDefault="00A911D0" w:rsidP="00C80919">
      <w:r w:rsidRPr="00D9376C">
        <w:rPr>
          <w:b/>
        </w:rPr>
        <w:t>Figure S</w:t>
      </w:r>
      <w:r w:rsidR="00C663E9">
        <w:rPr>
          <w:b/>
        </w:rPr>
        <w:t>2</w:t>
      </w:r>
      <w:r w:rsidRPr="00D9376C">
        <w:rPr>
          <w:b/>
        </w:rPr>
        <w:t>.</w:t>
      </w:r>
      <w:r w:rsidRPr="00D9376C">
        <w:t xml:space="preserve"> Phase maps of </w:t>
      </w:r>
      <w:proofErr w:type="spellStart"/>
      <w:r w:rsidRPr="00D9376C">
        <w:t>metalens</w:t>
      </w:r>
      <w:proofErr w:type="spellEnd"/>
      <w:r w:rsidRPr="00D9376C">
        <w:t xml:space="preserve"> unit cells for (a) 671 nm and (b) 785 nm. Phase (blue) is on the left axis and transmission (orange) is on the right axis. </w:t>
      </w:r>
    </w:p>
    <w:p w14:paraId="10FC02B7" w14:textId="77777777" w:rsidR="00D60F5B" w:rsidRPr="00D9376C" w:rsidRDefault="00D60F5B" w:rsidP="00C80919"/>
    <w:p w14:paraId="22A2B0F9" w14:textId="77777777" w:rsidR="00A911D0" w:rsidRPr="00D9376C" w:rsidRDefault="00A911D0" w:rsidP="00D60F5B">
      <w:pPr>
        <w:pStyle w:val="Heading1"/>
      </w:pPr>
      <w:r w:rsidRPr="00D9376C">
        <w:lastRenderedPageBreak/>
        <w:t>Transmission properties of metasurfaces for excitation fiber</w:t>
      </w:r>
    </w:p>
    <w:p w14:paraId="566C095C" w14:textId="77777777" w:rsidR="00A911D0" w:rsidRPr="00D9376C" w:rsidRDefault="00A911D0" w:rsidP="00C80919">
      <w:r w:rsidRPr="00D9376C">
        <w:t xml:space="preserve">This is linked to Section </w:t>
      </w:r>
      <w:r>
        <w:t>3</w:t>
      </w:r>
      <w:r w:rsidRPr="00D9376C">
        <w:t xml:space="preserve">a and </w:t>
      </w:r>
      <w:r>
        <w:t>3</w:t>
      </w:r>
      <w:r w:rsidRPr="00D9376C">
        <w:t xml:space="preserve">b in the main manuscript. The transmission values at each layer of the interface are shown in Table S1 below. </w:t>
      </w:r>
    </w:p>
    <w:p w14:paraId="09B00483" w14:textId="77777777" w:rsidR="00A911D0" w:rsidRPr="00D9376C" w:rsidRDefault="00A911D0" w:rsidP="00C80919">
      <w:r w:rsidRPr="00D9376C">
        <w:t xml:space="preserve">Table S1: Transmission values at interfaces for 671 nm and 785 nm NBPF and off-axis </w:t>
      </w:r>
      <w:proofErr w:type="spellStart"/>
      <w:r w:rsidRPr="00D9376C">
        <w:t>metalens</w:t>
      </w:r>
      <w:proofErr w:type="spellEnd"/>
      <w:r w:rsidRPr="00D9376C">
        <w:t>.</w:t>
      </w:r>
    </w:p>
    <w:tbl>
      <w:tblPr>
        <w:tblW w:w="7559" w:type="dxa"/>
        <w:jc w:val="center"/>
        <w:tblCellMar>
          <w:left w:w="0" w:type="dxa"/>
          <w:right w:w="0" w:type="dxa"/>
        </w:tblCellMar>
        <w:tblLook w:val="0600" w:firstRow="0" w:lastRow="0" w:firstColumn="0" w:lastColumn="0" w:noHBand="1" w:noVBand="1"/>
      </w:tblPr>
      <w:tblGrid>
        <w:gridCol w:w="2596"/>
        <w:gridCol w:w="2622"/>
        <w:gridCol w:w="2341"/>
      </w:tblGrid>
      <w:tr w:rsidR="00A911D0" w:rsidRPr="00D9376C" w14:paraId="04210C83" w14:textId="77777777" w:rsidTr="00C80919">
        <w:trPr>
          <w:trHeight w:val="277"/>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0A9D342"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b/>
                <w:bCs/>
                <w:color w:val="000000"/>
                <w:sz w:val="20"/>
                <w:szCs w:val="20"/>
              </w:rPr>
              <w:t>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E1A5142"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b/>
                <w:bCs/>
                <w:color w:val="000000"/>
                <w:sz w:val="20"/>
                <w:szCs w:val="20"/>
              </w:rPr>
              <w:t>Transmission (671 nm)</w:t>
            </w:r>
          </w:p>
        </w:tc>
        <w:tc>
          <w:tcPr>
            <w:tcW w:w="2341" w:type="dxa"/>
            <w:tcBorders>
              <w:top w:val="single" w:sz="6" w:space="0" w:color="9E9E9E"/>
              <w:left w:val="single" w:sz="6" w:space="0" w:color="9E9E9E"/>
              <w:bottom w:val="single" w:sz="6" w:space="0" w:color="9E9E9E"/>
              <w:right w:val="single" w:sz="6" w:space="0" w:color="9E9E9E"/>
            </w:tcBorders>
            <w:vAlign w:val="center"/>
          </w:tcPr>
          <w:p w14:paraId="62AC395A" w14:textId="77777777" w:rsidR="00A911D0" w:rsidRPr="00D9376C" w:rsidRDefault="00A911D0" w:rsidP="003E6742">
            <w:pPr>
              <w:spacing w:after="0"/>
              <w:jc w:val="center"/>
              <w:rPr>
                <w:rFonts w:eastAsia="Arial" w:cs="Times New Roman"/>
                <w:b/>
                <w:bCs/>
                <w:color w:val="000000"/>
                <w:sz w:val="20"/>
                <w:szCs w:val="20"/>
              </w:rPr>
            </w:pPr>
            <w:r w:rsidRPr="00D9376C">
              <w:rPr>
                <w:rFonts w:eastAsia="Arial" w:cs="Times New Roman"/>
                <w:b/>
                <w:bCs/>
                <w:color w:val="000000"/>
                <w:sz w:val="20"/>
                <w:szCs w:val="20"/>
              </w:rPr>
              <w:t>Transmission (785 nm)</w:t>
            </w:r>
          </w:p>
        </w:tc>
      </w:tr>
      <w:tr w:rsidR="00A911D0" w:rsidRPr="00D9376C" w14:paraId="2EBDDF59" w14:textId="77777777" w:rsidTr="00C80919">
        <w:trPr>
          <w:trHeight w:val="20"/>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02E9B6C4"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 xml:space="preserve">Substrate/Ag 1 </w:t>
            </w:r>
            <w:r w:rsidRPr="00D9376C">
              <w:rPr>
                <w:rFonts w:eastAsia="Arial" w:cs="Times New Roman"/>
                <w:color w:val="000000" w:themeColor="dark1"/>
                <w:sz w:val="20"/>
                <w:szCs w:val="20"/>
              </w:rPr>
              <w:t>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5B152104"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0.91</w:t>
            </w:r>
          </w:p>
        </w:tc>
        <w:tc>
          <w:tcPr>
            <w:tcW w:w="2341" w:type="dxa"/>
            <w:tcBorders>
              <w:top w:val="single" w:sz="6" w:space="0" w:color="9E9E9E"/>
              <w:left w:val="single" w:sz="6" w:space="0" w:color="9E9E9E"/>
              <w:bottom w:val="single" w:sz="6" w:space="0" w:color="9E9E9E"/>
              <w:right w:val="single" w:sz="6" w:space="0" w:color="9E9E9E"/>
            </w:tcBorders>
            <w:vAlign w:val="center"/>
          </w:tcPr>
          <w:p w14:paraId="54A08FEA" w14:textId="77777777" w:rsidR="00A911D0" w:rsidRPr="00D9376C" w:rsidRDefault="00A911D0" w:rsidP="003E6742">
            <w:pPr>
              <w:spacing w:after="0"/>
              <w:jc w:val="center"/>
              <w:rPr>
                <w:rFonts w:eastAsia="Arial" w:cs="Times New Roman"/>
                <w:color w:val="000000"/>
                <w:sz w:val="20"/>
                <w:szCs w:val="20"/>
              </w:rPr>
            </w:pPr>
            <w:r w:rsidRPr="00D9376C">
              <w:rPr>
                <w:rFonts w:eastAsia="Arial" w:cs="Times New Roman"/>
                <w:color w:val="000000"/>
                <w:sz w:val="20"/>
                <w:szCs w:val="20"/>
              </w:rPr>
              <w:t>0.89</w:t>
            </w:r>
          </w:p>
        </w:tc>
      </w:tr>
      <w:tr w:rsidR="00A911D0" w:rsidRPr="00D9376C" w14:paraId="31C98F3D" w14:textId="77777777" w:rsidTr="00C80919">
        <w:trPr>
          <w:trHeight w:val="20"/>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52E1CEB"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 xml:space="preserve">Ag 1/PMMA </w:t>
            </w:r>
            <w:r w:rsidRPr="00D9376C">
              <w:rPr>
                <w:rFonts w:eastAsia="Arial" w:cs="Times New Roman"/>
                <w:color w:val="000000" w:themeColor="dark1"/>
                <w:sz w:val="20"/>
                <w:szCs w:val="20"/>
              </w:rPr>
              <w:t>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5183712"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0.78</w:t>
            </w:r>
          </w:p>
        </w:tc>
        <w:tc>
          <w:tcPr>
            <w:tcW w:w="2341" w:type="dxa"/>
            <w:tcBorders>
              <w:top w:val="single" w:sz="6" w:space="0" w:color="9E9E9E"/>
              <w:left w:val="single" w:sz="6" w:space="0" w:color="9E9E9E"/>
              <w:bottom w:val="single" w:sz="6" w:space="0" w:color="9E9E9E"/>
              <w:right w:val="single" w:sz="6" w:space="0" w:color="9E9E9E"/>
            </w:tcBorders>
            <w:vAlign w:val="center"/>
          </w:tcPr>
          <w:p w14:paraId="5D055CE4" w14:textId="77777777" w:rsidR="00A911D0" w:rsidRPr="00D9376C" w:rsidRDefault="00A911D0" w:rsidP="003E6742">
            <w:pPr>
              <w:spacing w:after="0"/>
              <w:jc w:val="center"/>
              <w:rPr>
                <w:rFonts w:eastAsia="Arial" w:cs="Times New Roman"/>
                <w:color w:val="000000"/>
                <w:sz w:val="20"/>
                <w:szCs w:val="20"/>
              </w:rPr>
            </w:pPr>
            <w:r w:rsidRPr="00D9376C">
              <w:rPr>
                <w:rFonts w:eastAsia="Arial" w:cs="Times New Roman"/>
                <w:color w:val="000000"/>
                <w:sz w:val="20"/>
                <w:szCs w:val="20"/>
              </w:rPr>
              <w:t>0.77</w:t>
            </w:r>
          </w:p>
        </w:tc>
      </w:tr>
      <w:tr w:rsidR="00A911D0" w:rsidRPr="00D9376C" w14:paraId="555555DA" w14:textId="77777777" w:rsidTr="00C80919">
        <w:trPr>
          <w:trHeight w:val="20"/>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C88ED08"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 xml:space="preserve">PMMA/Ag 2 </w:t>
            </w:r>
            <w:r w:rsidRPr="00D9376C">
              <w:rPr>
                <w:rFonts w:eastAsia="Arial" w:cs="Times New Roman"/>
                <w:color w:val="000000" w:themeColor="dark1"/>
                <w:sz w:val="20"/>
                <w:szCs w:val="20"/>
              </w:rPr>
              <w:t>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BFA0587"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0.77</w:t>
            </w:r>
          </w:p>
        </w:tc>
        <w:tc>
          <w:tcPr>
            <w:tcW w:w="2341" w:type="dxa"/>
            <w:tcBorders>
              <w:top w:val="single" w:sz="6" w:space="0" w:color="9E9E9E"/>
              <w:left w:val="single" w:sz="6" w:space="0" w:color="9E9E9E"/>
              <w:bottom w:val="single" w:sz="6" w:space="0" w:color="9E9E9E"/>
              <w:right w:val="single" w:sz="6" w:space="0" w:color="9E9E9E"/>
            </w:tcBorders>
            <w:vAlign w:val="center"/>
          </w:tcPr>
          <w:p w14:paraId="51B2D9AB" w14:textId="77777777" w:rsidR="00A911D0" w:rsidRPr="00D9376C" w:rsidRDefault="00A911D0" w:rsidP="003E6742">
            <w:pPr>
              <w:spacing w:after="0"/>
              <w:jc w:val="center"/>
              <w:rPr>
                <w:rFonts w:eastAsia="Arial" w:cs="Times New Roman"/>
                <w:color w:val="000000"/>
                <w:sz w:val="20"/>
                <w:szCs w:val="20"/>
              </w:rPr>
            </w:pPr>
            <w:r w:rsidRPr="00D9376C">
              <w:rPr>
                <w:rFonts w:eastAsia="Arial" w:cs="Times New Roman"/>
                <w:color w:val="000000"/>
                <w:sz w:val="20"/>
                <w:szCs w:val="20"/>
              </w:rPr>
              <w:t>0.76</w:t>
            </w:r>
          </w:p>
        </w:tc>
      </w:tr>
      <w:tr w:rsidR="00A911D0" w:rsidRPr="00D9376C" w14:paraId="694C257B" w14:textId="77777777" w:rsidTr="00C80919">
        <w:trPr>
          <w:trHeight w:val="20"/>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45CB7924"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Ag 2/</w:t>
            </w:r>
            <w:proofErr w:type="spellStart"/>
            <w:r w:rsidRPr="00D9376C">
              <w:rPr>
                <w:rFonts w:eastAsia="Arial" w:cs="Times New Roman"/>
                <w:color w:val="000000"/>
                <w:sz w:val="20"/>
                <w:szCs w:val="20"/>
              </w:rPr>
              <w:t>Metalens</w:t>
            </w:r>
            <w:proofErr w:type="spellEnd"/>
            <w:r w:rsidRPr="00D9376C">
              <w:rPr>
                <w:rFonts w:eastAsia="Arial" w:cs="Times New Roman"/>
                <w:color w:val="000000"/>
                <w:sz w:val="20"/>
                <w:szCs w:val="20"/>
              </w:rPr>
              <w:t xml:space="preserve"> </w:t>
            </w:r>
            <w:r w:rsidRPr="00D9376C">
              <w:rPr>
                <w:rFonts w:eastAsia="Arial" w:cs="Times New Roman"/>
                <w:color w:val="000000" w:themeColor="dark1"/>
                <w:sz w:val="20"/>
                <w:szCs w:val="20"/>
              </w:rPr>
              <w:t>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29F337F7"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sz w:val="20"/>
                <w:szCs w:val="20"/>
              </w:rPr>
              <w:t>0.64</w:t>
            </w:r>
          </w:p>
        </w:tc>
        <w:tc>
          <w:tcPr>
            <w:tcW w:w="2341" w:type="dxa"/>
            <w:tcBorders>
              <w:top w:val="single" w:sz="6" w:space="0" w:color="9E9E9E"/>
              <w:left w:val="single" w:sz="6" w:space="0" w:color="9E9E9E"/>
              <w:bottom w:val="single" w:sz="6" w:space="0" w:color="9E9E9E"/>
              <w:right w:val="single" w:sz="6" w:space="0" w:color="9E9E9E"/>
            </w:tcBorders>
            <w:vAlign w:val="center"/>
          </w:tcPr>
          <w:p w14:paraId="72B6C90E" w14:textId="77777777" w:rsidR="00A911D0" w:rsidRPr="00D9376C" w:rsidRDefault="00A911D0" w:rsidP="003E6742">
            <w:pPr>
              <w:spacing w:after="0"/>
              <w:jc w:val="center"/>
              <w:rPr>
                <w:rFonts w:eastAsia="Arial" w:cs="Times New Roman"/>
                <w:color w:val="000000"/>
                <w:sz w:val="20"/>
                <w:szCs w:val="20"/>
              </w:rPr>
            </w:pPr>
            <w:r w:rsidRPr="00D9376C">
              <w:rPr>
                <w:rFonts w:eastAsia="Arial" w:cs="Times New Roman"/>
                <w:color w:val="000000"/>
                <w:sz w:val="20"/>
                <w:szCs w:val="20"/>
              </w:rPr>
              <w:t>0.66</w:t>
            </w:r>
          </w:p>
        </w:tc>
      </w:tr>
      <w:tr w:rsidR="00A911D0" w:rsidRPr="00D9376C" w14:paraId="1585E2BE" w14:textId="77777777" w:rsidTr="00C80919">
        <w:trPr>
          <w:trHeight w:val="20"/>
          <w:jc w:val="center"/>
        </w:trPr>
        <w:tc>
          <w:tcPr>
            <w:tcW w:w="2596"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2946C237" w14:textId="77777777" w:rsidR="00A911D0" w:rsidRPr="00D9376C" w:rsidRDefault="00A911D0" w:rsidP="003E6742">
            <w:pPr>
              <w:spacing w:after="0"/>
              <w:jc w:val="center"/>
              <w:rPr>
                <w:rFonts w:eastAsia="Times New Roman" w:cs="Times New Roman"/>
                <w:sz w:val="20"/>
                <w:szCs w:val="20"/>
              </w:rPr>
            </w:pPr>
            <w:proofErr w:type="spellStart"/>
            <w:r w:rsidRPr="00D9376C">
              <w:rPr>
                <w:rFonts w:eastAsia="Arial" w:cs="Times New Roman"/>
                <w:color w:val="000000"/>
                <w:sz w:val="20"/>
                <w:szCs w:val="20"/>
              </w:rPr>
              <w:t>Metalens</w:t>
            </w:r>
            <w:proofErr w:type="spellEnd"/>
            <w:r w:rsidRPr="00D9376C">
              <w:rPr>
                <w:rFonts w:eastAsia="Arial" w:cs="Times New Roman"/>
                <w:color w:val="000000"/>
                <w:sz w:val="20"/>
                <w:szCs w:val="20"/>
              </w:rPr>
              <w:t>/Air Interface</w:t>
            </w:r>
          </w:p>
        </w:tc>
        <w:tc>
          <w:tcPr>
            <w:tcW w:w="2622" w:type="dxa"/>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vAlign w:val="center"/>
            <w:hideMark/>
          </w:tcPr>
          <w:p w14:paraId="1A958C5A" w14:textId="77777777" w:rsidR="00A911D0" w:rsidRPr="00D9376C" w:rsidRDefault="00A911D0" w:rsidP="003E6742">
            <w:pPr>
              <w:spacing w:after="0"/>
              <w:jc w:val="center"/>
              <w:rPr>
                <w:rFonts w:eastAsia="Times New Roman" w:cs="Times New Roman"/>
                <w:sz w:val="20"/>
                <w:szCs w:val="20"/>
              </w:rPr>
            </w:pPr>
            <w:r w:rsidRPr="00D9376C">
              <w:rPr>
                <w:rFonts w:eastAsia="Arial" w:cs="Times New Roman"/>
                <w:color w:val="000000" w:themeColor="dark1"/>
                <w:sz w:val="20"/>
                <w:szCs w:val="20"/>
              </w:rPr>
              <w:t>0.63</w:t>
            </w:r>
          </w:p>
        </w:tc>
        <w:tc>
          <w:tcPr>
            <w:tcW w:w="2341" w:type="dxa"/>
            <w:tcBorders>
              <w:top w:val="single" w:sz="6" w:space="0" w:color="9E9E9E"/>
              <w:left w:val="single" w:sz="6" w:space="0" w:color="9E9E9E"/>
              <w:bottom w:val="single" w:sz="6" w:space="0" w:color="9E9E9E"/>
              <w:right w:val="single" w:sz="6" w:space="0" w:color="9E9E9E"/>
            </w:tcBorders>
            <w:vAlign w:val="center"/>
          </w:tcPr>
          <w:p w14:paraId="76362066" w14:textId="77777777" w:rsidR="00A911D0" w:rsidRPr="00D9376C" w:rsidRDefault="00A911D0" w:rsidP="003E6742">
            <w:pPr>
              <w:spacing w:after="0"/>
              <w:jc w:val="center"/>
              <w:rPr>
                <w:rFonts w:eastAsia="Arial" w:cs="Times New Roman"/>
                <w:color w:val="000000" w:themeColor="dark1"/>
                <w:sz w:val="20"/>
                <w:szCs w:val="20"/>
              </w:rPr>
            </w:pPr>
            <w:r w:rsidRPr="00D9376C">
              <w:rPr>
                <w:rFonts w:eastAsia="Arial" w:cs="Times New Roman"/>
                <w:color w:val="000000" w:themeColor="dark1"/>
                <w:sz w:val="20"/>
                <w:szCs w:val="20"/>
              </w:rPr>
              <w:t>0.65</w:t>
            </w:r>
          </w:p>
        </w:tc>
      </w:tr>
    </w:tbl>
    <w:p w14:paraId="4C5845E6" w14:textId="77777777" w:rsidR="00A911D0" w:rsidRPr="00D9376C" w:rsidRDefault="00A911D0" w:rsidP="00C80919">
      <w:pPr>
        <w:pStyle w:val="Heading1"/>
      </w:pPr>
      <w:r w:rsidRPr="00D9376C">
        <w:t>Propagation properties of metasurface for collection fiber</w:t>
      </w:r>
    </w:p>
    <w:p w14:paraId="717E6F34" w14:textId="343148ED" w:rsidR="00A911D0" w:rsidRPr="00D9376C" w:rsidRDefault="00A911D0" w:rsidP="00C80919">
      <w:r w:rsidRPr="00D9376C">
        <w:t xml:space="preserve">This is linked to Section </w:t>
      </w:r>
      <w:r>
        <w:t>3</w:t>
      </w:r>
      <w:r w:rsidRPr="00D9376C">
        <w:t>c in the main manuscript. Fig. S</w:t>
      </w:r>
      <w:r w:rsidR="00C663E9">
        <w:t>3</w:t>
      </w:r>
      <w:r w:rsidRPr="00D9376C">
        <w:t xml:space="preserve"> shows the propagation properties of the metasurface for the collection arm at 11 wavelengths. It shows the achromatic broadband focusing capability that the focal length remains unchanged for the entire wavelength range 810 – 910 nm indicated by the white dashed line. The cross-sectional views of the electric field intensity distributions at the focal plane for each selected wavelength are shown in the right column, which is found to be maintained as well.</w:t>
      </w:r>
    </w:p>
    <w:p w14:paraId="1A7D1840" w14:textId="50FCA469" w:rsidR="00A911D0" w:rsidRPr="00D9376C" w:rsidRDefault="00A911D0" w:rsidP="00A911D0">
      <w:pPr>
        <w:pStyle w:val="11Figure"/>
      </w:pPr>
      <w:r w:rsidRPr="00D9376C">
        <w:rPr>
          <w:noProof/>
        </w:rPr>
        <w:lastRenderedPageBreak/>
        <w:drawing>
          <wp:inline distT="0" distB="0" distL="0" distR="0" wp14:anchorId="6BD13AB0" wp14:editId="49C5F934">
            <wp:extent cx="4824000" cy="6093760"/>
            <wp:effectExtent l="0" t="0" r="0" b="2540"/>
            <wp:docPr id="2" name="Picture 1" descr="A picture containing calendar&#10;&#10;Description automatically generated">
              <a:extLst xmlns:a="http://schemas.openxmlformats.org/drawingml/2006/main">
                <a:ext uri="{FF2B5EF4-FFF2-40B4-BE49-F238E27FC236}">
                  <a16:creationId xmlns:a16="http://schemas.microsoft.com/office/drawing/2014/main" id="{11ECDE35-34CC-5636-070B-F5A917B7C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alendar&#10;&#10;Description automatically generated">
                      <a:extLst>
                        <a:ext uri="{FF2B5EF4-FFF2-40B4-BE49-F238E27FC236}">
                          <a16:creationId xmlns:a16="http://schemas.microsoft.com/office/drawing/2014/main" id="{11ECDE35-34CC-5636-070B-F5A917B7C584}"/>
                        </a:ext>
                      </a:extLst>
                    </pic:cNvPr>
                    <pic:cNvPicPr>
                      <a:picLocks noChangeAspect="1"/>
                    </pic:cNvPicPr>
                  </pic:nvPicPr>
                  <pic:blipFill rotWithShape="1">
                    <a:blip r:embed="rId10"/>
                    <a:srcRect b="7205"/>
                    <a:stretch/>
                  </pic:blipFill>
                  <pic:spPr bwMode="auto">
                    <a:xfrm>
                      <a:off x="0" y="0"/>
                      <a:ext cx="4824000" cy="6093760"/>
                    </a:xfrm>
                    <a:prstGeom prst="rect">
                      <a:avLst/>
                    </a:prstGeom>
                    <a:ln>
                      <a:noFill/>
                    </a:ln>
                    <a:extLst>
                      <a:ext uri="{53640926-AAD7-44D8-BBD7-CCE9431645EC}">
                        <a14:shadowObscured xmlns:a14="http://schemas.microsoft.com/office/drawing/2010/main"/>
                      </a:ext>
                    </a:extLst>
                  </pic:spPr>
                </pic:pic>
              </a:graphicData>
            </a:graphic>
          </wp:inline>
        </w:drawing>
      </w:r>
    </w:p>
    <w:p w14:paraId="4C181A8D" w14:textId="61C78808" w:rsidR="00A911D0" w:rsidRPr="00D9376C" w:rsidRDefault="00A911D0" w:rsidP="00C80919">
      <w:r w:rsidRPr="00D9376C">
        <w:rPr>
          <w:b/>
          <w:bCs/>
        </w:rPr>
        <w:t>Figure S</w:t>
      </w:r>
      <w:r w:rsidR="00C663E9">
        <w:rPr>
          <w:b/>
          <w:bCs/>
        </w:rPr>
        <w:t>3</w:t>
      </w:r>
      <w:r w:rsidRPr="00D9376C">
        <w:rPr>
          <w:b/>
          <w:bCs/>
        </w:rPr>
        <w:t xml:space="preserve">: </w:t>
      </w:r>
      <w:r w:rsidRPr="00D9376C">
        <w:t>Normalized intensity plots of 11 frequency points from 810 to 910 nm in z-direction and x-y plane.</w:t>
      </w:r>
    </w:p>
    <w:p w14:paraId="53BF821E" w14:textId="77777777" w:rsidR="00A911D0" w:rsidRPr="00D9376C" w:rsidRDefault="00A911D0" w:rsidP="00C80919">
      <w:pPr>
        <w:pStyle w:val="Heading1"/>
      </w:pPr>
      <w:r w:rsidRPr="00D9376C">
        <w:t xml:space="preserve">Properties of a single wavelength </w:t>
      </w:r>
      <w:proofErr w:type="spellStart"/>
      <w:r w:rsidRPr="00D9376C">
        <w:t>metalens</w:t>
      </w:r>
      <w:proofErr w:type="spellEnd"/>
      <w:r w:rsidRPr="00D9376C">
        <w:t xml:space="preserve"> at 860 nm</w:t>
      </w:r>
    </w:p>
    <w:p w14:paraId="74EF8C24" w14:textId="17227B41" w:rsidR="00A911D0" w:rsidRPr="00D9376C" w:rsidRDefault="00A911D0" w:rsidP="00C80919">
      <w:r w:rsidRPr="00D9376C">
        <w:t xml:space="preserve">This is related to Section </w:t>
      </w:r>
      <w:r>
        <w:t>3</w:t>
      </w:r>
      <w:r w:rsidRPr="00D9376C">
        <w:t xml:space="preserve">c in the main manuscript. Most </w:t>
      </w:r>
      <w:proofErr w:type="spellStart"/>
      <w:r w:rsidRPr="00D9376C">
        <w:t>metalenses</w:t>
      </w:r>
      <w:proofErr w:type="spellEnd"/>
      <w:r w:rsidRPr="00D9376C">
        <w:t xml:space="preserve"> are designed for single wavelength operation without optimizing the group dispersion, so they will suffer from chromatic aberration. Fig. S</w:t>
      </w:r>
      <w:r w:rsidR="00C663E9">
        <w:t>4</w:t>
      </w:r>
      <w:r w:rsidRPr="00D9376C">
        <w:t xml:space="preserve"> shows the optical performance of a single wavelength </w:t>
      </w:r>
      <w:proofErr w:type="spellStart"/>
      <w:r w:rsidRPr="00D9376C">
        <w:t>metalens</w:t>
      </w:r>
      <w:proofErr w:type="spellEnd"/>
      <w:r w:rsidRPr="00D9376C">
        <w:t xml:space="preserve"> design for the collection arm. Compared to the achromatic broadband </w:t>
      </w:r>
      <w:proofErr w:type="spellStart"/>
      <w:r w:rsidRPr="00D9376C">
        <w:t>metalens</w:t>
      </w:r>
      <w:proofErr w:type="spellEnd"/>
      <w:r w:rsidRPr="00D9376C">
        <w:t xml:space="preserve"> design that is shown in the main manuscript, the focal length is changed significantly from 810 nm to 910 nm, as shown in Fig. S</w:t>
      </w:r>
      <w:r w:rsidR="00C663E9">
        <w:t>4</w:t>
      </w:r>
      <w:r w:rsidRPr="00D9376C">
        <w:t xml:space="preserve"> (a) and (d). The cross-sectional distributions and line cuts of the focal spots at the designed focal length of 860 nm are also different, as shown in Fig. S3 (b) and (c), respectively.</w:t>
      </w:r>
    </w:p>
    <w:p w14:paraId="24E039B7" w14:textId="77777777" w:rsidR="00A911D0" w:rsidRPr="00D9376C" w:rsidRDefault="00A911D0" w:rsidP="00A911D0">
      <w:pPr>
        <w:pStyle w:val="11Figure"/>
      </w:pPr>
      <w:r w:rsidRPr="00D9376C">
        <w:rPr>
          <w:noProof/>
        </w:rPr>
        <w:lastRenderedPageBreak/>
        <w:drawing>
          <wp:inline distT="0" distB="0" distL="0" distR="0" wp14:anchorId="3511E854" wp14:editId="6A012634">
            <wp:extent cx="3816000" cy="5463992"/>
            <wp:effectExtent l="0" t="0" r="0" b="3810"/>
            <wp:docPr id="12" name="Picture 4" descr="Graphical user interface, application&#10;&#10;Description automatically generated">
              <a:extLst xmlns:a="http://schemas.openxmlformats.org/drawingml/2006/main">
                <a:ext uri="{FF2B5EF4-FFF2-40B4-BE49-F238E27FC236}">
                  <a16:creationId xmlns:a16="http://schemas.microsoft.com/office/drawing/2014/main" id="{2E7BCA4A-0908-AE72-FCEB-37DA97E98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Graphical user interface, application&#10;&#10;Description automatically generated">
                      <a:extLst>
                        <a:ext uri="{FF2B5EF4-FFF2-40B4-BE49-F238E27FC236}">
                          <a16:creationId xmlns:a16="http://schemas.microsoft.com/office/drawing/2014/main" id="{2E7BCA4A-0908-AE72-FCEB-37DA97E98271}"/>
                        </a:ext>
                      </a:extLst>
                    </pic:cNvPr>
                    <pic:cNvPicPr>
                      <a:picLocks noChangeAspect="1"/>
                    </pic:cNvPicPr>
                  </pic:nvPicPr>
                  <pic:blipFill>
                    <a:blip r:embed="rId11"/>
                    <a:stretch>
                      <a:fillRect/>
                    </a:stretch>
                  </pic:blipFill>
                  <pic:spPr>
                    <a:xfrm>
                      <a:off x="0" y="0"/>
                      <a:ext cx="3816000" cy="5463992"/>
                    </a:xfrm>
                    <a:prstGeom prst="rect">
                      <a:avLst/>
                    </a:prstGeom>
                  </pic:spPr>
                </pic:pic>
              </a:graphicData>
            </a:graphic>
          </wp:inline>
        </w:drawing>
      </w:r>
    </w:p>
    <w:p w14:paraId="7B65BC41" w14:textId="20DF1EF8" w:rsidR="00DE23E8" w:rsidRDefault="00A911D0" w:rsidP="00C80919">
      <w:r w:rsidRPr="00D9376C">
        <w:rPr>
          <w:b/>
          <w:bCs/>
        </w:rPr>
        <w:t>Figure S</w:t>
      </w:r>
      <w:r w:rsidR="00C663E9">
        <w:rPr>
          <w:b/>
          <w:bCs/>
        </w:rPr>
        <w:t>4</w:t>
      </w:r>
      <w:r w:rsidRPr="00D9376C">
        <w:rPr>
          <w:b/>
          <w:bCs/>
        </w:rPr>
        <w:t xml:space="preserve">: </w:t>
      </w:r>
      <w:r w:rsidRPr="00C80919">
        <w:t xml:space="preserve">Normalized intensity plots of 860 nm single wavelength </w:t>
      </w:r>
      <w:proofErr w:type="spellStart"/>
      <w:r w:rsidRPr="00C80919">
        <w:t>metalens</w:t>
      </w:r>
      <w:proofErr w:type="spellEnd"/>
      <w:r w:rsidRPr="00C80919">
        <w:t>.</w:t>
      </w:r>
      <w:r w:rsidRPr="00D9376C">
        <w:rPr>
          <w:b/>
          <w:bCs/>
        </w:rPr>
        <w:t xml:space="preserve"> </w:t>
      </w:r>
      <w:r w:rsidRPr="00D9376C">
        <w:t xml:space="preserve">(a) Normalized intensity plot of the focal point profile of 860 nm on-axis single wavelength </w:t>
      </w:r>
      <w:proofErr w:type="spellStart"/>
      <w:r w:rsidRPr="00D9376C">
        <w:t>metalens</w:t>
      </w:r>
      <w:proofErr w:type="spellEnd"/>
      <w:r w:rsidRPr="00D9376C">
        <w:t xml:space="preserve"> in the x-z plane with λ = 810, 860, and 910 nm. (b) Normalized intensity plot of the focal point profile of 860 nm on-axis single wavelength </w:t>
      </w:r>
      <w:proofErr w:type="spellStart"/>
      <w:r w:rsidRPr="00D9376C">
        <w:t>metalens</w:t>
      </w:r>
      <w:proofErr w:type="spellEnd"/>
      <w:r w:rsidRPr="00D9376C">
        <w:t xml:space="preserve"> in the x-y plane with λ = 810, 860, and 910 nm. (c) Normalized intensity plot of the focal point profile of 860 nm on-axis single wavelength </w:t>
      </w:r>
      <w:proofErr w:type="spellStart"/>
      <w:r w:rsidRPr="00D9376C">
        <w:t>metalens</w:t>
      </w:r>
      <w:proofErr w:type="spellEnd"/>
      <w:r w:rsidRPr="00D9376C">
        <w:t xml:space="preserve"> along the x-axis with λ = 810, 860, and 910 nm. (d) Focal length vs wavelength plot for 860 nm on-axis single wavelength </w:t>
      </w:r>
      <w:proofErr w:type="spellStart"/>
      <w:r w:rsidRPr="00D9376C">
        <w:t>metalens</w:t>
      </w:r>
      <w:proofErr w:type="spellEnd"/>
      <w:r w:rsidRPr="00D9376C">
        <w:t xml:space="preserve"> across the wavelength range.</w:t>
      </w:r>
    </w:p>
    <w:p w14:paraId="216971DC" w14:textId="73A9EFA6" w:rsidR="00D60F5B" w:rsidRPr="004D200B" w:rsidRDefault="00D60F5B" w:rsidP="00C80919">
      <w:pPr>
        <w:rPr>
          <w:b/>
          <w:bCs/>
          <w:szCs w:val="24"/>
        </w:rPr>
      </w:pPr>
      <w:r w:rsidRPr="004D200B">
        <w:rPr>
          <w:b/>
          <w:bCs/>
          <w:szCs w:val="24"/>
        </w:rPr>
        <w:t>Reference:</w:t>
      </w:r>
    </w:p>
    <w:p w14:paraId="75D6829B" w14:textId="2153D5A1" w:rsidR="00D60F5B" w:rsidRPr="004D200B" w:rsidRDefault="00D60F5B" w:rsidP="00D60F5B">
      <w:pPr>
        <w:widowControl w:val="0"/>
        <w:autoSpaceDE w:val="0"/>
        <w:autoSpaceDN w:val="0"/>
        <w:adjustRightInd w:val="0"/>
        <w:ind w:left="640" w:hanging="640"/>
        <w:rPr>
          <w:rFonts w:cs="Times New Roman"/>
          <w:noProof/>
          <w:szCs w:val="24"/>
        </w:rPr>
      </w:pPr>
      <w:r w:rsidRPr="004D200B">
        <w:rPr>
          <w:rFonts w:cs="Times New Roman"/>
          <w:b/>
          <w:i/>
          <w:szCs w:val="24"/>
        </w:rPr>
        <w:fldChar w:fldCharType="begin" w:fldLock="1"/>
      </w:r>
      <w:r w:rsidRPr="004D200B">
        <w:rPr>
          <w:rFonts w:cs="Times New Roman"/>
          <w:b/>
          <w:i/>
          <w:szCs w:val="24"/>
        </w:rPr>
        <w:instrText xml:space="preserve">ADDIN Mendeley Bibliography CSL_BIBLIOGRAPHY </w:instrText>
      </w:r>
      <w:r w:rsidRPr="004D200B">
        <w:rPr>
          <w:rFonts w:cs="Times New Roman"/>
          <w:b/>
          <w:i/>
          <w:szCs w:val="24"/>
        </w:rPr>
        <w:fldChar w:fldCharType="separate"/>
      </w:r>
      <w:r w:rsidRPr="004D200B">
        <w:rPr>
          <w:rFonts w:cs="Times New Roman"/>
          <w:noProof/>
          <w:szCs w:val="24"/>
        </w:rPr>
        <w:t xml:space="preserve">1. </w:t>
      </w:r>
      <w:r w:rsidRPr="004D200B">
        <w:rPr>
          <w:rFonts w:cs="Times New Roman"/>
          <w:noProof/>
          <w:szCs w:val="24"/>
        </w:rPr>
        <w:tab/>
        <w:t xml:space="preserve"> Y. Wang, Q. Chen, W. Yang, Z. Ji, L. Jin, X. Ma, Q. Song, A. Boltasseva, J. Han, V. M. Shalaev, and S. Xiao, "High-efficiency broadband achromatic metalens for near-IR biological imaging window," Nat. Commun. </w:t>
      </w:r>
      <w:r w:rsidRPr="004D200B">
        <w:rPr>
          <w:rFonts w:cs="Times New Roman"/>
          <w:b/>
          <w:bCs/>
          <w:noProof/>
          <w:szCs w:val="24"/>
        </w:rPr>
        <w:t>12</w:t>
      </w:r>
      <w:r w:rsidRPr="004D200B">
        <w:rPr>
          <w:rFonts w:cs="Times New Roman"/>
          <w:noProof/>
          <w:szCs w:val="24"/>
        </w:rPr>
        <w:t>, 5560 (2021).</w:t>
      </w:r>
    </w:p>
    <w:p w14:paraId="595B9D54" w14:textId="7AB588F3" w:rsidR="00D60F5B" w:rsidRPr="00C80919" w:rsidRDefault="00D60F5B" w:rsidP="00C80919">
      <w:pPr>
        <w:rPr>
          <w:rFonts w:cs="Times New Roman"/>
          <w:b/>
          <w:i/>
          <w:sz w:val="32"/>
          <w:szCs w:val="32"/>
        </w:rPr>
      </w:pPr>
      <w:r w:rsidRPr="004D200B">
        <w:rPr>
          <w:rFonts w:cs="Times New Roman"/>
          <w:b/>
          <w:i/>
          <w:szCs w:val="24"/>
        </w:rPr>
        <w:fldChar w:fldCharType="end"/>
      </w:r>
    </w:p>
    <w:sectPr w:rsidR="00D60F5B" w:rsidRPr="00C80919"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9881E" w14:textId="77777777" w:rsidR="0021756A" w:rsidRDefault="0021756A" w:rsidP="00117666">
      <w:pPr>
        <w:spacing w:after="0"/>
      </w:pPr>
      <w:r>
        <w:separator/>
      </w:r>
    </w:p>
  </w:endnote>
  <w:endnote w:type="continuationSeparator" w:id="0">
    <w:p w14:paraId="2AEC0BC3" w14:textId="77777777" w:rsidR="0021756A" w:rsidRDefault="0021756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9C672" w14:textId="77777777" w:rsidR="0021756A" w:rsidRDefault="0021756A" w:rsidP="00117666">
      <w:pPr>
        <w:spacing w:after="0"/>
      </w:pPr>
      <w:r>
        <w:separator/>
      </w:r>
    </w:p>
  </w:footnote>
  <w:footnote w:type="continuationSeparator" w:id="0">
    <w:p w14:paraId="2D7D8CA6" w14:textId="77777777" w:rsidR="0021756A" w:rsidRDefault="0021756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2NzIztDA1MTG1NDRR0lEKTi0uzszPAykwqgUAep437ywAAAA="/>
  </w:docVars>
  <w:rsids>
    <w:rsidRoot w:val="00ED20B5"/>
    <w:rsid w:val="0001436A"/>
    <w:rsid w:val="00034304"/>
    <w:rsid w:val="00035434"/>
    <w:rsid w:val="00052A14"/>
    <w:rsid w:val="00063763"/>
    <w:rsid w:val="00077D53"/>
    <w:rsid w:val="00105FD9"/>
    <w:rsid w:val="00117666"/>
    <w:rsid w:val="001549D3"/>
    <w:rsid w:val="00160065"/>
    <w:rsid w:val="00177D84"/>
    <w:rsid w:val="0021756A"/>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4D200B"/>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7F06E4"/>
    <w:rsid w:val="007F2803"/>
    <w:rsid w:val="00817DD6"/>
    <w:rsid w:val="0083759F"/>
    <w:rsid w:val="00851AB4"/>
    <w:rsid w:val="00885156"/>
    <w:rsid w:val="009151AA"/>
    <w:rsid w:val="0093429D"/>
    <w:rsid w:val="00943573"/>
    <w:rsid w:val="00964134"/>
    <w:rsid w:val="00970F7D"/>
    <w:rsid w:val="00994A3D"/>
    <w:rsid w:val="009C2B12"/>
    <w:rsid w:val="00A174D9"/>
    <w:rsid w:val="00A911D0"/>
    <w:rsid w:val="00AA4D24"/>
    <w:rsid w:val="00AB6715"/>
    <w:rsid w:val="00B1671E"/>
    <w:rsid w:val="00B25EB8"/>
    <w:rsid w:val="00B37F4D"/>
    <w:rsid w:val="00C52A7B"/>
    <w:rsid w:val="00C56BAF"/>
    <w:rsid w:val="00C663E9"/>
    <w:rsid w:val="00C679AA"/>
    <w:rsid w:val="00C75972"/>
    <w:rsid w:val="00C80919"/>
    <w:rsid w:val="00CD066B"/>
    <w:rsid w:val="00CE4FEE"/>
    <w:rsid w:val="00D060CF"/>
    <w:rsid w:val="00D60F5B"/>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01Title">
    <w:name w:val="01. Title"/>
    <w:basedOn w:val="Normal"/>
    <w:next w:val="Normal"/>
    <w:qFormat/>
    <w:rsid w:val="00A911D0"/>
    <w:pPr>
      <w:spacing w:before="0" w:after="0"/>
    </w:pPr>
    <w:rPr>
      <w:rFonts w:ascii="Arial" w:eastAsiaTheme="minorEastAsia" w:hAnsi="Arial"/>
      <w:b/>
      <w:spacing w:val="10"/>
      <w:kern w:val="32"/>
      <w:sz w:val="32"/>
    </w:rPr>
  </w:style>
  <w:style w:type="paragraph" w:customStyle="1" w:styleId="08SectionHeader1">
    <w:name w:val="08 Section Header 1"/>
    <w:next w:val="09BodyFirstParagraph"/>
    <w:qFormat/>
    <w:rsid w:val="00A911D0"/>
    <w:pPr>
      <w:numPr>
        <w:numId w:val="20"/>
      </w:numPr>
      <w:spacing w:before="120" w:after="0" w:line="240" w:lineRule="auto"/>
    </w:pPr>
    <w:rPr>
      <w:rFonts w:ascii="Arial" w:eastAsiaTheme="minorEastAsia" w:hAnsi="Arial"/>
      <w:b/>
      <w:sz w:val="20"/>
    </w:rPr>
  </w:style>
  <w:style w:type="paragraph" w:customStyle="1" w:styleId="09BodyFirstParagraph">
    <w:name w:val="09. Body First Paragraph"/>
    <w:basedOn w:val="Normal"/>
    <w:next w:val="Normal"/>
    <w:qFormat/>
    <w:rsid w:val="00A911D0"/>
    <w:pPr>
      <w:spacing w:after="0"/>
      <w:jc w:val="both"/>
    </w:pPr>
    <w:rPr>
      <w:rFonts w:eastAsiaTheme="minorEastAsia"/>
      <w:color w:val="000000" w:themeColor="text1"/>
      <w:sz w:val="20"/>
    </w:rPr>
  </w:style>
  <w:style w:type="paragraph" w:customStyle="1" w:styleId="12FigureCaptionLong">
    <w:name w:val="12. Figure Caption Long"/>
    <w:basedOn w:val="Normal"/>
    <w:next w:val="Normal"/>
    <w:qFormat/>
    <w:rsid w:val="00A911D0"/>
    <w:pPr>
      <w:spacing w:after="120"/>
      <w:ind w:left="720" w:right="720"/>
      <w:jc w:val="both"/>
    </w:pPr>
    <w:rPr>
      <w:rFonts w:eastAsiaTheme="minorEastAsia"/>
      <w:color w:val="000000" w:themeColor="text1"/>
      <w:sz w:val="16"/>
    </w:rPr>
  </w:style>
  <w:style w:type="paragraph" w:customStyle="1" w:styleId="14TableCaption">
    <w:name w:val="14. Table Caption"/>
    <w:basedOn w:val="09BodyFirstParagraph"/>
    <w:next w:val="Normal"/>
    <w:qFormat/>
    <w:rsid w:val="00A911D0"/>
    <w:pPr>
      <w:spacing w:before="240" w:after="160"/>
      <w:jc w:val="center"/>
    </w:pPr>
    <w:rPr>
      <w:b/>
      <w:sz w:val="16"/>
    </w:rPr>
  </w:style>
  <w:style w:type="paragraph" w:customStyle="1" w:styleId="11Figure">
    <w:name w:val="11. Figure"/>
    <w:basedOn w:val="09BodyFirstParagraph"/>
    <w:next w:val="12FigureCaptionLong"/>
    <w:qFormat/>
    <w:rsid w:val="00A911D0"/>
    <w:pPr>
      <w:jc w:val="center"/>
    </w:pPr>
    <w:rPr>
      <w:sz w:val="16"/>
    </w:rPr>
  </w:style>
  <w:style w:type="paragraph" w:styleId="Revision">
    <w:name w:val="Revision"/>
    <w:hidden/>
    <w:uiPriority w:val="99"/>
    <w:semiHidden/>
    <w:rsid w:val="00C663E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TotalTime>
  <Pages>4</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Lily Carlisle</cp:lastModifiedBy>
  <cp:revision>5</cp:revision>
  <cp:lastPrinted>2013-10-03T12:51:00Z</cp:lastPrinted>
  <dcterms:created xsi:type="dcterms:W3CDTF">2022-12-05T07:21:00Z</dcterms:created>
  <dcterms:modified xsi:type="dcterms:W3CDTF">2022-12-07T08:58:00Z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http://csl.mendeley.com/styles/21392811/the-optical-society</vt:lpwstr>
  </property>
  <property fmtid="{D5CDD505-2E9C-101B-9397-08002B2CF9AE}" pid="21" name="Mendeley Recent Style Name 9_1">
    <vt:lpwstr>The Optical Society</vt:lpwstr>
  </property>
  <property fmtid="{D5CDD505-2E9C-101B-9397-08002B2CF9AE}" pid="22" name="Mendeley Document_1">
    <vt:lpwstr>True</vt:lpwstr>
  </property>
  <property fmtid="{D5CDD505-2E9C-101B-9397-08002B2CF9AE}" pid="23" name="Mendeley Unique User Id_1">
    <vt:lpwstr>f1fa1c89-a1dc-3e86-9259-158d1c1fa041</vt:lpwstr>
  </property>
  <property fmtid="{D5CDD505-2E9C-101B-9397-08002B2CF9AE}" pid="24" name="Mendeley Citation Style_1">
    <vt:lpwstr>http://csl.mendeley.com/styles/21392811/the-optical-society</vt:lpwstr>
  </property>
</Properties>
</file>