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094806B1" w:rsidR="00654E8F" w:rsidRDefault="00654E8F" w:rsidP="0001436A">
      <w:pPr>
        <w:pStyle w:val="SupplementaryMaterial"/>
      </w:pPr>
      <w:r w:rsidRPr="001549D3">
        <w:t>Supplementary Material</w:t>
      </w:r>
    </w:p>
    <w:p w14:paraId="2E421F78" w14:textId="77777777" w:rsidR="00FA7A79" w:rsidRPr="00A92104" w:rsidRDefault="00FA7A79" w:rsidP="00FA7A79">
      <w:pPr>
        <w:spacing w:line="360" w:lineRule="auto"/>
        <w:jc w:val="both"/>
        <w:rPr>
          <w:rFonts w:cstheme="minorHAnsi"/>
        </w:rPr>
      </w:pPr>
      <w:r w:rsidRPr="00A92104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3684C1AC" wp14:editId="1E06B58D">
            <wp:simplePos x="0" y="0"/>
            <wp:positionH relativeFrom="margin">
              <wp:posOffset>0</wp:posOffset>
            </wp:positionH>
            <wp:positionV relativeFrom="paragraph">
              <wp:posOffset>381635</wp:posOffset>
            </wp:positionV>
            <wp:extent cx="5773420" cy="3454400"/>
            <wp:effectExtent l="0" t="0" r="0" b="0"/>
            <wp:wrapTopAndBottom/>
            <wp:docPr id="7177" name="Picture 717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717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E0A59" w14:textId="77777777" w:rsidR="00FA7A79" w:rsidRPr="00A92104" w:rsidRDefault="00FA7A79" w:rsidP="00FA7A79">
      <w:pPr>
        <w:spacing w:line="360" w:lineRule="auto"/>
        <w:jc w:val="both"/>
        <w:rPr>
          <w:rFonts w:cstheme="minorHAnsi"/>
        </w:rPr>
      </w:pPr>
    </w:p>
    <w:p w14:paraId="4A9FC44F" w14:textId="77777777" w:rsidR="00FA7A79" w:rsidRDefault="00FA7A79" w:rsidP="00FA7A79">
      <w:pPr>
        <w:spacing w:line="360" w:lineRule="auto"/>
        <w:jc w:val="both"/>
        <w:rPr>
          <w:rFonts w:cstheme="minorHAnsi"/>
        </w:rPr>
      </w:pPr>
      <w:bookmarkStart w:id="0" w:name="_Ref26890595"/>
      <w:r w:rsidRPr="00A92104">
        <w:rPr>
          <w:rFonts w:cstheme="minorHAnsi"/>
          <w:b/>
          <w:bCs/>
        </w:rPr>
        <w:t>Supplementary Figure</w:t>
      </w:r>
      <w:bookmarkEnd w:id="0"/>
      <w:r w:rsidRPr="00A92104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1</w:t>
      </w:r>
      <w:r w:rsidRPr="00A92104">
        <w:rPr>
          <w:rFonts w:cstheme="minorHAnsi"/>
          <w:noProof/>
        </w:rPr>
        <w:t>.</w:t>
      </w:r>
      <w:r w:rsidRPr="00A92104">
        <w:rPr>
          <w:rFonts w:cstheme="minorHAnsi"/>
        </w:rPr>
        <w:t xml:space="preserve"> </w:t>
      </w:r>
      <w:r w:rsidRPr="00A92104">
        <w:rPr>
          <w:rFonts w:cstheme="minorHAnsi"/>
          <w:b/>
          <w:bCs/>
        </w:rPr>
        <w:t>Gating strategy for NK cell isolation by FACS and purity check</w:t>
      </w:r>
      <w:r w:rsidRPr="00A92104">
        <w:rPr>
          <w:rFonts w:cstheme="minorHAnsi"/>
        </w:rPr>
        <w:t xml:space="preserve">. </w:t>
      </w:r>
      <w:r>
        <w:rPr>
          <w:rFonts w:cstheme="minorHAnsi"/>
        </w:rPr>
        <w:t>(</w:t>
      </w:r>
      <w:r w:rsidRPr="00A92104">
        <w:rPr>
          <w:rFonts w:cstheme="minorHAnsi"/>
        </w:rPr>
        <w:t xml:space="preserve">A) Debris were gated out and viable single cells that were negative for CD3, and positive for CD45 and NK1.1, were isolated by FACS in sterile PBS. </w:t>
      </w:r>
      <w:r>
        <w:rPr>
          <w:rFonts w:cstheme="minorHAnsi"/>
        </w:rPr>
        <w:t>(</w:t>
      </w:r>
      <w:r w:rsidRPr="00A92104">
        <w:rPr>
          <w:rFonts w:cstheme="minorHAnsi"/>
        </w:rPr>
        <w:t>B) The purity of the NK cells was checked by running a sample of the sorted cells on the flow cytometer.</w:t>
      </w:r>
    </w:p>
    <w:p w14:paraId="6E3AEB94" w14:textId="77777777" w:rsidR="00FA7A79" w:rsidRDefault="00FA7A79" w:rsidP="00FA7A79">
      <w:pPr>
        <w:jc w:val="both"/>
        <w:rPr>
          <w:rFonts w:cstheme="minorHAnsi"/>
        </w:rPr>
      </w:pPr>
    </w:p>
    <w:p w14:paraId="656C87A5" w14:textId="77777777" w:rsidR="00FA7A79" w:rsidRPr="00625446" w:rsidRDefault="00FA7A79" w:rsidP="00FA7A79">
      <w:pPr>
        <w:rPr>
          <w:rFonts w:eastAsia="Times New Roman" w:cs="Times New Roman"/>
        </w:rPr>
      </w:pPr>
      <w:r w:rsidRPr="00625446">
        <w:rPr>
          <w:rFonts w:eastAsia="Times New Roman" w:cs="Times New Roman"/>
        </w:rPr>
        <w:t> </w:t>
      </w:r>
    </w:p>
    <w:p w14:paraId="0F9CC0F3" w14:textId="77777777" w:rsidR="00FA7A79" w:rsidRDefault="00FA7A79" w:rsidP="00FA7A79">
      <w:pPr>
        <w:jc w:val="both"/>
        <w:rPr>
          <w:rFonts w:cstheme="minorHAnsi"/>
        </w:rPr>
      </w:pPr>
    </w:p>
    <w:p w14:paraId="0BA2F55C" w14:textId="77777777" w:rsidR="00FA7A79" w:rsidRDefault="00FA7A79" w:rsidP="00FA7A79">
      <w:pPr>
        <w:jc w:val="both"/>
        <w:rPr>
          <w:rFonts w:cstheme="minorHAnsi"/>
        </w:rPr>
      </w:pPr>
    </w:p>
    <w:p w14:paraId="05AB7E0D" w14:textId="77777777" w:rsidR="00FA7A79" w:rsidRPr="00E41A11" w:rsidRDefault="00FA7A79" w:rsidP="00FA7A79">
      <w:pPr>
        <w:rPr>
          <w:rFonts w:eastAsia="Times New Roman" w:cs="Times New Roman"/>
        </w:rPr>
      </w:pPr>
      <w:r w:rsidRPr="00E41A11">
        <w:rPr>
          <w:rFonts w:eastAsia="Times New Roman" w:cs="Times New Roman"/>
        </w:rPr>
        <w:t> </w:t>
      </w:r>
    </w:p>
    <w:p w14:paraId="1F0F71F8" w14:textId="77777777" w:rsidR="00FA7A79" w:rsidRPr="00A92104" w:rsidRDefault="00FA7A79" w:rsidP="00FA7A79">
      <w:pPr>
        <w:jc w:val="both"/>
        <w:rPr>
          <w:rFonts w:cstheme="minorHAnsi"/>
        </w:rPr>
      </w:pPr>
    </w:p>
    <w:p w14:paraId="2E94083E" w14:textId="77777777" w:rsidR="00FA7A79" w:rsidRPr="00A92104" w:rsidRDefault="00FA7A79" w:rsidP="00FA7A79">
      <w:pPr>
        <w:rPr>
          <w:rFonts w:cstheme="minorHAnsi"/>
          <w:b/>
          <w:bCs/>
        </w:rPr>
      </w:pPr>
      <w:r w:rsidRPr="00A92104">
        <w:rPr>
          <w:rFonts w:cstheme="min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6FB03A" wp14:editId="11C857EC">
            <wp:simplePos x="0" y="0"/>
            <wp:positionH relativeFrom="margin">
              <wp:posOffset>0</wp:posOffset>
            </wp:positionH>
            <wp:positionV relativeFrom="paragraph">
              <wp:posOffset>302260</wp:posOffset>
            </wp:positionV>
            <wp:extent cx="5056505" cy="3632200"/>
            <wp:effectExtent l="0" t="0" r="0" b="6350"/>
            <wp:wrapTopAndBottom/>
            <wp:docPr id="530" name="Picture 5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D0181" w14:textId="77777777" w:rsidR="00FA7A79" w:rsidRPr="00A92104" w:rsidRDefault="00FA7A79" w:rsidP="00FA7A79">
      <w:pPr>
        <w:rPr>
          <w:rFonts w:cstheme="minorHAnsi"/>
          <w:b/>
          <w:bCs/>
        </w:rPr>
      </w:pPr>
    </w:p>
    <w:p w14:paraId="0DFF5036" w14:textId="77777777" w:rsidR="00FA7A79" w:rsidRPr="00A92104" w:rsidRDefault="00FA7A79" w:rsidP="00FA7A79">
      <w:pPr>
        <w:spacing w:line="360" w:lineRule="auto"/>
        <w:rPr>
          <w:rFonts w:cstheme="minorHAnsi"/>
        </w:rPr>
      </w:pPr>
      <w:bookmarkStart w:id="1" w:name="_Ref26892024"/>
      <w:r w:rsidRPr="00A92104">
        <w:rPr>
          <w:rFonts w:cstheme="minorHAnsi"/>
          <w:b/>
          <w:bCs/>
        </w:rPr>
        <w:t xml:space="preserve">Supplementary Figure </w:t>
      </w:r>
      <w:r>
        <w:rPr>
          <w:rFonts w:cstheme="minorHAnsi"/>
          <w:b/>
          <w:bCs/>
        </w:rPr>
        <w:t>2.</w:t>
      </w:r>
      <w:r w:rsidRPr="00A92104">
        <w:rPr>
          <w:rFonts w:cstheme="minorHAnsi"/>
        </w:rPr>
        <w:t xml:space="preserve"> Common gating strategy used for NK phenotyping by FACS. Debris were gated out</w:t>
      </w:r>
      <w:r>
        <w:rPr>
          <w:rFonts w:cstheme="minorHAnsi"/>
        </w:rPr>
        <w:t xml:space="preserve"> and </w:t>
      </w:r>
      <w:r w:rsidRPr="00A92104">
        <w:rPr>
          <w:rFonts w:cstheme="minorHAnsi"/>
        </w:rPr>
        <w:t>then viable single cells negative for CD3</w:t>
      </w:r>
      <w:r>
        <w:rPr>
          <w:rFonts w:cstheme="minorHAnsi"/>
        </w:rPr>
        <w:t>,</w:t>
      </w:r>
      <w:r w:rsidRPr="00A92104">
        <w:rPr>
          <w:rFonts w:cstheme="minorHAnsi"/>
        </w:rPr>
        <w:t xml:space="preserve"> and positive for CD45 and NK1.1 were gated. </w:t>
      </w:r>
      <w:bookmarkEnd w:id="1"/>
    </w:p>
    <w:p w14:paraId="1F003AC4" w14:textId="77777777" w:rsidR="003D2E44" w:rsidRDefault="003D2E44">
      <w:pPr>
        <w:spacing w:before="0" w:after="200" w:line="276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5C15BE96" w14:textId="6A3E8249" w:rsidR="003872D4" w:rsidRPr="003872D4" w:rsidRDefault="009222ED" w:rsidP="003872D4">
      <w:pPr>
        <w:rPr>
          <w:noProof/>
        </w:rPr>
      </w:pPr>
      <w:r w:rsidRPr="009222E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A4A9E0" wp14:editId="421689DF">
            <wp:simplePos x="0" y="0"/>
            <wp:positionH relativeFrom="column">
              <wp:posOffset>715645</wp:posOffset>
            </wp:positionH>
            <wp:positionV relativeFrom="paragraph">
              <wp:posOffset>5080</wp:posOffset>
            </wp:positionV>
            <wp:extent cx="4022090" cy="6008370"/>
            <wp:effectExtent l="0" t="0" r="3810" b="0"/>
            <wp:wrapTopAndBottom/>
            <wp:docPr id="13" name="Picture 1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schematic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2ED">
        <w:rPr>
          <w:noProof/>
        </w:rPr>
        <w:t xml:space="preserve"> </w:t>
      </w:r>
      <w:r w:rsidR="00F27549" w:rsidRPr="00F27549">
        <w:rPr>
          <w:noProof/>
        </w:rPr>
        <w:t xml:space="preserve">  </w:t>
      </w:r>
    </w:p>
    <w:p w14:paraId="06FAD520" w14:textId="3AB04D96" w:rsidR="00656266" w:rsidRPr="009222ED" w:rsidRDefault="00656266" w:rsidP="009222ED">
      <w:pPr>
        <w:spacing w:line="480" w:lineRule="auto"/>
        <w:jc w:val="both"/>
        <w:rPr>
          <w:rFonts w:cstheme="minorHAnsi"/>
          <w:lang w:val="en-GB"/>
        </w:rPr>
      </w:pPr>
      <w:r w:rsidRPr="00A92104">
        <w:rPr>
          <w:rFonts w:cstheme="minorHAnsi"/>
          <w:b/>
          <w:bCs/>
        </w:rPr>
        <w:t xml:space="preserve">Supplementary Figure </w:t>
      </w:r>
      <w:r>
        <w:rPr>
          <w:rFonts w:cstheme="minorHAnsi"/>
          <w:b/>
          <w:bCs/>
        </w:rPr>
        <w:t>3.</w:t>
      </w:r>
      <w:r w:rsidRPr="00A92104">
        <w:rPr>
          <w:rFonts w:cstheme="minorHAnsi"/>
        </w:rPr>
        <w:t xml:space="preserve"> </w:t>
      </w:r>
      <w:r w:rsidR="003872D4" w:rsidRPr="000733B6">
        <w:rPr>
          <w:rFonts w:cstheme="minorHAnsi"/>
          <w:lang w:val="en-GB"/>
        </w:rPr>
        <w:t xml:space="preserve">C57BL/6 mice were mock-treated or infected </w:t>
      </w:r>
      <w:proofErr w:type="spellStart"/>
      <w:r w:rsidR="003872D4" w:rsidRPr="000733B6">
        <w:rPr>
          <w:rFonts w:cstheme="minorHAnsi"/>
          <w:lang w:val="en-GB"/>
        </w:rPr>
        <w:t>i.n.</w:t>
      </w:r>
      <w:proofErr w:type="spellEnd"/>
      <w:r w:rsidR="003872D4" w:rsidRPr="000733B6">
        <w:rPr>
          <w:rFonts w:cstheme="minorHAnsi"/>
          <w:lang w:val="en-GB"/>
        </w:rPr>
        <w:t xml:space="preserve"> with VACV and 6.5 d later (A) </w:t>
      </w:r>
      <w:r w:rsidR="006C4827">
        <w:rPr>
          <w:rFonts w:cstheme="minorHAnsi"/>
          <w:lang w:val="en-GB"/>
        </w:rPr>
        <w:t>hepatic</w:t>
      </w:r>
      <w:r w:rsidR="003872D4" w:rsidRPr="000733B6">
        <w:rPr>
          <w:rFonts w:cstheme="minorHAnsi"/>
          <w:lang w:val="en-GB"/>
        </w:rPr>
        <w:t xml:space="preserve"> NK cells were counted</w:t>
      </w:r>
      <w:r w:rsidR="003872D4">
        <w:rPr>
          <w:rFonts w:cstheme="minorHAnsi"/>
          <w:lang w:val="en-GB"/>
        </w:rPr>
        <w:t>,</w:t>
      </w:r>
      <w:r w:rsidR="003872D4">
        <w:rPr>
          <w:rFonts w:cstheme="minorHAnsi"/>
        </w:rPr>
        <w:t xml:space="preserve"> B) </w:t>
      </w:r>
      <w:r w:rsidR="007B511F" w:rsidRPr="000733B6">
        <w:rPr>
          <w:rFonts w:cstheme="minorHAnsi"/>
          <w:lang w:val="en-GB"/>
        </w:rPr>
        <w:t>Protein expression</w:t>
      </w:r>
      <w:r w:rsidR="007B511F">
        <w:rPr>
          <w:rFonts w:cstheme="minorHAnsi"/>
          <w:lang w:val="en-GB"/>
        </w:rPr>
        <w:t xml:space="preserve"> on hepatic NK cells</w:t>
      </w:r>
      <w:r w:rsidR="007B511F" w:rsidRPr="000733B6">
        <w:rPr>
          <w:rFonts w:cstheme="minorHAnsi"/>
          <w:lang w:val="en-GB"/>
        </w:rPr>
        <w:t xml:space="preserve"> assessed by FACS from mock (blue) and VACV-infected mice (red). The percentage of NK cells expressing the </w:t>
      </w:r>
      <w:r w:rsidR="0087241E">
        <w:rPr>
          <w:rFonts w:cstheme="minorHAnsi"/>
          <w:lang w:val="en-GB"/>
        </w:rPr>
        <w:t>indicated surface protein</w:t>
      </w:r>
      <w:r w:rsidR="007B511F" w:rsidRPr="000733B6">
        <w:rPr>
          <w:rFonts w:cstheme="minorHAnsi"/>
          <w:lang w:val="en-GB"/>
        </w:rPr>
        <w:t xml:space="preserve"> is shown. Error bars represent ± SD, statistical significance was assessed with a Mann-Whitney test (*p&lt;0.05, ** p&lt;0.01, ***p&lt;0.001).</w:t>
      </w:r>
    </w:p>
    <w:p w14:paraId="16B4F0C0" w14:textId="2A837B45" w:rsidR="00FA7A79" w:rsidRPr="00A92104" w:rsidRDefault="00FA7A79" w:rsidP="00FA7A79">
      <w:pPr>
        <w:rPr>
          <w:rFonts w:cstheme="minorHAnsi"/>
          <w:b/>
          <w:bCs/>
        </w:rPr>
      </w:pPr>
      <w:r w:rsidRPr="00A92104">
        <w:rPr>
          <w:rFonts w:cstheme="minorHAnsi"/>
          <w:b/>
          <w:bCs/>
        </w:rPr>
        <w:br w:type="page"/>
      </w:r>
    </w:p>
    <w:p w14:paraId="1EB94D48" w14:textId="77777777" w:rsidR="00FA7A79" w:rsidRPr="00FA7A79" w:rsidRDefault="00FA7A79" w:rsidP="00FA7A79">
      <w:pPr>
        <w:spacing w:before="0" w:after="0"/>
        <w:rPr>
          <w:rFonts w:ascii="Calibri" w:eastAsia="Times New Roman" w:hAnsi="Calibri" w:cs="Calibri"/>
          <w:b/>
          <w:bCs/>
          <w:szCs w:val="24"/>
          <w:lang w:val="en-GB" w:eastAsia="en-GB"/>
        </w:rPr>
      </w:pPr>
      <w:r w:rsidRPr="00FA7A79">
        <w:rPr>
          <w:rFonts w:ascii="Calibri" w:eastAsia="Times New Roman" w:hAnsi="Calibri" w:cs="Calibri"/>
          <w:b/>
          <w:bCs/>
          <w:szCs w:val="24"/>
          <w:lang w:val="en-GB" w:eastAsia="en-GB"/>
        </w:rPr>
        <w:lastRenderedPageBreak/>
        <w:t>Tables</w:t>
      </w:r>
    </w:p>
    <w:p w14:paraId="45D694AE" w14:textId="77777777" w:rsidR="00FA7A79" w:rsidRPr="00FA7A79" w:rsidRDefault="00FA7A79" w:rsidP="00FA7A79">
      <w:pPr>
        <w:spacing w:before="0" w:after="0"/>
        <w:rPr>
          <w:rFonts w:ascii="Calibri" w:eastAsia="Times New Roman" w:hAnsi="Calibri" w:cs="Calibri"/>
          <w:b/>
          <w:bCs/>
          <w:szCs w:val="24"/>
          <w:lang w:val="en-GB" w:eastAsia="en-GB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1501"/>
        <w:gridCol w:w="1296"/>
        <w:gridCol w:w="2873"/>
      </w:tblGrid>
      <w:tr w:rsidR="00FA7A79" w:rsidRPr="00FA7A79" w14:paraId="30518E77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5412A2AA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szCs w:val="24"/>
                <w:lang w:val="en-GB" w:eastAsia="en-GB"/>
              </w:rPr>
              <w:t>Antigen</w:t>
            </w:r>
          </w:p>
        </w:tc>
        <w:tc>
          <w:tcPr>
            <w:tcW w:w="1501" w:type="dxa"/>
            <w:noWrap/>
            <w:hideMark/>
          </w:tcPr>
          <w:p w14:paraId="69F72A39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szCs w:val="24"/>
                <w:lang w:val="en-GB" w:eastAsia="en-GB"/>
              </w:rPr>
              <w:t>Fluorochrome</w:t>
            </w:r>
          </w:p>
        </w:tc>
        <w:tc>
          <w:tcPr>
            <w:tcW w:w="1296" w:type="dxa"/>
            <w:noWrap/>
            <w:hideMark/>
          </w:tcPr>
          <w:p w14:paraId="4A1BBE13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szCs w:val="24"/>
                <w:lang w:val="en-GB" w:eastAsia="en-GB"/>
              </w:rPr>
              <w:t>Clone</w:t>
            </w:r>
          </w:p>
        </w:tc>
        <w:tc>
          <w:tcPr>
            <w:tcW w:w="2873" w:type="dxa"/>
            <w:noWrap/>
            <w:hideMark/>
          </w:tcPr>
          <w:p w14:paraId="2557B1ED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szCs w:val="24"/>
                <w:lang w:val="en-GB" w:eastAsia="en-GB"/>
              </w:rPr>
              <w:t>Company cat. number</w:t>
            </w:r>
          </w:p>
        </w:tc>
      </w:tr>
      <w:tr w:rsidR="00FA7A79" w:rsidRPr="00FA7A79" w14:paraId="39D424BF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43D33C0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Fixable Viability Dye</w:t>
            </w:r>
          </w:p>
        </w:tc>
        <w:tc>
          <w:tcPr>
            <w:tcW w:w="1501" w:type="dxa"/>
            <w:noWrap/>
            <w:hideMark/>
          </w:tcPr>
          <w:p w14:paraId="19B1C4DD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Zombie violet</w:t>
            </w:r>
          </w:p>
        </w:tc>
        <w:tc>
          <w:tcPr>
            <w:tcW w:w="1296" w:type="dxa"/>
            <w:noWrap/>
            <w:hideMark/>
          </w:tcPr>
          <w:p w14:paraId="53DA053C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</w:p>
        </w:tc>
        <w:tc>
          <w:tcPr>
            <w:tcW w:w="2873" w:type="dxa"/>
            <w:noWrap/>
          </w:tcPr>
          <w:p w14:paraId="6E07BC6A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#423113</w:t>
            </w:r>
          </w:p>
        </w:tc>
      </w:tr>
      <w:tr w:rsidR="00FA7A79" w:rsidRPr="00FA7A79" w14:paraId="1EEDD325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1A927F24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CD3</w:t>
            </w:r>
          </w:p>
        </w:tc>
        <w:tc>
          <w:tcPr>
            <w:tcW w:w="1501" w:type="dxa"/>
            <w:noWrap/>
            <w:hideMark/>
          </w:tcPr>
          <w:p w14:paraId="0124540F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BV421</w:t>
            </w:r>
          </w:p>
        </w:tc>
        <w:tc>
          <w:tcPr>
            <w:tcW w:w="1296" w:type="dxa"/>
            <w:noWrap/>
            <w:hideMark/>
          </w:tcPr>
          <w:p w14:paraId="69B97DF7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145-2C11</w:t>
            </w:r>
          </w:p>
        </w:tc>
        <w:tc>
          <w:tcPr>
            <w:tcW w:w="2873" w:type="dxa"/>
          </w:tcPr>
          <w:p w14:paraId="0C22679E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#100341</w:t>
            </w:r>
          </w:p>
        </w:tc>
      </w:tr>
      <w:tr w:rsidR="00FA7A79" w:rsidRPr="00FA7A79" w14:paraId="023C6D2E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24C9F58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CD45</w:t>
            </w:r>
          </w:p>
        </w:tc>
        <w:tc>
          <w:tcPr>
            <w:tcW w:w="1501" w:type="dxa"/>
            <w:noWrap/>
            <w:hideMark/>
          </w:tcPr>
          <w:p w14:paraId="72DC1F24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BV650</w:t>
            </w:r>
          </w:p>
        </w:tc>
        <w:tc>
          <w:tcPr>
            <w:tcW w:w="1296" w:type="dxa"/>
            <w:noWrap/>
            <w:hideMark/>
          </w:tcPr>
          <w:p w14:paraId="01A39AA6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30-F11</w:t>
            </w:r>
          </w:p>
        </w:tc>
        <w:tc>
          <w:tcPr>
            <w:tcW w:w="2873" w:type="dxa"/>
          </w:tcPr>
          <w:p w14:paraId="7C707B70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#103151</w:t>
            </w:r>
          </w:p>
        </w:tc>
      </w:tr>
      <w:tr w:rsidR="00FA7A79" w:rsidRPr="00FA7A79" w14:paraId="026D8EBA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63353588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NK1.1</w:t>
            </w:r>
          </w:p>
        </w:tc>
        <w:tc>
          <w:tcPr>
            <w:tcW w:w="1501" w:type="dxa"/>
            <w:noWrap/>
            <w:hideMark/>
          </w:tcPr>
          <w:p w14:paraId="0B53889D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APC-Cy7</w:t>
            </w:r>
          </w:p>
        </w:tc>
        <w:tc>
          <w:tcPr>
            <w:tcW w:w="1296" w:type="dxa"/>
            <w:noWrap/>
            <w:hideMark/>
          </w:tcPr>
          <w:p w14:paraId="1EACB03A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PK136</w:t>
            </w:r>
          </w:p>
        </w:tc>
        <w:tc>
          <w:tcPr>
            <w:tcW w:w="2873" w:type="dxa"/>
            <w:noWrap/>
          </w:tcPr>
          <w:p w14:paraId="61F15598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 108724</w:t>
            </w:r>
          </w:p>
        </w:tc>
      </w:tr>
      <w:tr w:rsidR="00FA7A79" w:rsidRPr="00FA7A79" w14:paraId="47658883" w14:textId="77777777" w:rsidTr="00654C86">
        <w:trPr>
          <w:trHeight w:val="290"/>
        </w:trPr>
        <w:tc>
          <w:tcPr>
            <w:tcW w:w="1985" w:type="dxa"/>
            <w:noWrap/>
          </w:tcPr>
          <w:p w14:paraId="40091544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CD16/CD32</w:t>
            </w:r>
            <w:r w:rsidRPr="00FA7A79">
              <w:rPr>
                <w:rFonts w:ascii="Calibri" w:eastAsia="Times New Roman" w:hAnsi="Calibri" w:cs="Calibri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501" w:type="dxa"/>
            <w:noWrap/>
          </w:tcPr>
          <w:p w14:paraId="3781A52D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</w:pPr>
          </w:p>
        </w:tc>
        <w:tc>
          <w:tcPr>
            <w:tcW w:w="1296" w:type="dxa"/>
            <w:noWrap/>
          </w:tcPr>
          <w:p w14:paraId="03AA872B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2.4G2</w:t>
            </w:r>
          </w:p>
        </w:tc>
        <w:tc>
          <w:tcPr>
            <w:tcW w:w="2873" w:type="dxa"/>
            <w:noWrap/>
          </w:tcPr>
          <w:p w14:paraId="40102B9A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BD #553142</w:t>
            </w:r>
          </w:p>
        </w:tc>
      </w:tr>
      <w:tr w:rsidR="00FA7A79" w:rsidRPr="00FA7A79" w14:paraId="249C016C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1D32F41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CD27</w:t>
            </w:r>
          </w:p>
        </w:tc>
        <w:tc>
          <w:tcPr>
            <w:tcW w:w="1501" w:type="dxa"/>
            <w:noWrap/>
            <w:hideMark/>
          </w:tcPr>
          <w:p w14:paraId="46C9E7EC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APC</w:t>
            </w:r>
          </w:p>
        </w:tc>
        <w:tc>
          <w:tcPr>
            <w:tcW w:w="1296" w:type="dxa"/>
            <w:noWrap/>
            <w:hideMark/>
          </w:tcPr>
          <w:p w14:paraId="4AD327F8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LG.3A10</w:t>
            </w:r>
          </w:p>
        </w:tc>
        <w:tc>
          <w:tcPr>
            <w:tcW w:w="2873" w:type="dxa"/>
            <w:noWrap/>
          </w:tcPr>
          <w:p w14:paraId="21B129C4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 124211</w:t>
            </w:r>
          </w:p>
        </w:tc>
      </w:tr>
      <w:tr w:rsidR="00FA7A79" w:rsidRPr="00FA7A79" w14:paraId="15D602EE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0FEF4F13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CD11b</w:t>
            </w:r>
          </w:p>
        </w:tc>
        <w:tc>
          <w:tcPr>
            <w:tcW w:w="1501" w:type="dxa"/>
            <w:noWrap/>
            <w:hideMark/>
          </w:tcPr>
          <w:p w14:paraId="6AB94046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FITC</w:t>
            </w:r>
          </w:p>
        </w:tc>
        <w:tc>
          <w:tcPr>
            <w:tcW w:w="1296" w:type="dxa"/>
            <w:noWrap/>
            <w:hideMark/>
          </w:tcPr>
          <w:p w14:paraId="5FE3BC5B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M1/70</w:t>
            </w:r>
          </w:p>
        </w:tc>
        <w:tc>
          <w:tcPr>
            <w:tcW w:w="2873" w:type="dxa"/>
            <w:noWrap/>
          </w:tcPr>
          <w:p w14:paraId="3EBDE3B9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#101205</w:t>
            </w:r>
          </w:p>
        </w:tc>
      </w:tr>
      <w:tr w:rsidR="00FA7A79" w:rsidRPr="00FA7A79" w14:paraId="46193E01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4E3B2C5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KLRG1</w:t>
            </w:r>
          </w:p>
        </w:tc>
        <w:tc>
          <w:tcPr>
            <w:tcW w:w="1501" w:type="dxa"/>
            <w:noWrap/>
            <w:hideMark/>
          </w:tcPr>
          <w:p w14:paraId="4F2000AF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BV510</w:t>
            </w:r>
          </w:p>
        </w:tc>
        <w:tc>
          <w:tcPr>
            <w:tcW w:w="1296" w:type="dxa"/>
            <w:noWrap/>
            <w:hideMark/>
          </w:tcPr>
          <w:p w14:paraId="19C70A93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2F1</w:t>
            </w:r>
          </w:p>
        </w:tc>
        <w:tc>
          <w:tcPr>
            <w:tcW w:w="2873" w:type="dxa"/>
            <w:noWrap/>
          </w:tcPr>
          <w:p w14:paraId="03ED6A72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BD #740156</w:t>
            </w:r>
          </w:p>
        </w:tc>
      </w:tr>
      <w:tr w:rsidR="00FA7A79" w:rsidRPr="00FA7A79" w14:paraId="7C08C62C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516C74BE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Thy-1.2</w:t>
            </w:r>
          </w:p>
        </w:tc>
        <w:tc>
          <w:tcPr>
            <w:tcW w:w="1501" w:type="dxa"/>
            <w:noWrap/>
            <w:hideMark/>
          </w:tcPr>
          <w:p w14:paraId="48C788B2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PerCP</w:t>
            </w:r>
            <w:proofErr w:type="spellEnd"/>
          </w:p>
        </w:tc>
        <w:tc>
          <w:tcPr>
            <w:tcW w:w="1296" w:type="dxa"/>
            <w:noWrap/>
            <w:hideMark/>
          </w:tcPr>
          <w:p w14:paraId="29D3EF2E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30-H12</w:t>
            </w:r>
          </w:p>
        </w:tc>
        <w:tc>
          <w:tcPr>
            <w:tcW w:w="2873" w:type="dxa"/>
            <w:noWrap/>
          </w:tcPr>
          <w:p w14:paraId="428B7B5F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#105321</w:t>
            </w:r>
          </w:p>
        </w:tc>
      </w:tr>
      <w:tr w:rsidR="00FA7A79" w:rsidRPr="00FA7A79" w14:paraId="2D8F3B43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77A77DF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CD69</w:t>
            </w:r>
          </w:p>
        </w:tc>
        <w:tc>
          <w:tcPr>
            <w:tcW w:w="1501" w:type="dxa"/>
            <w:noWrap/>
            <w:hideMark/>
          </w:tcPr>
          <w:p w14:paraId="6F977F68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PE</w:t>
            </w:r>
          </w:p>
        </w:tc>
        <w:tc>
          <w:tcPr>
            <w:tcW w:w="1296" w:type="dxa"/>
            <w:noWrap/>
            <w:hideMark/>
          </w:tcPr>
          <w:p w14:paraId="21FFB889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H1.2F3</w:t>
            </w:r>
          </w:p>
        </w:tc>
        <w:tc>
          <w:tcPr>
            <w:tcW w:w="2873" w:type="dxa"/>
          </w:tcPr>
          <w:p w14:paraId="6A572E1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#104507</w:t>
            </w:r>
          </w:p>
        </w:tc>
      </w:tr>
      <w:tr w:rsidR="00FA7A79" w:rsidRPr="00FA7A79" w14:paraId="7D43A479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6AE14132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Ly49C/I</w:t>
            </w:r>
          </w:p>
        </w:tc>
        <w:tc>
          <w:tcPr>
            <w:tcW w:w="1501" w:type="dxa"/>
            <w:noWrap/>
            <w:hideMark/>
          </w:tcPr>
          <w:p w14:paraId="5E8EFC6B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FITC</w:t>
            </w:r>
          </w:p>
        </w:tc>
        <w:tc>
          <w:tcPr>
            <w:tcW w:w="1296" w:type="dxa"/>
            <w:noWrap/>
            <w:hideMark/>
          </w:tcPr>
          <w:p w14:paraId="2E768C62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5E6</w:t>
            </w:r>
          </w:p>
        </w:tc>
        <w:tc>
          <w:tcPr>
            <w:tcW w:w="2873" w:type="dxa"/>
            <w:noWrap/>
          </w:tcPr>
          <w:p w14:paraId="14F45A94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BD # 553276</w:t>
            </w:r>
          </w:p>
        </w:tc>
      </w:tr>
      <w:tr w:rsidR="00FA7A79" w:rsidRPr="00FA7A79" w14:paraId="5310E9E2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2709A574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Ly49H</w:t>
            </w:r>
          </w:p>
        </w:tc>
        <w:tc>
          <w:tcPr>
            <w:tcW w:w="1501" w:type="dxa"/>
            <w:noWrap/>
            <w:hideMark/>
          </w:tcPr>
          <w:p w14:paraId="381D1168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AF647</w:t>
            </w:r>
          </w:p>
        </w:tc>
        <w:tc>
          <w:tcPr>
            <w:tcW w:w="1296" w:type="dxa"/>
            <w:noWrap/>
            <w:hideMark/>
          </w:tcPr>
          <w:p w14:paraId="4E319A72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3D10</w:t>
            </w:r>
          </w:p>
        </w:tc>
        <w:tc>
          <w:tcPr>
            <w:tcW w:w="2873" w:type="dxa"/>
            <w:noWrap/>
          </w:tcPr>
          <w:p w14:paraId="5FFEF52F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BD #62207</w:t>
            </w:r>
          </w:p>
        </w:tc>
      </w:tr>
      <w:tr w:rsidR="00FA7A79" w:rsidRPr="00FA7A79" w14:paraId="5913608C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4AE96CD3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CD107a</w:t>
            </w:r>
          </w:p>
        </w:tc>
        <w:tc>
          <w:tcPr>
            <w:tcW w:w="1501" w:type="dxa"/>
            <w:noWrap/>
            <w:hideMark/>
          </w:tcPr>
          <w:p w14:paraId="7800BFCD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PE</w:t>
            </w:r>
          </w:p>
        </w:tc>
        <w:tc>
          <w:tcPr>
            <w:tcW w:w="1296" w:type="dxa"/>
            <w:noWrap/>
            <w:hideMark/>
          </w:tcPr>
          <w:p w14:paraId="4FCB23EB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1D4B</w:t>
            </w:r>
          </w:p>
        </w:tc>
        <w:tc>
          <w:tcPr>
            <w:tcW w:w="2873" w:type="dxa"/>
            <w:noWrap/>
          </w:tcPr>
          <w:p w14:paraId="3F2DBF5E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 121611</w:t>
            </w:r>
          </w:p>
        </w:tc>
      </w:tr>
      <w:tr w:rsidR="00FA7A79" w:rsidRPr="00FA7A79" w14:paraId="5A74E34B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576BCE2C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Ly49A</w:t>
            </w:r>
          </w:p>
        </w:tc>
        <w:tc>
          <w:tcPr>
            <w:tcW w:w="1501" w:type="dxa"/>
            <w:noWrap/>
            <w:hideMark/>
          </w:tcPr>
          <w:p w14:paraId="5DD15CBA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FITC</w:t>
            </w:r>
          </w:p>
        </w:tc>
        <w:tc>
          <w:tcPr>
            <w:tcW w:w="1296" w:type="dxa"/>
            <w:noWrap/>
            <w:hideMark/>
          </w:tcPr>
          <w:p w14:paraId="43DF373E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YE1/48.10.6</w:t>
            </w:r>
          </w:p>
        </w:tc>
        <w:tc>
          <w:tcPr>
            <w:tcW w:w="2873" w:type="dxa"/>
          </w:tcPr>
          <w:p w14:paraId="65572009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116805</w:t>
            </w:r>
          </w:p>
        </w:tc>
      </w:tr>
      <w:tr w:rsidR="00FA7A79" w:rsidRPr="00FA7A79" w14:paraId="15DC69CC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51408EE9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Ly49F</w:t>
            </w:r>
          </w:p>
        </w:tc>
        <w:tc>
          <w:tcPr>
            <w:tcW w:w="1501" w:type="dxa"/>
            <w:noWrap/>
            <w:hideMark/>
          </w:tcPr>
          <w:p w14:paraId="34B7523E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APC</w:t>
            </w:r>
          </w:p>
        </w:tc>
        <w:tc>
          <w:tcPr>
            <w:tcW w:w="1296" w:type="dxa"/>
            <w:noWrap/>
            <w:hideMark/>
          </w:tcPr>
          <w:p w14:paraId="77DAE6F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HBF-719</w:t>
            </w:r>
          </w:p>
        </w:tc>
        <w:tc>
          <w:tcPr>
            <w:tcW w:w="2873" w:type="dxa"/>
            <w:noWrap/>
          </w:tcPr>
          <w:p w14:paraId="23DAA443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Miltenyi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Biotech 130-104-293</w:t>
            </w:r>
          </w:p>
        </w:tc>
      </w:tr>
      <w:tr w:rsidR="00FA7A79" w:rsidRPr="00FA7A79" w14:paraId="134AD18F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43D36737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CD319</w:t>
            </w:r>
          </w:p>
        </w:tc>
        <w:tc>
          <w:tcPr>
            <w:tcW w:w="1501" w:type="dxa"/>
            <w:noWrap/>
            <w:hideMark/>
          </w:tcPr>
          <w:p w14:paraId="202B73FC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PE</w:t>
            </w:r>
          </w:p>
        </w:tc>
        <w:tc>
          <w:tcPr>
            <w:tcW w:w="1296" w:type="dxa"/>
            <w:noWrap/>
            <w:hideMark/>
          </w:tcPr>
          <w:p w14:paraId="3E0D5D9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4G2</w:t>
            </w:r>
          </w:p>
        </w:tc>
        <w:tc>
          <w:tcPr>
            <w:tcW w:w="2873" w:type="dxa"/>
            <w:noWrap/>
          </w:tcPr>
          <w:p w14:paraId="21CB6768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Biolegend#152005</w:t>
            </w:r>
          </w:p>
        </w:tc>
      </w:tr>
      <w:tr w:rsidR="00FA7A79" w:rsidRPr="00FA7A79" w14:paraId="70F17E86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38560715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Ly49D</w:t>
            </w:r>
          </w:p>
        </w:tc>
        <w:tc>
          <w:tcPr>
            <w:tcW w:w="1501" w:type="dxa"/>
            <w:noWrap/>
            <w:hideMark/>
          </w:tcPr>
          <w:p w14:paraId="575A89F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FITC</w:t>
            </w:r>
          </w:p>
        </w:tc>
        <w:tc>
          <w:tcPr>
            <w:tcW w:w="1296" w:type="dxa"/>
            <w:noWrap/>
            <w:hideMark/>
          </w:tcPr>
          <w:p w14:paraId="476AD02C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4E5</w:t>
            </w:r>
          </w:p>
        </w:tc>
        <w:tc>
          <w:tcPr>
            <w:tcW w:w="2873" w:type="dxa"/>
            <w:noWrap/>
          </w:tcPr>
          <w:p w14:paraId="67C0F7DB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BD #555313</w:t>
            </w:r>
          </w:p>
        </w:tc>
      </w:tr>
      <w:tr w:rsidR="00FA7A79" w:rsidRPr="00FA7A79" w14:paraId="32453B5A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7B8FBF15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Ly49G2</w:t>
            </w:r>
          </w:p>
        </w:tc>
        <w:tc>
          <w:tcPr>
            <w:tcW w:w="1501" w:type="dxa"/>
            <w:noWrap/>
            <w:hideMark/>
          </w:tcPr>
          <w:p w14:paraId="54A271C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APC</w:t>
            </w:r>
          </w:p>
        </w:tc>
        <w:tc>
          <w:tcPr>
            <w:tcW w:w="1296" w:type="dxa"/>
            <w:noWrap/>
            <w:hideMark/>
          </w:tcPr>
          <w:p w14:paraId="76F2CCF4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4D11</w:t>
            </w:r>
          </w:p>
        </w:tc>
        <w:tc>
          <w:tcPr>
            <w:tcW w:w="2873" w:type="dxa"/>
            <w:noWrap/>
          </w:tcPr>
          <w:p w14:paraId="5BADB6A8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BD #555316</w:t>
            </w:r>
          </w:p>
        </w:tc>
      </w:tr>
      <w:tr w:rsidR="00FA7A79" w:rsidRPr="00FA7A79" w14:paraId="34DB4363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2502A9E3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LY108</w:t>
            </w:r>
          </w:p>
        </w:tc>
        <w:tc>
          <w:tcPr>
            <w:tcW w:w="1501" w:type="dxa"/>
            <w:noWrap/>
            <w:hideMark/>
          </w:tcPr>
          <w:p w14:paraId="723C3A29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PE</w:t>
            </w:r>
          </w:p>
        </w:tc>
        <w:tc>
          <w:tcPr>
            <w:tcW w:w="1296" w:type="dxa"/>
            <w:noWrap/>
            <w:hideMark/>
          </w:tcPr>
          <w:p w14:paraId="0B9028CA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330-AJ</w:t>
            </w:r>
          </w:p>
        </w:tc>
        <w:tc>
          <w:tcPr>
            <w:tcW w:w="2873" w:type="dxa"/>
          </w:tcPr>
          <w:p w14:paraId="34798475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#134605</w:t>
            </w:r>
          </w:p>
        </w:tc>
      </w:tr>
      <w:tr w:rsidR="00FA7A79" w:rsidRPr="00FA7A79" w14:paraId="5A964503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5AB5005C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CD49b</w:t>
            </w:r>
          </w:p>
        </w:tc>
        <w:tc>
          <w:tcPr>
            <w:tcW w:w="1501" w:type="dxa"/>
            <w:noWrap/>
            <w:hideMark/>
          </w:tcPr>
          <w:p w14:paraId="6CDBA9A1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FITC</w:t>
            </w:r>
          </w:p>
        </w:tc>
        <w:tc>
          <w:tcPr>
            <w:tcW w:w="1296" w:type="dxa"/>
            <w:noWrap/>
            <w:hideMark/>
          </w:tcPr>
          <w:p w14:paraId="42076805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HM</w:t>
            </w: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l-GR" w:eastAsia="en-GB"/>
              </w:rPr>
              <w:t>α2</w:t>
            </w:r>
          </w:p>
        </w:tc>
        <w:tc>
          <w:tcPr>
            <w:tcW w:w="2873" w:type="dxa"/>
          </w:tcPr>
          <w:p w14:paraId="312E5C43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103503</w:t>
            </w:r>
          </w:p>
        </w:tc>
      </w:tr>
      <w:tr w:rsidR="00FA7A79" w:rsidRPr="00FA7A79" w14:paraId="2727E667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51E279A7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gp49B</w:t>
            </w:r>
          </w:p>
        </w:tc>
        <w:tc>
          <w:tcPr>
            <w:tcW w:w="1501" w:type="dxa"/>
            <w:noWrap/>
            <w:hideMark/>
          </w:tcPr>
          <w:p w14:paraId="7861D547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PE</w:t>
            </w:r>
          </w:p>
        </w:tc>
        <w:tc>
          <w:tcPr>
            <w:tcW w:w="1296" w:type="dxa"/>
            <w:noWrap/>
            <w:hideMark/>
          </w:tcPr>
          <w:p w14:paraId="5C400E49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H1.1</w:t>
            </w:r>
          </w:p>
        </w:tc>
        <w:tc>
          <w:tcPr>
            <w:tcW w:w="2873" w:type="dxa"/>
          </w:tcPr>
          <w:p w14:paraId="2070EC59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144904</w:t>
            </w:r>
          </w:p>
        </w:tc>
      </w:tr>
      <w:tr w:rsidR="00FA7A79" w:rsidRPr="00FA7A79" w14:paraId="59EAA9D0" w14:textId="77777777" w:rsidTr="00654C86">
        <w:trPr>
          <w:trHeight w:val="290"/>
        </w:trPr>
        <w:tc>
          <w:tcPr>
            <w:tcW w:w="1985" w:type="dxa"/>
            <w:noWrap/>
            <w:hideMark/>
          </w:tcPr>
          <w:p w14:paraId="40BECF9D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CXCR6</w:t>
            </w:r>
          </w:p>
        </w:tc>
        <w:tc>
          <w:tcPr>
            <w:tcW w:w="1501" w:type="dxa"/>
            <w:noWrap/>
            <w:hideMark/>
          </w:tcPr>
          <w:p w14:paraId="732F9DD6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APC</w:t>
            </w:r>
          </w:p>
        </w:tc>
        <w:tc>
          <w:tcPr>
            <w:tcW w:w="1296" w:type="dxa"/>
            <w:noWrap/>
            <w:hideMark/>
          </w:tcPr>
          <w:p w14:paraId="04C718DA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Cs w:val="24"/>
                <w:lang w:val="en-GB" w:eastAsia="en-GB"/>
              </w:rPr>
            </w:pPr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SA051D1</w:t>
            </w:r>
          </w:p>
        </w:tc>
        <w:tc>
          <w:tcPr>
            <w:tcW w:w="2873" w:type="dxa"/>
            <w:noWrap/>
          </w:tcPr>
          <w:p w14:paraId="65110B48" w14:textId="77777777" w:rsidR="00FA7A79" w:rsidRPr="00FA7A79" w:rsidRDefault="00FA7A79" w:rsidP="00FA7A79">
            <w:pPr>
              <w:spacing w:before="0" w:after="0" w:line="36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val="en-GB" w:eastAsia="en-GB"/>
              </w:rPr>
            </w:pPr>
            <w:proofErr w:type="spellStart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>Biolegend</w:t>
            </w:r>
            <w:proofErr w:type="spellEnd"/>
            <w:r w:rsidRPr="00FA7A79">
              <w:rPr>
                <w:rFonts w:ascii="Calibri" w:eastAsia="Times New Roman" w:hAnsi="Calibri" w:cs="Calibri"/>
                <w:color w:val="000000"/>
                <w:kern w:val="24"/>
                <w:sz w:val="20"/>
                <w:szCs w:val="20"/>
                <w:lang w:val="en-GB" w:eastAsia="en-GB"/>
              </w:rPr>
              <w:t xml:space="preserve"> #151104</w:t>
            </w:r>
          </w:p>
        </w:tc>
      </w:tr>
    </w:tbl>
    <w:p w14:paraId="1A81768B" w14:textId="77777777" w:rsidR="00FA7A79" w:rsidRPr="00FA7A79" w:rsidRDefault="00FA7A79" w:rsidP="00FA7A79">
      <w:pPr>
        <w:spacing w:before="0" w:after="0" w:line="360" w:lineRule="auto"/>
        <w:jc w:val="both"/>
        <w:rPr>
          <w:rFonts w:ascii="Arial" w:eastAsia="Times New Roman" w:hAnsi="Arial" w:cs="Arial"/>
          <w:szCs w:val="24"/>
          <w:lang w:val="en-GB" w:eastAsia="en-GB"/>
        </w:rPr>
      </w:pPr>
      <w:r w:rsidRPr="00FA7A79">
        <w:rPr>
          <w:rFonts w:ascii="Calibri" w:eastAsia="Times New Roman" w:hAnsi="Calibri" w:cs="Calibri"/>
          <w:b/>
          <w:bCs/>
          <w:szCs w:val="24"/>
          <w:lang w:val="en-GB" w:eastAsia="en-GB"/>
        </w:rPr>
        <w:t>Table 1</w:t>
      </w:r>
      <w:bookmarkStart w:id="2" w:name="_Toc37027723"/>
      <w:r w:rsidRPr="00FA7A79">
        <w:rPr>
          <w:rFonts w:ascii="Calibri" w:eastAsia="Times New Roman" w:hAnsi="Calibri" w:cs="Calibri"/>
          <w:b/>
          <w:bCs/>
          <w:szCs w:val="24"/>
          <w:lang w:val="en-GB" w:eastAsia="en-GB"/>
        </w:rPr>
        <w:t xml:space="preserve">. </w:t>
      </w:r>
      <w:r w:rsidRPr="00FA7A79">
        <w:rPr>
          <w:rFonts w:ascii="Calibri" w:eastAsia="Times New Roman" w:hAnsi="Calibri" w:cs="Calibri"/>
          <w:szCs w:val="24"/>
          <w:lang w:val="en-GB" w:eastAsia="en-GB"/>
        </w:rPr>
        <w:t xml:space="preserve">Antibodies used for </w:t>
      </w:r>
      <w:bookmarkEnd w:id="2"/>
      <w:r w:rsidRPr="00FA7A79">
        <w:rPr>
          <w:rFonts w:ascii="Calibri" w:eastAsia="Times New Roman" w:hAnsi="Calibri" w:cs="Calibri"/>
          <w:szCs w:val="24"/>
          <w:lang w:val="en-GB" w:eastAsia="en-GB"/>
        </w:rPr>
        <w:t>Flow cytometry</w:t>
      </w:r>
    </w:p>
    <w:p w14:paraId="73AD6E23" w14:textId="77777777" w:rsidR="00FA7A79" w:rsidRPr="00FA7A79" w:rsidRDefault="00FA7A79" w:rsidP="00FA7A79">
      <w:pPr>
        <w:spacing w:before="0" w:after="0"/>
        <w:rPr>
          <w:rFonts w:ascii="Arial" w:eastAsia="Times New Roman" w:hAnsi="Arial" w:cs="Arial"/>
          <w:b/>
          <w:bCs/>
          <w:szCs w:val="24"/>
          <w:lang w:val="en-GB" w:eastAsia="en-GB"/>
        </w:rPr>
      </w:pPr>
    </w:p>
    <w:p w14:paraId="5F672508" w14:textId="77777777" w:rsidR="00FA7A79" w:rsidRPr="00FA7A79" w:rsidRDefault="00FA7A79" w:rsidP="00FA7A79">
      <w:pPr>
        <w:spacing w:before="0" w:after="0"/>
        <w:rPr>
          <w:rFonts w:ascii="Arial" w:eastAsia="Times New Roman" w:hAnsi="Arial" w:cs="Arial"/>
          <w:b/>
          <w:bCs/>
          <w:szCs w:val="24"/>
          <w:lang w:val="en-GB" w:eastAsia="en-GB"/>
        </w:rPr>
      </w:pPr>
      <w:r w:rsidRPr="00FA7A79">
        <w:rPr>
          <w:rFonts w:ascii="Arial" w:eastAsia="Times New Roman" w:hAnsi="Arial" w:cs="Arial"/>
          <w:b/>
          <w:bCs/>
          <w:szCs w:val="24"/>
          <w:lang w:val="en-GB" w:eastAsia="en-GB"/>
        </w:rPr>
        <w:br w:type="page"/>
      </w:r>
    </w:p>
    <w:p w14:paraId="1304888A" w14:textId="77777777" w:rsidR="00FA7A79" w:rsidRPr="00FA7A79" w:rsidRDefault="00FA7A79" w:rsidP="00FA7A79">
      <w:pPr>
        <w:spacing w:before="0" w:after="0"/>
        <w:rPr>
          <w:rFonts w:ascii="Calibri" w:eastAsia="Times New Roman" w:hAnsi="Calibri" w:cs="Calibri"/>
          <w:b/>
          <w:bCs/>
          <w:szCs w:val="24"/>
          <w:lang w:val="en-GB" w:eastAsia="en-GB"/>
        </w:rPr>
      </w:pPr>
      <w:r w:rsidRPr="00FA7A79">
        <w:rPr>
          <w:rFonts w:ascii="Calibri" w:eastAsia="Times New Roman" w:hAnsi="Calibri" w:cs="Calibri"/>
          <w:b/>
          <w:bCs/>
          <w:noProof/>
          <w:szCs w:val="24"/>
          <w:lang w:val="en-GB" w:eastAsia="en-GB"/>
        </w:rPr>
        <w:lastRenderedPageBreak/>
        <w:drawing>
          <wp:inline distT="0" distB="0" distL="0" distR="0" wp14:anchorId="7B6DB413" wp14:editId="3AA22461">
            <wp:extent cx="5731510" cy="840105"/>
            <wp:effectExtent l="0" t="0" r="0" b="0"/>
            <wp:docPr id="3" name="table" descr="Graphical user interfac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88B4C8B-B42E-4565-BC43-9E60C3532F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 descr="Graphical user interfac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88B4C8B-B42E-4565-BC43-9E60C3532F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C770" w14:textId="77777777" w:rsidR="00FA7A79" w:rsidRPr="00FA7A79" w:rsidRDefault="00FA7A79" w:rsidP="00FA7A79">
      <w:pPr>
        <w:spacing w:before="0" w:after="0"/>
        <w:jc w:val="both"/>
        <w:rPr>
          <w:rFonts w:ascii="Calibri" w:eastAsia="Times New Roman" w:hAnsi="Calibri" w:cs="Calibri"/>
          <w:b/>
          <w:bCs/>
          <w:szCs w:val="24"/>
          <w:lang w:val="en-GB" w:eastAsia="en-GB"/>
        </w:rPr>
      </w:pPr>
    </w:p>
    <w:p w14:paraId="294DDB19" w14:textId="77777777" w:rsidR="00FA7A79" w:rsidRPr="00FA7A79" w:rsidRDefault="00FA7A79" w:rsidP="00FA7A79">
      <w:pPr>
        <w:spacing w:before="0" w:after="0" w:line="480" w:lineRule="auto"/>
        <w:jc w:val="both"/>
        <w:rPr>
          <w:rFonts w:ascii="Calibri" w:eastAsia="Times New Roman" w:hAnsi="Calibri" w:cs="Calibri"/>
          <w:b/>
          <w:bCs/>
          <w:szCs w:val="24"/>
          <w:lang w:val="en-GB" w:eastAsia="en-GB"/>
        </w:rPr>
      </w:pPr>
      <w:r w:rsidRPr="00FA7A79">
        <w:rPr>
          <w:rFonts w:ascii="Calibri" w:eastAsia="Times New Roman" w:hAnsi="Calibri" w:cs="Calibri"/>
          <w:b/>
          <w:bCs/>
          <w:szCs w:val="24"/>
          <w:lang w:val="en-GB" w:eastAsia="en-GB"/>
        </w:rPr>
        <w:t xml:space="preserve">Table 2. </w:t>
      </w:r>
      <w:r w:rsidRPr="00FA7A79">
        <w:rPr>
          <w:rFonts w:ascii="Calibri" w:eastAsia="Times New Roman" w:hAnsi="Calibri" w:cs="Calibri"/>
          <w:szCs w:val="24"/>
          <w:lang w:val="en-GB" w:eastAsia="en-GB"/>
        </w:rPr>
        <w:t>Number of genes differentially expressed for the indicated pairwise comparisons during RNA-</w:t>
      </w:r>
      <w:proofErr w:type="spellStart"/>
      <w:r w:rsidRPr="00FA7A79">
        <w:rPr>
          <w:rFonts w:ascii="Calibri" w:eastAsia="Times New Roman" w:hAnsi="Calibri" w:cs="Calibri"/>
          <w:szCs w:val="24"/>
          <w:lang w:val="en-GB" w:eastAsia="en-GB"/>
        </w:rPr>
        <w:t>seq</w:t>
      </w:r>
      <w:proofErr w:type="spellEnd"/>
      <w:r w:rsidRPr="00FA7A79">
        <w:rPr>
          <w:rFonts w:ascii="Calibri" w:eastAsia="Times New Roman" w:hAnsi="Calibri" w:cs="Calibri"/>
          <w:szCs w:val="24"/>
          <w:lang w:val="en-GB" w:eastAsia="en-GB"/>
        </w:rPr>
        <w:t xml:space="preserve"> study of murine NK cells. Groups of B6 mice (n=4) were </w:t>
      </w:r>
      <w:proofErr w:type="spellStart"/>
      <w:r w:rsidRPr="00FA7A79">
        <w:rPr>
          <w:rFonts w:ascii="Calibri" w:eastAsia="Times New Roman" w:hAnsi="Calibri" w:cs="Calibri"/>
          <w:szCs w:val="24"/>
          <w:lang w:val="en-GB" w:eastAsia="en-GB"/>
        </w:rPr>
        <w:t>i.n.</w:t>
      </w:r>
      <w:proofErr w:type="spellEnd"/>
      <w:r w:rsidRPr="00FA7A79">
        <w:rPr>
          <w:rFonts w:ascii="Calibri" w:eastAsia="Times New Roman" w:hAnsi="Calibri" w:cs="Calibri"/>
          <w:szCs w:val="24"/>
          <w:lang w:val="en-GB" w:eastAsia="en-GB"/>
        </w:rPr>
        <w:t xml:space="preserve"> infected with WT VACV or vehicle control for 1.5 or 6.5 </w:t>
      </w:r>
      <w:proofErr w:type="spellStart"/>
      <w:proofErr w:type="gramStart"/>
      <w:r w:rsidRPr="00FA7A79">
        <w:rPr>
          <w:rFonts w:ascii="Calibri" w:eastAsia="Times New Roman" w:hAnsi="Calibri" w:cs="Calibri"/>
          <w:szCs w:val="24"/>
          <w:lang w:val="en-GB" w:eastAsia="en-GB"/>
        </w:rPr>
        <w:t>d.p.i</w:t>
      </w:r>
      <w:proofErr w:type="spellEnd"/>
      <w:r w:rsidRPr="00FA7A79">
        <w:rPr>
          <w:rFonts w:ascii="Calibri" w:eastAsia="Times New Roman" w:hAnsi="Calibri" w:cs="Calibri"/>
          <w:szCs w:val="24"/>
          <w:lang w:val="en-GB" w:eastAsia="en-GB"/>
        </w:rPr>
        <w:t>..</w:t>
      </w:r>
      <w:proofErr w:type="gramEnd"/>
      <w:r w:rsidRPr="00FA7A79">
        <w:rPr>
          <w:rFonts w:ascii="Calibri" w:eastAsia="Times New Roman" w:hAnsi="Calibri" w:cs="Calibri"/>
          <w:szCs w:val="24"/>
          <w:lang w:val="en-GB" w:eastAsia="en-GB"/>
        </w:rPr>
        <w:t xml:space="preserve"> Differential expression of transcripts was analysed following 4 pairwise comparisons, as indicated in the first column. The number of transcripts differentially expressed in a statistically significant manner is indicated in the second column (FDR&lt;0.01) and in the third column (FDR&lt;0.0.5). The total number of genes detected is indicated in the last column</w:t>
      </w:r>
      <w:r w:rsidRPr="00FA7A79">
        <w:rPr>
          <w:rFonts w:ascii="Calibri" w:eastAsia="Times New Roman" w:hAnsi="Calibri" w:cs="Calibri"/>
          <w:b/>
          <w:bCs/>
          <w:szCs w:val="24"/>
          <w:lang w:val="en-GB" w:eastAsia="en-GB"/>
        </w:rPr>
        <w:t>.</w:t>
      </w:r>
    </w:p>
    <w:p w14:paraId="2ADB0588" w14:textId="77777777" w:rsidR="00FA7A79" w:rsidRPr="00FA7A79" w:rsidRDefault="00FA7A79" w:rsidP="00FA7A79">
      <w:pPr>
        <w:spacing w:before="0" w:after="0"/>
        <w:rPr>
          <w:rFonts w:ascii="Arial" w:eastAsia="Times New Roman" w:hAnsi="Arial" w:cs="Arial"/>
          <w:b/>
          <w:bCs/>
          <w:szCs w:val="24"/>
          <w:lang w:val="en-GB" w:eastAsia="en-GB"/>
        </w:rPr>
      </w:pPr>
    </w:p>
    <w:p w14:paraId="2F6FF5C5" w14:textId="77777777" w:rsidR="00FA7A79" w:rsidRPr="00FA7A79" w:rsidRDefault="00FA7A79" w:rsidP="00FA7A79">
      <w:pPr>
        <w:spacing w:before="0" w:after="0"/>
        <w:rPr>
          <w:rFonts w:ascii="Arial" w:eastAsia="Times New Roman" w:hAnsi="Arial" w:cs="Arial"/>
          <w:b/>
          <w:bCs/>
          <w:szCs w:val="24"/>
          <w:lang w:val="en-GB" w:eastAsia="en-GB"/>
        </w:rPr>
      </w:pPr>
    </w:p>
    <w:p w14:paraId="7534455A" w14:textId="77777777" w:rsidR="00FA7A79" w:rsidRPr="00FA7A79" w:rsidRDefault="00FA7A79" w:rsidP="00FA7A79">
      <w:pPr>
        <w:spacing w:before="0" w:after="0"/>
        <w:rPr>
          <w:rFonts w:ascii="Arial" w:eastAsia="Times New Roman" w:hAnsi="Arial" w:cs="Arial"/>
          <w:b/>
          <w:bCs/>
          <w:szCs w:val="24"/>
          <w:lang w:val="en-GB" w:eastAsia="en-GB"/>
        </w:rPr>
      </w:pPr>
    </w:p>
    <w:p w14:paraId="71559623" w14:textId="77777777" w:rsidR="00FA7A79" w:rsidRPr="00FA7A79" w:rsidRDefault="00FA7A79" w:rsidP="00FA7A79">
      <w:pPr>
        <w:spacing w:before="0" w:after="0"/>
        <w:rPr>
          <w:rFonts w:ascii="Arial" w:eastAsia="Times New Roman" w:hAnsi="Arial" w:cs="Arial"/>
          <w:b/>
          <w:bCs/>
          <w:szCs w:val="24"/>
          <w:lang w:val="en-GB" w:eastAsia="en-GB"/>
        </w:rPr>
      </w:pPr>
    </w:p>
    <w:p w14:paraId="35892D9A" w14:textId="77777777" w:rsidR="00FA7A79" w:rsidRPr="00FA7A79" w:rsidRDefault="00FA7A79" w:rsidP="00FA7A79"/>
    <w:sectPr w:rsidR="00FA7A79" w:rsidRPr="00FA7A79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CDCB4" w14:textId="77777777" w:rsidR="003D490D" w:rsidRDefault="003D490D" w:rsidP="00117666">
      <w:pPr>
        <w:spacing w:after="0"/>
      </w:pPr>
      <w:r>
        <w:separator/>
      </w:r>
    </w:p>
  </w:endnote>
  <w:endnote w:type="continuationSeparator" w:id="0">
    <w:p w14:paraId="43A81ACC" w14:textId="77777777" w:rsidR="003D490D" w:rsidRDefault="003D490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8710D" w14:textId="77777777" w:rsidR="003D490D" w:rsidRDefault="003D490D" w:rsidP="00117666">
      <w:pPr>
        <w:spacing w:after="0"/>
      </w:pPr>
      <w:r>
        <w:separator/>
      </w:r>
    </w:p>
  </w:footnote>
  <w:footnote w:type="continuationSeparator" w:id="0">
    <w:p w14:paraId="6B197A35" w14:textId="77777777" w:rsidR="003D490D" w:rsidRDefault="003D490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0CB9"/>
    <w:rsid w:val="00105FD9"/>
    <w:rsid w:val="00117666"/>
    <w:rsid w:val="001549D3"/>
    <w:rsid w:val="00160065"/>
    <w:rsid w:val="00177D84"/>
    <w:rsid w:val="00230A21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72D4"/>
    <w:rsid w:val="00392BF7"/>
    <w:rsid w:val="003D2E44"/>
    <w:rsid w:val="003D2F2D"/>
    <w:rsid w:val="003D490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5282"/>
    <w:rsid w:val="006375C7"/>
    <w:rsid w:val="00654E8F"/>
    <w:rsid w:val="00656266"/>
    <w:rsid w:val="00660D05"/>
    <w:rsid w:val="006820B1"/>
    <w:rsid w:val="006B7D14"/>
    <w:rsid w:val="006C4827"/>
    <w:rsid w:val="006F2EF4"/>
    <w:rsid w:val="00701727"/>
    <w:rsid w:val="0070566C"/>
    <w:rsid w:val="00714C50"/>
    <w:rsid w:val="00725A7D"/>
    <w:rsid w:val="007501BE"/>
    <w:rsid w:val="00752A19"/>
    <w:rsid w:val="00790BB3"/>
    <w:rsid w:val="007B511F"/>
    <w:rsid w:val="007C038E"/>
    <w:rsid w:val="007C206C"/>
    <w:rsid w:val="00817DD6"/>
    <w:rsid w:val="0083759F"/>
    <w:rsid w:val="00850995"/>
    <w:rsid w:val="0087241E"/>
    <w:rsid w:val="00885156"/>
    <w:rsid w:val="008D0303"/>
    <w:rsid w:val="00904B74"/>
    <w:rsid w:val="009151AA"/>
    <w:rsid w:val="009222ED"/>
    <w:rsid w:val="0093429D"/>
    <w:rsid w:val="00943573"/>
    <w:rsid w:val="00964134"/>
    <w:rsid w:val="00970F7D"/>
    <w:rsid w:val="00994A3D"/>
    <w:rsid w:val="009C2B12"/>
    <w:rsid w:val="00A174D9"/>
    <w:rsid w:val="00A57770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206"/>
    <w:rsid w:val="00CD066B"/>
    <w:rsid w:val="00CE4FEE"/>
    <w:rsid w:val="00D060CF"/>
    <w:rsid w:val="00D06B3E"/>
    <w:rsid w:val="00DB59C3"/>
    <w:rsid w:val="00DC259A"/>
    <w:rsid w:val="00DE23E8"/>
    <w:rsid w:val="00E25698"/>
    <w:rsid w:val="00E52377"/>
    <w:rsid w:val="00E537AD"/>
    <w:rsid w:val="00E64E17"/>
    <w:rsid w:val="00E866C9"/>
    <w:rsid w:val="00EA3D3C"/>
    <w:rsid w:val="00EC090A"/>
    <w:rsid w:val="00ED20B5"/>
    <w:rsid w:val="00F27549"/>
    <w:rsid w:val="00F46900"/>
    <w:rsid w:val="00F61D89"/>
    <w:rsid w:val="00FA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7241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5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Brian Ferguson</cp:lastModifiedBy>
  <cp:revision>2</cp:revision>
  <cp:lastPrinted>2013-10-03T12:51:00Z</cp:lastPrinted>
  <dcterms:created xsi:type="dcterms:W3CDTF">2022-12-28T00:55:00Z</dcterms:created>
  <dcterms:modified xsi:type="dcterms:W3CDTF">2022-12-28T00:55:00Z</dcterms:modified>
</cp:coreProperties>
</file>