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supplementary materials</w:t>
      </w:r>
    </w:p>
    <w:p>
      <w:pPr>
        <w:spacing w:line="360" w:lineRule="auto"/>
        <w:jc w:val="both"/>
        <w:rPr>
          <w:rFonts w:hint="default" w:ascii="Times New Roman" w:hAnsi="Times New Roman" w:eastAsia="MyriadPro-BoldSemiCn" w:cs="Times New Roman"/>
          <w:b/>
          <w:bCs/>
          <w:color w:val="auto"/>
          <w:sz w:val="18"/>
          <w:szCs w:val="18"/>
          <w:u w:val="none"/>
          <w:lang w:bidi="ar"/>
        </w:rPr>
      </w:pPr>
      <w:r>
        <w:rPr>
          <w:rFonts w:hint="default" w:ascii="Times New Roman" w:hAnsi="Times New Roman" w:eastAsia="MyriadPro-BoldSemiCn" w:cs="Times New Roman"/>
          <w:b/>
          <w:bCs/>
          <w:color w:val="000000"/>
          <w:sz w:val="21"/>
          <w:szCs w:val="21"/>
          <w:lang w:eastAsia="zh-CN" w:bidi="ar"/>
        </w:rPr>
        <w:t xml:space="preserve">Table </w:t>
      </w:r>
      <w:r>
        <w:rPr>
          <w:rFonts w:hint="default" w:ascii="Times New Roman" w:hAnsi="Times New Roman" w:eastAsia="MyriadPro-BoldSemiCn" w:cs="Times New Roman"/>
          <w:b/>
          <w:bCs/>
          <w:color w:val="000000"/>
          <w:sz w:val="21"/>
          <w:szCs w:val="21"/>
          <w:lang w:val="en-US" w:eastAsia="zh-CN" w:bidi="ar"/>
        </w:rPr>
        <w:t>1</w:t>
      </w:r>
      <w:r>
        <w:rPr>
          <w:rFonts w:hint="default" w:ascii="Times New Roman" w:hAnsi="Times New Roman" w:eastAsia="MyriadPro-BoldSemiCn" w:cs="Times New Roman"/>
          <w:b/>
          <w:bCs/>
          <w:color w:val="000000"/>
          <w:sz w:val="21"/>
          <w:szCs w:val="21"/>
          <w:lang w:bidi="ar"/>
        </w:rPr>
        <w:t xml:space="preserve"> </w:t>
      </w:r>
      <w:r>
        <w:rPr>
          <w:rFonts w:hint="default" w:ascii="Times New Roman" w:hAnsi="Times New Roman" w:eastAsia="TvdjjxMinionProIt" w:cs="Times New Roman"/>
          <w:b/>
          <w:bCs/>
          <w:sz w:val="21"/>
          <w:szCs w:val="21"/>
          <w:lang w:bidi="ar"/>
        </w:rPr>
        <w:t xml:space="preserve">Factors associated with </w:t>
      </w:r>
      <w:r>
        <w:rPr>
          <w:rFonts w:hint="default" w:ascii="Times New Roman" w:hAnsi="Times New Roman" w:cs="Times New Roman"/>
          <w:b/>
          <w:bCs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auto"/>
          <w:u w:val="none"/>
        </w:rPr>
        <w:instrText xml:space="preserve"> HYPERLINK "https://pubmed.ncbi.nlm.nih.gov/34101624/" \t "https://pubmed.ncbi.nlm.nih.gov/_blank" </w:instrText>
      </w:r>
      <w:r>
        <w:rPr>
          <w:rFonts w:hint="default" w:ascii="Times New Roman" w:hAnsi="Times New Roman" w:cs="Times New Roman"/>
          <w:b/>
          <w:bCs/>
          <w:color w:val="auto"/>
          <w:u w:val="none"/>
        </w:rPr>
        <w:fldChar w:fldCharType="separate"/>
      </w:r>
      <w:r>
        <w:rPr>
          <w:rFonts w:hint="default" w:ascii="Times New Roman" w:hAnsi="Times New Roman" w:eastAsia="Segoe UI" w:cs="Times New Roman"/>
          <w:b/>
          <w:bCs/>
          <w:color w:val="auto"/>
          <w:sz w:val="21"/>
          <w:szCs w:val="21"/>
          <w:u w:val="none"/>
          <w:shd w:val="clear" w:color="auto" w:fill="FFFFFF"/>
        </w:rPr>
        <w:t>immunotherapy</w:t>
      </w:r>
      <w:r>
        <w:rPr>
          <w:rStyle w:val="4"/>
          <w:rFonts w:hint="default" w:ascii="Times New Roman" w:hAnsi="Times New Roman" w:eastAsia="Segoe UI" w:cs="Times New Roman"/>
          <w:b/>
          <w:bCs/>
          <w:color w:val="auto"/>
          <w:sz w:val="21"/>
          <w:szCs w:val="21"/>
          <w:u w:val="none"/>
          <w:shd w:val="clear" w:color="auto" w:fill="FFFFFF"/>
        </w:rPr>
        <w:t> response</w:t>
      </w:r>
      <w:r>
        <w:rPr>
          <w:rStyle w:val="4"/>
          <w:rFonts w:hint="default" w:ascii="Times New Roman" w:hAnsi="Times New Roman" w:eastAsia="Segoe UI" w:cs="Times New Roman"/>
          <w:b/>
          <w:bCs/>
          <w:color w:val="auto"/>
          <w:sz w:val="21"/>
          <w:szCs w:val="21"/>
          <w:u w:val="none"/>
          <w:shd w:val="clear" w:color="auto" w:fill="FFFFFF"/>
        </w:rPr>
        <w:fldChar w:fldCharType="end"/>
      </w:r>
      <w:r>
        <w:rPr>
          <w:rStyle w:val="4"/>
          <w:rFonts w:hint="default" w:ascii="Times New Roman" w:hAnsi="Times New Roman" w:eastAsia="Segoe UI" w:cs="Times New Roman"/>
          <w:b/>
          <w:bCs/>
          <w:color w:val="auto"/>
          <w:sz w:val="21"/>
          <w:szCs w:val="21"/>
          <w:u w:val="none"/>
          <w:shd w:val="clear" w:color="auto" w:fill="FFFFFF"/>
        </w:rPr>
        <w:t> in </w:t>
      </w:r>
      <w:r>
        <w:rPr>
          <w:rStyle w:val="4"/>
          <w:rFonts w:hint="default" w:ascii="Times New Roman" w:hAnsi="Times New Roman" w:eastAsia="宋体" w:cs="Times New Roman"/>
          <w:b/>
          <w:bCs/>
          <w:color w:val="auto"/>
          <w:sz w:val="21"/>
          <w:szCs w:val="21"/>
          <w:u w:val="none"/>
          <w:shd w:val="clear" w:color="auto" w:fill="FFFFFF"/>
        </w:rPr>
        <w:t>patients with MSIH mCRC</w:t>
      </w:r>
    </w:p>
    <w:tbl>
      <w:tblPr>
        <w:tblStyle w:val="2"/>
        <w:tblW w:w="6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297"/>
        <w:gridCol w:w="760"/>
        <w:gridCol w:w="761"/>
        <w:gridCol w:w="760"/>
        <w:gridCol w:w="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Variables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Category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Response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Total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no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yes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sex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female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19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27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male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37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48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age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&lt;60 years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59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&gt;60 years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16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site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left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39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right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 w:bidi="ar"/>
              </w:rPr>
              <w:t>lynch syndrome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27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 xml:space="preserve">Liver </w:t>
            </w:r>
            <w:r>
              <w:rPr>
                <w:rFonts w:hint="default" w:ascii="Times New Roman" w:hAnsi="Times New Roman" w:eastAsia="JansonText LT" w:cs="Times New Roman"/>
                <w:color w:val="231F20"/>
                <w:sz w:val="18"/>
                <w:szCs w:val="18"/>
                <w:lang w:eastAsia="zh-CN" w:bidi="ar"/>
              </w:rPr>
              <w:t>metastasis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 xml:space="preserve">Lung </w:t>
            </w:r>
            <w:r>
              <w:rPr>
                <w:rFonts w:hint="default" w:ascii="Times New Roman" w:hAnsi="Times New Roman" w:eastAsia="JansonText LT" w:cs="Times New Roman"/>
                <w:color w:val="231F20"/>
                <w:sz w:val="18"/>
                <w:szCs w:val="18"/>
                <w:lang w:eastAsia="zh-CN" w:bidi="ar"/>
              </w:rPr>
              <w:t>metastasis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66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9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Immunotherapy type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anti-PD1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70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anti-PD1 +anti-CALT4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chemotherapy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16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Anti-angiogenesis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63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12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line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≥2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CRP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low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high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45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62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CHO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low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high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15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HDLC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low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38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0.014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high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14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37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ALT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low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15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high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58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AST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low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10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0.046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high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9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22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PNI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low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35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52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 w:bidi="ar"/>
              </w:rPr>
              <w:t>0.028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high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LCR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low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11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42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high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25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SII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low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17</w:t>
            </w:r>
          </w:p>
        </w:tc>
        <w:tc>
          <w:tcPr>
            <w:tcW w:w="761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69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0.639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high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dvOT1ef757c0" w:cs="Times New Roman"/>
          <w:b/>
          <w:bCs/>
          <w:sz w:val="24"/>
          <w:szCs w:val="24"/>
          <w:lang w:bidi="ar"/>
        </w:rPr>
        <w:t xml:space="preserve">Table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272872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color w:val="231F20"/>
          <w:kern w:val="0"/>
          <w:sz w:val="24"/>
          <w:szCs w:val="24"/>
          <w:lang w:val="en-US" w:eastAsia="zh-CN" w:bidi="ar"/>
        </w:rPr>
        <w:t>o variable had any obvious influence on the association between SII and OS</w:t>
      </w:r>
    </w:p>
    <w:p>
      <w:pPr>
        <w:jc w:val="both"/>
        <w:rPr>
          <w:rFonts w:hint="default" w:eastAsia="宋体" w:cs="Times New Roman"/>
          <w:b/>
          <w:bCs/>
          <w:lang w:val="en-US" w:eastAsia="zh-CN" w:bidi="ar"/>
        </w:rPr>
      </w:pPr>
    </w:p>
    <w:tbl>
      <w:tblPr>
        <w:tblW w:w="4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Variables</w:t>
            </w:r>
          </w:p>
        </w:tc>
        <w:tc>
          <w:tcPr>
            <w:tcW w:w="20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 value for interaction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lynch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Liver </w:t>
            </w: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Lung </w:t>
            </w: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Immunotherapy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chemotherapy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Anti-angiogenesis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</w:tr>
      <w:bookmarkEnd w:id="0"/>
    </w:tbl>
    <w:p>
      <w:pPr>
        <w:jc w:val="both"/>
        <w:rPr>
          <w:rFonts w:hint="eastAsia" w:eastAsia="宋体" w:cs="Times New Roman"/>
          <w:b/>
          <w:bCs/>
          <w:lang w:eastAsia="zh-CN" w:bidi="ar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 w:bidi="ar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dvOT1ef757c0" w:cs="Times New Roman"/>
          <w:b/>
          <w:bCs/>
          <w:sz w:val="24"/>
          <w:szCs w:val="24"/>
          <w:lang w:bidi="ar"/>
        </w:rPr>
        <w:t xml:space="preserve">Table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 xml:space="preserve">3 </w:t>
      </w:r>
      <w:r>
        <w:rPr>
          <w:rFonts w:hint="default" w:ascii="Times New Roman" w:hAnsi="Times New Roman" w:eastAsia="宋体" w:cs="Times New Roman"/>
          <w:color w:val="231F20"/>
          <w:kern w:val="0"/>
          <w:sz w:val="24"/>
          <w:szCs w:val="24"/>
          <w:lang w:val="en-US" w:eastAsia="zh-CN" w:bidi="ar"/>
        </w:rPr>
        <w:t>higher PNI was signifificantly associated with shorter PFS for sex, Immunotherapy type and LCR</w:t>
      </w:r>
    </w:p>
    <w:tbl>
      <w:tblPr>
        <w:tblW w:w="3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Variables</w:t>
            </w:r>
          </w:p>
        </w:tc>
        <w:tc>
          <w:tcPr>
            <w:tcW w:w="18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31413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13141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 value for interaction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13141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lynch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Liver </w:t>
            </w:r>
            <w:r>
              <w:rPr>
                <w:rStyle w:val="6"/>
                <w:rFonts w:eastAsia="等线"/>
                <w:bdr w:val="none" w:color="auto" w:sz="0" w:space="0"/>
                <w:lang w:val="en-US" w:eastAsia="zh-CN" w:bidi="ar"/>
              </w:rPr>
              <w:t>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Lung </w:t>
            </w:r>
            <w:r>
              <w:rPr>
                <w:rStyle w:val="6"/>
                <w:rFonts w:eastAsia="等线"/>
                <w:bdr w:val="none" w:color="auto" w:sz="0" w:space="0"/>
                <w:lang w:val="en-US" w:eastAsia="zh-CN" w:bidi="ar"/>
              </w:rPr>
              <w:t>metastasis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chemotherapy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Immunotherapy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Anti-angiogenesis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HDLC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SII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0.593</w:t>
            </w:r>
          </w:p>
        </w:tc>
      </w:tr>
    </w:tbl>
    <w:p>
      <w:pPr>
        <w:jc w:val="both"/>
        <w:rPr>
          <w:rFonts w:hint="eastAsia" w:eastAsia="宋体" w:cs="Times New Roman"/>
          <w:b/>
          <w:bCs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eastAsia="zh-CN" w:bidi="ar"/>
        </w:rPr>
      </w:pPr>
    </w:p>
    <w:p>
      <w:pPr>
        <w:jc w:val="center"/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eastAsia="zh-CN" w:bidi="ar"/>
        </w:rPr>
      </w:pPr>
    </w:p>
    <w:p>
      <w:pPr>
        <w:jc w:val="center"/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eastAsia="zh-CN" w:bidi="ar"/>
        </w:rPr>
      </w:pPr>
    </w:p>
    <w:p>
      <w:pPr>
        <w:jc w:val="center"/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eastAsia="zh-CN" w:bidi="ar"/>
        </w:rPr>
      </w:pPr>
    </w:p>
    <w:p>
      <w:pPr>
        <w:jc w:val="center"/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eastAsia="zh-CN" w:bidi="ar"/>
        </w:rPr>
      </w:pPr>
    </w:p>
    <w:p>
      <w:pPr>
        <w:jc w:val="center"/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eastAsia="zh-CN" w:bidi="ar"/>
        </w:rPr>
      </w:pPr>
    </w:p>
    <w:p>
      <w:pPr>
        <w:jc w:val="center"/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bidi="ar"/>
        </w:rPr>
      </w:pPr>
      <w:r>
        <w:rPr>
          <w:rFonts w:hint="default" w:ascii="Times New Roman" w:hAnsi="Times New Roman" w:eastAsia="JansonTextLT-Roman" w:cs="Times New Roman"/>
          <w:b/>
          <w:bCs/>
          <w:sz w:val="21"/>
          <w:szCs w:val="21"/>
          <w:lang w:eastAsia="zh-CN" w:bidi="ar"/>
        </w:rPr>
        <w:t xml:space="preserve">Table </w:t>
      </w:r>
      <w:r>
        <w:rPr>
          <w:rFonts w:hint="eastAsia" w:ascii="Times New Roman" w:hAnsi="Times New Roman" w:eastAsia="JansonTextLT-Roman" w:cs="Times New Roman"/>
          <w:b/>
          <w:bCs/>
          <w:sz w:val="21"/>
          <w:szCs w:val="21"/>
          <w:lang w:val="en-US" w:eastAsia="zh-CN" w:bidi="ar"/>
        </w:rPr>
        <w:t xml:space="preserve">4 </w:t>
      </w:r>
      <w:r>
        <w:rPr>
          <w:rFonts w:hint="default" w:ascii="Times New Roman" w:hAnsi="Times New Roman" w:eastAsia="JansonTextLT-Roman" w:cs="Times New Roman"/>
          <w:b/>
          <w:bCs/>
          <w:color w:val="231F20"/>
          <w:sz w:val="21"/>
          <w:szCs w:val="21"/>
          <w:lang w:eastAsia="zh-CN" w:bidi="ar"/>
        </w:rPr>
        <w:t>Distribution of immune-related adverse events</w:t>
      </w:r>
    </w:p>
    <w:tbl>
      <w:tblPr>
        <w:tblStyle w:val="2"/>
        <w:tblW w:w="83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994"/>
        <w:gridCol w:w="1513"/>
        <w:gridCol w:w="1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Variables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Category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number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 w:bidi="ar"/>
              </w:rPr>
              <w:t>Percentage(%)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4" w:type="dxa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irAEs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41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4" w:type="dxa"/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34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4" w:type="dxa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oral mucositis or rash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4" w:type="dxa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diarrhea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9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4" w:type="dxa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Alanine aminotransferase or bilirubin increase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4" w:type="dxa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pneumonia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4" w:type="dxa"/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Immune-associated thyroiditis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immune-related encephalitis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 w:bidi="ar"/>
              </w:rPr>
              <w:t>1.3</w:t>
            </w:r>
          </w:p>
        </w:tc>
      </w:tr>
    </w:tbl>
    <w:p>
      <w:pPr>
        <w:ind w:firstLine="750" w:firstLineChars="500"/>
        <w:rPr>
          <w:rFonts w:hint="default" w:ascii="Times New Roman" w:hAnsi="Times New Roman" w:eastAsia="JansonTextLT-Roman" w:cs="Times New Roman"/>
          <w:color w:val="FF0000"/>
          <w:sz w:val="15"/>
          <w:szCs w:val="15"/>
          <w:lang w:bidi="ar"/>
        </w:rPr>
      </w:pPr>
      <w:r>
        <w:rPr>
          <w:rFonts w:hint="default" w:ascii="Times New Roman" w:hAnsi="Times New Roman" w:eastAsia="HelveticaNeueLTPro-Roman" w:cs="Times New Roman"/>
          <w:color w:val="231F20"/>
          <w:sz w:val="15"/>
          <w:szCs w:val="15"/>
          <w:lang w:eastAsia="zh-CN" w:bidi="ar"/>
        </w:rPr>
        <w:t>irAEs, immune-related adverse events</w:t>
      </w:r>
    </w:p>
    <w:p>
      <w:pPr>
        <w:tabs>
          <w:tab w:val="left" w:pos="1189"/>
        </w:tabs>
        <w:rPr>
          <w:rFonts w:eastAsia="NvnhrsMinionScUnic" w:cs="Times New Roman"/>
          <w:b/>
          <w:bCs/>
          <w:color w:val="131413"/>
          <w:szCs w:val="24"/>
          <w:lang w:eastAsia="zh-CN" w:bidi="ar"/>
        </w:rPr>
      </w:pPr>
    </w:p>
    <w:p>
      <w:pPr>
        <w:tabs>
          <w:tab w:val="left" w:pos="1189"/>
        </w:tabs>
        <w:rPr>
          <w:rFonts w:eastAsia="NvnhrsMinionScUnic" w:cs="Times New Roman"/>
          <w:b/>
          <w:bCs/>
          <w:color w:val="131413"/>
          <w:szCs w:val="24"/>
          <w:lang w:eastAsia="zh-CN" w:bidi="ar"/>
        </w:rPr>
      </w:pPr>
    </w:p>
    <w:p>
      <w:pPr>
        <w:rPr>
          <w:rFonts w:ascii="Times New Roman" w:hAnsi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Pro-BoldSemi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vdjjxMinionPro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JansonText 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ansonTextLT-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LTPro-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vnhrsMinionScUn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OT1ef757c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NmUyN2M1NDExYWQ2NTIwYWUyZTMzYWRkNjUxZDMifQ=="/>
  </w:docVars>
  <w:rsids>
    <w:rsidRoot w:val="00491DA7"/>
    <w:rsid w:val="00265760"/>
    <w:rsid w:val="003172F2"/>
    <w:rsid w:val="00491DA7"/>
    <w:rsid w:val="009F3257"/>
    <w:rsid w:val="032355EC"/>
    <w:rsid w:val="5D4452A6"/>
    <w:rsid w:val="7966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231F20"/>
      <w:sz w:val="18"/>
      <w:szCs w:val="18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231F2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2023-03-06T06:32:00Z</dcterms:created>
  <dc:creator>13835195063@163.com</dc:creator>
  <cp:lastModifiedBy>小伊森向前走啊</cp:lastModifiedBy>
  <dcterms:modified xsi:type="dcterms:W3CDTF">2023-03-07T14:34:27Z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54372D005F6B4C28A41C05F98B4575B8</vt:lpwstr>
  </property>
</Properties>
</file>