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3"/>
        <w:gridCol w:w="1796"/>
        <w:gridCol w:w="4389"/>
        <w:gridCol w:w="1315"/>
        <w:gridCol w:w="1711"/>
        <w:gridCol w:w="1968"/>
        <w:gridCol w:w="116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sz w:val="26"/>
                <w:szCs w:val="26"/>
              </w:rPr>
            </w:pPr>
            <w:bookmarkStart w:id="0" w:name="OLE_LINK1"/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Acupuncture</w:t>
            </w:r>
            <w:bookmarkEnd w:id="0"/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compared to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sham acupuncture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for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c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arpal tunnel syndrome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Patient or population: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P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atients with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c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arpal tunnel syndrome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Settings: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Intervention: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Acupuncture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 xml:space="preserve">Comparison: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ham acupuncture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(studies)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(GRADE)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ham acupuncture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A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cupuncture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Functional status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FSS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The mean functional status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8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(24.44 lower to 8.44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bookmarkStart w:id="1" w:name="OLE_LINK6"/>
            <w:r>
              <w:rPr>
                <w:rFonts w:hint="default" w:ascii="Arial" w:hAnsi="Arial" w:cs="Arial"/>
                <w:sz w:val="16"/>
                <w:szCs w:val="16"/>
              </w:rPr>
              <w:t>43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  <w:bookmarkEnd w:id="1"/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⊕⊕⊝⊝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Symptom severity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-S</w:t>
            </w:r>
            <w:r>
              <w:rPr>
                <w:rFonts w:hint="default" w:ascii="Arial" w:hAnsi="Arial" w:cs="Arial"/>
                <w:sz w:val="16"/>
                <w:szCs w:val="16"/>
              </w:rPr>
              <w:t>SS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The mean symptom severity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4.30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 xml:space="preserve">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  <w:r>
              <w:rPr>
                <w:rFonts w:hint="default" w:ascii="Arial" w:hAnsi="Arial" w:cs="Arial"/>
                <w:sz w:val="16"/>
                <w:szCs w:val="16"/>
              </w:rPr>
              <w:t>7.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90 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lower to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9</w:t>
            </w:r>
            <w:r>
              <w:rPr>
                <w:rFonts w:hint="default" w:ascii="Arial" w:hAnsi="Arial" w:cs="Arial"/>
                <w:sz w:val="16"/>
                <w:szCs w:val="16"/>
              </w:rPr>
              <w:t>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30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43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*The basis for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assumed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(e.g. the median control group risk across studies) is provided in footnotes.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corresponding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(and its 95% confidence interval) is based on the assumed risk in the comparison group and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relative effect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of the intervention (and its 95% CI).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CI: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Confidence interval;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-S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the Boston Carpal Tunnel Questionnaire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s symptom severity scale;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FSS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CTQ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s functional status scale.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GRADE Working Group grades of evidence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High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unlikely to change our confidence in the estimate of effect.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Moderate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Very 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We are very uncertain about the estimate.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9"/>
        <w:gridCol w:w="1276"/>
        <w:gridCol w:w="4601"/>
        <w:gridCol w:w="1368"/>
        <w:gridCol w:w="1775"/>
        <w:gridCol w:w="2055"/>
        <w:gridCol w:w="120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sz w:val="26"/>
                <w:szCs w:val="26"/>
              </w:rPr>
            </w:pP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Acupuncture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compared to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night splints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for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c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arpal tunnel syndrome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Patient or population: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P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atients with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c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arpal tunnel syndrome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Settings: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Intervention: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Acupuncture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Comparison:</w:t>
            </w: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b w:val="0"/>
                <w:bCs w:val="0"/>
                <w:kern w:val="0"/>
                <w:sz w:val="16"/>
                <w:szCs w:val="16"/>
                <w:lang w:val="en-US" w:eastAsia="zh-CN" w:bidi="ar"/>
              </w:rPr>
              <w:t>N</w:t>
            </w: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6"/>
                <w:szCs w:val="16"/>
                <w:lang w:val="en-US" w:eastAsia="zh-CN" w:bidi="ar"/>
              </w:rPr>
              <w:t>ight splints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(studies)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(GRADE)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Night splints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Acupuncture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Symptom severity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SSS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The mean symptom severity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0.09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(0.32 lower to 0.14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60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⊕⊕⊝⊝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Functional status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CTQ-FSS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The mean functional status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0.04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(0.26 lower to 0.18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60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VAS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VAS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9.63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(19.27 lower to 0.01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60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*The basis for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assumed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(e.g. the median control group risk across studies) is provided in footnotes.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corresponding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(and its 95% confidence interval) is based on the assumed risk in the comparison group and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relative effect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of the intervention (and its 95% CI).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CI: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Confidence interval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-S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the Boston Carpal Tunnel Questionnaire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s symptom severity scale;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FSS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CTQ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s functional status scale;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VAS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the visual analog scale.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GRADE Working Group grades of evidence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High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unlikely to change our confidence in the estimate of effect.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Moderate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Very 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We are very uncertain about the estimate.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6"/>
        <w:gridCol w:w="1283"/>
        <w:gridCol w:w="4559"/>
        <w:gridCol w:w="1370"/>
        <w:gridCol w:w="1783"/>
        <w:gridCol w:w="2048"/>
        <w:gridCol w:w="12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sz w:val="26"/>
                <w:szCs w:val="26"/>
              </w:rPr>
            </w:pP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Acupuncture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compared to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m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edicine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for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c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arpal tunnel syndrome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Patient or population: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P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atients with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c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arpal tunnel syndrome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Settings: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Intervention: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Acupuncture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 xml:space="preserve">Comparison: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Medicine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(studies)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(GRADE)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Acupuncture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Symptom severity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GSS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The mean symptom severity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0.6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(2.12 lower to 0.92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77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⊕⊕⊝⊝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CAMP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CAMP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1.02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02</w:t>
            </w:r>
            <w:bookmarkStart w:id="2" w:name="OLE_LINK2"/>
            <w:r>
              <w:rPr>
                <w:rFonts w:hint="default" w:ascii="Arial" w:hAnsi="Arial" w:cs="Arial"/>
                <w:sz w:val="16"/>
                <w:szCs w:val="16"/>
              </w:rPr>
              <w:t xml:space="preserve"> lowe</w:t>
            </w:r>
            <w:bookmarkEnd w:id="2"/>
            <w:r>
              <w:rPr>
                <w:rFonts w:hint="default" w:ascii="Arial" w:hAnsi="Arial" w:cs="Arial"/>
                <w:sz w:val="16"/>
                <w:szCs w:val="16"/>
              </w:rPr>
              <w:t>r to 0.03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</w:rPr>
              <w:t>lowe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r</w:t>
            </w:r>
            <w:r>
              <w:rPr>
                <w:rFonts w:hint="default"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179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(3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DML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DML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0.31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(0.96 lower to 0.34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179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(3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DSL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DSL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0.05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(0.78 lower to 0.69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129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MNCV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MNCV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3.57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13.79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lower to 6.65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129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SNCV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SNCV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 xml:space="preserve">1.12 </w:t>
            </w:r>
            <w:bookmarkStart w:id="3" w:name="OLE_LINK4"/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lower</w:t>
            </w:r>
            <w:bookmarkEnd w:id="3"/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(6.39 lower to 4.14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179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(3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SNAP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SNAP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3.14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(6.84 lower to 0.56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129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Responder rate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Study population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 xml:space="preserve">RR 1.1 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(0.86 to 1.4)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50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800 per 1000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880 per 1000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(688 to 1000)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Moderate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800 per 1000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880 per 1000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(688 to 1000)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*The basis for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assumed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(e.g. the median control group risk across studies) is provided in footnotes.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corresponding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(and its 95% confidence interval) is based on the assumed risk in the comparison group and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relative effect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of the intervention (and its 95% CI).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CI: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Confidence interval;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RR: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Risk ratio; 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GSS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: the global symptoms score;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CAMP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: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 xml:space="preserve"> compound muscle action potential;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DML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 xml:space="preserve">: distal motor latency;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DSL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 xml:space="preserve">: distal sensory latency;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MNCV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 xml:space="preserve">: motor nerve conduction velocity;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SNCV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 xml:space="preserve">: sensory nerve conduction velocity;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SNAP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>: sensory nerve action potential.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GRADE Working Group grades of evidence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High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unlikely to change our confidence in the estimate of effect.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Moderate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Very 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We are very uncertain about the estimate.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9"/>
        <w:gridCol w:w="2543"/>
        <w:gridCol w:w="4079"/>
        <w:gridCol w:w="1241"/>
        <w:gridCol w:w="1617"/>
        <w:gridCol w:w="1852"/>
        <w:gridCol w:w="11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sz w:val="26"/>
                <w:szCs w:val="26"/>
              </w:rPr>
            </w:pP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Acupuncture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plus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n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ight splints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compared to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sham a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cupuncture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plus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n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ight splints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for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c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arpal tunnel syndrome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Patient or population: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P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atients with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c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arpal tunnel syndrome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Settings: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Intervention: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Acupuncture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plus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night splints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 xml:space="preserve">Comparison: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Sham acupuncture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plus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night splints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(studies)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(GRADE)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Assumed risk</w:t>
            </w:r>
          </w:p>
        </w:tc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Sham a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cupuncture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n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ight splints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Acupuncture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plus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n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ight splints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Symptom severity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SSS</w:t>
            </w:r>
          </w:p>
        </w:tc>
        <w:tc>
          <w:tcPr>
            <w:tcW w:w="907" w:type="pct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45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The mean symptom severity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0.2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0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 xml:space="preserve">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75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lower to 0.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35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41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⊕⊕⊝⊝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Functional status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FSS</w:t>
            </w:r>
          </w:p>
        </w:tc>
        <w:tc>
          <w:tcPr>
            <w:tcW w:w="907" w:type="pct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5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functional status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00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 xml:space="preserve">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64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lower to 0.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64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41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⊕⊕⊝⊝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*The basis for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assumed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(e.g. the median control group risk across studies) is provided in footnotes.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corresponding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(and its 95% confidence interval) is based on the assumed risk in the comparison group and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relative effect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of the intervention (and its 95% CI).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CI: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Confidence interval;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-S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the Boston Carpal Tunnel Questionnaire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s symptom severity scale;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FSS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CTQ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s functional status scale.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GRADE Working Group grades of evidence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High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unlikely to change our confidence in the estimate of effect.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Moderate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Very 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We are very uncertain about the estimate.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2087"/>
        <w:gridCol w:w="4319"/>
        <w:gridCol w:w="1255"/>
        <w:gridCol w:w="1638"/>
        <w:gridCol w:w="1861"/>
        <w:gridCol w:w="113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sz w:val="26"/>
                <w:szCs w:val="26"/>
              </w:rPr>
            </w:pP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Acupuncture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 xml:space="preserve"> plus n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ight splints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compared to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m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edicine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 xml:space="preserve"> plus n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ight splints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for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c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arpal tunnel syndrome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Patient or population: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P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atients with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c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arpal tunnel syndrome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Settings: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Intervention: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Acupuncture plus night splints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 xml:space="preserve">Comparison: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Medicine plus night splints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(studies)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(GRADE)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Medicine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+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Night splints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Acupuncture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+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Night splints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Symptom severity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CTQ-SSS/GSS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The mean symptom severity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1.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15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standard deviations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1.58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to 0.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72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lower)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99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Functional status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FSS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The mean functional status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1.84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(2.66 to 1.02 lower)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50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⊕⊕⊝⊝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MNCV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MNCV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1.76 higher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(0.68 to 2.84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50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⊕⊕⊝⊝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DML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DML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0.2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(0.43 lower to 0.03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50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⊕⊕⊝⊝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DSL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DSL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0.26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(0.37 to 0.15 lower)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50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⊕⊕⊝⊝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VAS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VAS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0.84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(1.25 to 0.43 lower)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50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⊕⊕⊝⊝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low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>2,3,4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*The basis for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assumed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(e.g. the median control group risk across studies) is provided in footnotes.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corresponding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(and its 95% confidence interval) is based on the assumed risk in the comparison group and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relative effect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of the intervention (and its 95% CI).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CI: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Confidence interval;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-S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the Boston Carpal Tunnel Questionnaire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s symptom severity scale;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FSS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CTQ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s functional status scale;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MNCV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: motor nerve conduction velocity;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DML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>: distal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>motor latency;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DSL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 xml:space="preserve">: distal sensory latency;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VAS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>: the visual analog scale.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GRADE Working Group grades of evidence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High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unlikely to change our confidence in the estimate of effect.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Moderate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Very 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We are very uncertain about the estimate.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8"/>
        <w:gridCol w:w="1269"/>
        <w:gridCol w:w="4573"/>
        <w:gridCol w:w="1361"/>
        <w:gridCol w:w="1766"/>
        <w:gridCol w:w="2044"/>
        <w:gridCol w:w="119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sz w:val="26"/>
                <w:szCs w:val="26"/>
              </w:rPr>
            </w:pP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Acupuncture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 xml:space="preserve"> plus n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ight splints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compared to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n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ight splints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for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c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arpal tunnel syndrome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Patient or population: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P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atients with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c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arpal tunnel syndrome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Settings: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Intervention: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Acupuncture plus night splints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 xml:space="preserve">Comparison: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Night splints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(studies)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(GRADE)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Night splints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Acupuncture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plus n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ight splints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 xml:space="preserve">Symptom severity 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SSS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The mean symptom severity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0.13</w:t>
            </w:r>
            <w:bookmarkStart w:id="4" w:name="OLE_LINK3"/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 xml:space="preserve"> standard deviations</w:t>
            </w:r>
            <w:bookmarkEnd w:id="4"/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 xml:space="preserve">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(0.59 lower to 0.32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225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Functional status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FSS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The mean functional status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0.2 standard deviations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(0.87 lower to 0.46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225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Functional status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DASH (change)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The mean functional status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0.40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 xml:space="preserve"> standard deviations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0.68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to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0.13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lower)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208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VAS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VAS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1.65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3.05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to 0.26 lower)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252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(3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⊕⊕⊝⊝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CMAP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CMAP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1.31 higher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(1.04 lower to 3.66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71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MNCV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MNCV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1.81 higher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(0.55 lower to 4.18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71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DML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DML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0.05 higher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(0.33 lower to 0.43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71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SNAP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SNAP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3.2 higher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(0.73 lower to 7.13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27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SNCV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SNCV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0.24 higher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(2.2 lower to 2.67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71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*The basis for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assumed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(e.g. the median control group risk across studies) is provided in footnotes.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corresponding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(and its 95% confidence interval) is based on the assumed risk in the comparison group and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relative effect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of the intervention (and its 95% CI).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CI: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Confidence interval;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-S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the Boston Carpal Tunnel Questionnaire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s symptom severity scale;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FSS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CTQ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s functional status scale;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DASH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the disabilities of the arm, shoulder, and hand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questionnaire;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VAS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 xml:space="preserve">: the visual analog scale;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CAMP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 xml:space="preserve">: compound muscle action potential;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MNCV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: motor nerve conduction velocity;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DML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>: distal motor latency;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SMAP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 xml:space="preserve">: sensory nerve action potential;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SNCV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 xml:space="preserve">: sensory nerve conduction velocity;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DSL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>: distal sensory latency.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GRADE Working Group grades of evidence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High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unlikely to change our confidence in the estimate of effect.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Moderate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Very 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We are very uncertain about the estimate.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2"/>
        <w:gridCol w:w="1305"/>
        <w:gridCol w:w="4345"/>
        <w:gridCol w:w="1370"/>
        <w:gridCol w:w="1804"/>
        <w:gridCol w:w="1997"/>
        <w:gridCol w:w="127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sz w:val="26"/>
                <w:szCs w:val="26"/>
              </w:rPr>
            </w:pP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Acupuncture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 xml:space="preserve"> plus m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edicine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compared to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m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edicine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for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c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arpal tunnel syndrome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Patient or population: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P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atients with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c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arpal tunnel syndrome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Settings: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Intervention: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Acupuncture plus medicine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 xml:space="preserve">Comparison: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Medicine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(studies)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(GRADE)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Acupuncture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plus m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Symptom severity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SSS/GSS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The mean symptom severity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1.17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standard deviations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2.31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to 0.03 lower)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226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(3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Functional status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FSS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The mean functional status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2.17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(6.45 lower to 2.1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166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(2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VAS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VAS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1.08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1.82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to 0.3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3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lower)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60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SNAP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SNAP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2.53 higher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63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to 3.44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226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(3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⊕⊕⊝⊝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CMAP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CMAP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2.30 higher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84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to 3.77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226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(3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DML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DML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0.47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(0.6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to 0.28 lower)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226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(3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SNCV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SNCV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4.02 higher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2.44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to 5.59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226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(3 studies)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Responder rate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Study population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 xml:space="preserve">RR 1.2 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(1.03 to 1.39)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86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814 per 1000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977 per 1000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(838 to 1000)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Moderate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807 per 1000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968 per 1000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(831 to 1000)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*The basis for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assumed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(e.g. the median control group risk across studies) is provided in footnotes.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corresponding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(and its 95% confidence interval) is based on the assumed risk in the comparison group and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relative effect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of the intervention (and its 95% CI).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CI: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Confidence interval;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RR: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Risk ratio;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-S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the Boston Carpal Tunnel Questionnaire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s symptom severity scale;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FSS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CTQ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s functional status scale;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GSS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: the global symptoms score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VAS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 xml:space="preserve">: the visual analog scale;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CAMP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 xml:space="preserve">: compound muscle action potential;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SMAP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>: sensory nerve action potential;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DML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>: distal motor latency;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SNCV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>: sensory nerve conduction velocity.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GRADE Working Group grades of evidence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High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unlikely to change our confidence in the estimate of effect.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Moderate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Very 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We are very uncertain about the estimate.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1"/>
        <w:gridCol w:w="2178"/>
        <w:gridCol w:w="4248"/>
        <w:gridCol w:w="1275"/>
        <w:gridCol w:w="1658"/>
        <w:gridCol w:w="1906"/>
        <w:gridCol w:w="113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sz w:val="26"/>
                <w:szCs w:val="26"/>
              </w:rPr>
            </w:pP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Acupuncture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 xml:space="preserve"> plus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m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edicine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 xml:space="preserve"> and n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ight splints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compared to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m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edicine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 xml:space="preserve"> plus n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ight splints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for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c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arpal tunnel syndrome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Patient or population: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P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atients with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c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arpal tunnel syndrome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Settings: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Intervention: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Acupuncture plus medicine plus night splints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 xml:space="preserve">Comparison: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Medicine plus night splints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(studies)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(GRADE)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Medicine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plus n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ight splints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Acupuncture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plus m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edicine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and n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ight splints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Symptom severity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SSS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The mean symptom severity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5.67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7.82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to 3.52 lower)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50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Functional status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FSS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The mean functional status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0.70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41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lower to 0.01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50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VAS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VAS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0.64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(1.08 to 0.2 lower)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50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DML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DML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0.22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(0.48 lower to 0.04 higher)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50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DSL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The mean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DSL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0.53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 xml:space="preserve">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(0.75 to 0.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3</w:t>
            </w:r>
            <w:r>
              <w:rPr>
                <w:rFonts w:hint="default" w:ascii="Arial" w:hAnsi="Arial" w:cs="Arial"/>
                <w:sz w:val="16"/>
                <w:szCs w:val="16"/>
              </w:rPr>
              <w:t>1 lower)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50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*The basis for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assumed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(e.g. the median control group risk across studies) is provided in footnotes.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corresponding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(and its 95% confidence interval) is based on the assumed risk in the comparison group and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relative effect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of the intervention (and its 95% CI).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CI: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Confidence interval;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-S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the Boston Carpal Tunnel Questionnaire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s symptom severity scale;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FSS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CTQ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s functional status scale;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VAS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>: the visual analog scale;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DML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>: distal motor latency;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DSL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  <w:lang w:val="en-US" w:eastAsia="zh-CN"/>
              </w:rPr>
              <w:t>: distal sensory latency.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GRADE Working Group grades of evidence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High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unlikely to change our confidence in the estimate of effect.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Moderate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Very 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We are very uncertain about the estimate.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1"/>
        <w:gridCol w:w="2027"/>
        <w:gridCol w:w="4299"/>
        <w:gridCol w:w="1290"/>
        <w:gridCol w:w="1677"/>
        <w:gridCol w:w="1929"/>
        <w:gridCol w:w="114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sz w:val="26"/>
                <w:szCs w:val="26"/>
              </w:rPr>
            </w:pP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Acupuncture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 xml:space="preserve"> plus u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ltrashort wave therapy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compared to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u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eastAsia="zh-CN"/>
              </w:rPr>
              <w:t>ltrashort wave therapy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 for </w:t>
            </w:r>
            <w:r>
              <w:rPr>
                <w:rFonts w:hint="eastAsia" w:ascii="Arial" w:hAnsi="Arial" w:cs="Arial"/>
                <w:b/>
                <w:bCs/>
                <w:sz w:val="26"/>
                <w:szCs w:val="26"/>
                <w:lang w:val="en-US" w:eastAsia="zh-CN"/>
              </w:rPr>
              <w:t>c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arpal tunnel syndrome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60" w:afterAutospacing="0"/>
              <w:jc w:val="left"/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Patient or population: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P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atients with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c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arpal tunnel syndrome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Settings: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Intervention: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Acupuncture plus ultrashort wave therapy</w:t>
            </w:r>
          </w:p>
          <w:p>
            <w:pPr>
              <w:keepNext w:val="0"/>
              <w:keepLines w:val="0"/>
              <w:widowControl/>
              <w:suppressLineNumbers w:val="0"/>
              <w:spacing w:after="160" w:afterAutospacing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Comparison: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Ultrashort wave therapy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(studies)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(GRADE)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4682B4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Ultrashort wave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Acupuncture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plus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ltrashort wave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682B4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Symptom severity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sz w:val="16"/>
                <w:szCs w:val="16"/>
              </w:rPr>
              <w:t>SSS</w:t>
            </w: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The mean symptom severity in the intervention groups was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0.86 lower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27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to 0.45 lower)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48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eastAsia="zh-CN"/>
              </w:rPr>
              <w:t>Responder rate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Study population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 xml:space="preserve">RR 1.1 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(0.89 to 1.36)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48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(1 study)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16"/>
                <w:szCs w:val="16"/>
              </w:rPr>
              <w:t>⊕⊝⊝⊝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very low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833 per 1000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917 per 1000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(742 to 1000)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Moderate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833 per 1000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3D3D3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916 per 1000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  <w:r>
              <w:rPr>
                <w:rFonts w:hint="default" w:ascii="Arial" w:hAnsi="Arial" w:cs="Arial"/>
                <w:sz w:val="16"/>
                <w:szCs w:val="16"/>
              </w:rPr>
              <w:t>(741 to 1000)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*The basis for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assumed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(e.g. the median control group risk across studies) is provided in footnotes.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corresponding risk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(and its 95% confidence interval) is based on the assumed risk in the comparison group and the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relative effect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of the intervention (and its 95% CI).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CI: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Confidence interval; 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RR: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Risk ratio;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CTQ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  <w:lang w:val="en-US" w:eastAsia="zh-CN"/>
              </w:rPr>
              <w:t>-S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SS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 the Boston Carpal Tunnel Questionnaire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s symptom severity scale.</w:t>
            </w:r>
            <w:bookmarkStart w:id="5" w:name="_GoBack"/>
            <w:bookmarkEnd w:id="5"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>GRADE Working Group grades of evidence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High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unlikely to change our confidence in the estimate of effect. 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Moderate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Very low quality:</w:t>
            </w:r>
            <w:r>
              <w:rPr>
                <w:rFonts w:hint="default" w:ascii="Arial" w:hAnsi="Arial" w:eastAsia="宋体" w:cs="Arial"/>
                <w:kern w:val="0"/>
                <w:sz w:val="16"/>
                <w:szCs w:val="16"/>
                <w:lang w:val="en-US" w:eastAsia="zh-CN" w:bidi="ar"/>
              </w:rPr>
              <w:t xml:space="preserve"> We are very uncertain about the estimate.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zE1NjhkMWFkNjg1MjcxM2NkMWEzZjhkZjRkOTEifQ=="/>
  </w:docVars>
  <w:rsids>
    <w:rsidRoot w:val="51FA7573"/>
    <w:rsid w:val="002410F1"/>
    <w:rsid w:val="020E2058"/>
    <w:rsid w:val="039956FE"/>
    <w:rsid w:val="040A4034"/>
    <w:rsid w:val="04D532F8"/>
    <w:rsid w:val="04FB31C1"/>
    <w:rsid w:val="05025778"/>
    <w:rsid w:val="061D118D"/>
    <w:rsid w:val="08FA50E4"/>
    <w:rsid w:val="0E56576F"/>
    <w:rsid w:val="0ED421E6"/>
    <w:rsid w:val="0F711E78"/>
    <w:rsid w:val="0FB07EA3"/>
    <w:rsid w:val="10741C20"/>
    <w:rsid w:val="11EC5ABD"/>
    <w:rsid w:val="12B4677B"/>
    <w:rsid w:val="13A9398F"/>
    <w:rsid w:val="13C75F2E"/>
    <w:rsid w:val="14A14FAE"/>
    <w:rsid w:val="14D4066C"/>
    <w:rsid w:val="15F17F99"/>
    <w:rsid w:val="17771FF6"/>
    <w:rsid w:val="182C4B8E"/>
    <w:rsid w:val="19DA6F08"/>
    <w:rsid w:val="1AFD2812"/>
    <w:rsid w:val="1C226236"/>
    <w:rsid w:val="1CC96E50"/>
    <w:rsid w:val="1D412E8A"/>
    <w:rsid w:val="1D772D50"/>
    <w:rsid w:val="1D990F18"/>
    <w:rsid w:val="20AB72FF"/>
    <w:rsid w:val="21617F9F"/>
    <w:rsid w:val="22FF2D0C"/>
    <w:rsid w:val="249102D6"/>
    <w:rsid w:val="25F807A6"/>
    <w:rsid w:val="26F251F5"/>
    <w:rsid w:val="27313F6F"/>
    <w:rsid w:val="27547C5E"/>
    <w:rsid w:val="2A3A75DF"/>
    <w:rsid w:val="2AE42C30"/>
    <w:rsid w:val="2B193698"/>
    <w:rsid w:val="2C9B4E32"/>
    <w:rsid w:val="2CA46F92"/>
    <w:rsid w:val="2E5302D6"/>
    <w:rsid w:val="302A3C52"/>
    <w:rsid w:val="305106B6"/>
    <w:rsid w:val="305331A8"/>
    <w:rsid w:val="34796F56"/>
    <w:rsid w:val="35635C3C"/>
    <w:rsid w:val="356B13C7"/>
    <w:rsid w:val="35B355F7"/>
    <w:rsid w:val="390C2146"/>
    <w:rsid w:val="39972358"/>
    <w:rsid w:val="3AD44EE6"/>
    <w:rsid w:val="3C28373B"/>
    <w:rsid w:val="3C35255E"/>
    <w:rsid w:val="3C832BC0"/>
    <w:rsid w:val="3D940332"/>
    <w:rsid w:val="3E300685"/>
    <w:rsid w:val="40321301"/>
    <w:rsid w:val="432F3601"/>
    <w:rsid w:val="44591DFC"/>
    <w:rsid w:val="44F92119"/>
    <w:rsid w:val="46FF32EA"/>
    <w:rsid w:val="4B1B177E"/>
    <w:rsid w:val="4B23010C"/>
    <w:rsid w:val="4CBB4728"/>
    <w:rsid w:val="4E6631BA"/>
    <w:rsid w:val="4EF23B67"/>
    <w:rsid w:val="4EF61477"/>
    <w:rsid w:val="4EF67834"/>
    <w:rsid w:val="51FA7573"/>
    <w:rsid w:val="521340EE"/>
    <w:rsid w:val="537E52A6"/>
    <w:rsid w:val="539F3C94"/>
    <w:rsid w:val="55230A2F"/>
    <w:rsid w:val="55AE6607"/>
    <w:rsid w:val="57EC6842"/>
    <w:rsid w:val="5923730C"/>
    <w:rsid w:val="598D4786"/>
    <w:rsid w:val="59AF294E"/>
    <w:rsid w:val="5A307F33"/>
    <w:rsid w:val="5A513A05"/>
    <w:rsid w:val="5CAC13C7"/>
    <w:rsid w:val="5DFC1EDA"/>
    <w:rsid w:val="60561D75"/>
    <w:rsid w:val="607E609D"/>
    <w:rsid w:val="61E7199A"/>
    <w:rsid w:val="62255A57"/>
    <w:rsid w:val="6283706E"/>
    <w:rsid w:val="63C143B7"/>
    <w:rsid w:val="65EF15EA"/>
    <w:rsid w:val="65F71905"/>
    <w:rsid w:val="6672290A"/>
    <w:rsid w:val="67513BC2"/>
    <w:rsid w:val="683D381B"/>
    <w:rsid w:val="692B5BC7"/>
    <w:rsid w:val="6A301889"/>
    <w:rsid w:val="6A9E2C97"/>
    <w:rsid w:val="6BA71058"/>
    <w:rsid w:val="6DC3394D"/>
    <w:rsid w:val="6F0137F4"/>
    <w:rsid w:val="6F1C3E74"/>
    <w:rsid w:val="73C13552"/>
    <w:rsid w:val="75273889"/>
    <w:rsid w:val="76CF5F86"/>
    <w:rsid w:val="77BA5CCA"/>
    <w:rsid w:val="79607369"/>
    <w:rsid w:val="79703A50"/>
    <w:rsid w:val="797C4EBB"/>
    <w:rsid w:val="79E810C4"/>
    <w:rsid w:val="7A4C6481"/>
    <w:rsid w:val="7B777C36"/>
    <w:rsid w:val="7BF87D2D"/>
    <w:rsid w:val="7FD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3093</Words>
  <Characters>16120</Characters>
  <Lines>0</Lines>
  <Paragraphs>0</Paragraphs>
  <TotalTime>19</TotalTime>
  <ScaleCrop>false</ScaleCrop>
  <LinksUpToDate>false</LinksUpToDate>
  <CharactersWithSpaces>18553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2022-11-13T16:55:00Z</dcterms:created>
  <dc:creator>刘小菠</dc:creator>
  <cp:lastModifiedBy>刘小菠</cp:lastModifiedBy>
  <dcterms:modified xsi:type="dcterms:W3CDTF">2023-02-12T16:37:39Z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027764E45C9143FCB5841E163D4CC892</vt:lpwstr>
  </property>
</Properties>
</file>