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pStyle w:val="2"/>
      </w:pPr>
      <w:r>
        <w:t>Supplementary Figures and Tables</w:t>
      </w:r>
    </w:p>
    <w:p>
      <w:pPr>
        <w:pStyle w:val="4"/>
      </w:pPr>
      <w:r>
        <w:t>Supplementary Figures</w:t>
      </w:r>
    </w:p>
    <w:p>
      <w:pPr>
        <w:jc w:val="center"/>
      </w:pPr>
      <w:r>
        <w:drawing>
          <wp:inline distT="0" distB="0" distL="114300" distR="114300">
            <wp:extent cx="4773295" cy="2755265"/>
            <wp:effectExtent l="0" t="0" r="12065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329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120" w:beforeAutospacing="0" w:after="240" w:afterAutospacing="0"/>
        <w:ind w:left="0" w:right="0"/>
        <w:jc w:val="center"/>
        <w:rPr>
          <w:rFonts w:cs="Times New Roman"/>
          <w:lang w:val="en-US"/>
        </w:rPr>
      </w:pPr>
      <w:r>
        <w:rPr>
          <w:rFonts w:hint="eastAsia" w:eastAsia="宋体" w:cs="Times New Roman"/>
          <w:kern w:val="0"/>
          <w:sz w:val="24"/>
          <w:szCs w:val="22"/>
          <w:lang w:val="en-US" w:eastAsia="zh-CN" w:bidi="ar"/>
        </w:rPr>
        <w:t xml:space="preserve"> </w:t>
      </w:r>
      <w:r>
        <w:rPr>
          <w:rFonts w:hint="eastAsia" w:eastAsia="宋体" w:cs="Times New Roman"/>
          <w:b/>
          <w:bCs/>
          <w:kern w:val="0"/>
          <w:sz w:val="24"/>
          <w:szCs w:val="22"/>
          <w:lang w:val="en-US" w:eastAsia="zh-CN" w:bidi="ar"/>
        </w:rPr>
        <w:t xml:space="preserve">Supplementary </w:t>
      </w: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2"/>
          <w:lang w:val="en-US" w:eastAsia="zh-CN" w:bidi="ar"/>
        </w:rPr>
        <w:t>Figure</w:t>
      </w:r>
      <w:r>
        <w:rPr>
          <w:rFonts w:hint="default" w:ascii="Times New Roman" w:hAnsi="Times New Roman" w:eastAsia="Calibri" w:cs="Times New Roman"/>
          <w:b/>
          <w:bCs/>
          <w:kern w:val="0"/>
          <w:sz w:val="24"/>
          <w:szCs w:val="22"/>
          <w:lang w:val="en-US" w:eastAsia="zh-CN" w:bidi="ar"/>
        </w:rPr>
        <w:t xml:space="preserve"> 1</w:t>
      </w:r>
      <w:r>
        <w:rPr>
          <w:rFonts w:hint="default" w:ascii="Times New Roman" w:hAnsi="Times New Roman" w:eastAsia="Calibri" w:cs="Times New Roman"/>
          <w:kern w:val="0"/>
          <w:sz w:val="24"/>
          <w:szCs w:val="22"/>
          <w:lang w:val="en-US" w:eastAsia="zh-CN" w:bidi="ar"/>
        </w:rPr>
        <w:t xml:space="preserve"> Maximum (max.) and minimum (min.) temperatures during the sampling period</w:t>
      </w:r>
    </w:p>
    <w:p/>
    <w:p>
      <w:pPr>
        <w:keepNext/>
        <w:jc w:val="center"/>
        <w:rPr>
          <w:rFonts w:cs="Times New Roman"/>
          <w:szCs w:val="24"/>
        </w:rPr>
      </w:pPr>
      <w:r>
        <w:drawing>
          <wp:inline distT="0" distB="0" distL="0" distR="0">
            <wp:extent cx="2519680" cy="190754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9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19680" cy="190754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9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keepNext/>
        <w:jc w:val="center"/>
        <w:rPr>
          <w:rFonts w:cs="Times New Roman"/>
          <w:szCs w:val="24"/>
        </w:rPr>
      </w:pPr>
      <w:r>
        <w:drawing>
          <wp:inline distT="0" distB="0" distL="0" distR="0">
            <wp:extent cx="2519680" cy="190754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9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19680" cy="190754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9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keepNext/>
        <w:jc w:val="center"/>
        <w:rPr>
          <w:rFonts w:cs="Times New Roman"/>
          <w:szCs w:val="24"/>
        </w:rPr>
      </w:pPr>
      <w:r>
        <w:drawing>
          <wp:inline distT="0" distB="0" distL="0" distR="0">
            <wp:extent cx="2519680" cy="190754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9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19680" cy="190754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9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keepNext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Supplementary Figure </w:t>
      </w:r>
      <w:r>
        <w:rPr>
          <w:rFonts w:hint="eastAsia" w:cs="Times New Roman"/>
          <w:b/>
          <w:szCs w:val="24"/>
          <w:lang w:val="en-US" w:eastAsia="zh-CN"/>
        </w:rPr>
        <w:t>2</w:t>
      </w:r>
      <w:r>
        <w:rPr>
          <w:rFonts w:cs="Times New Roman"/>
          <w:bCs/>
          <w:szCs w:val="24"/>
        </w:rPr>
        <w:t xml:space="preserve"> The </w:t>
      </w:r>
      <w:r>
        <w:rPr>
          <w:bCs/>
        </w:rPr>
        <w:t>q</w:t>
      </w:r>
      <w:r>
        <w:t>RT-PCR validation of differential gene expression levels</w:t>
      </w:r>
      <w:r>
        <w:rPr>
          <w:rFonts w:cs="Times New Roman"/>
          <w:szCs w:val="24"/>
        </w:rPr>
        <w:t xml:space="preserve"> </w:t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pStyle w:val="4"/>
        <w:rPr>
          <w:lang w:eastAsia="zh-CN"/>
        </w:rPr>
      </w:pPr>
      <w:r>
        <w:rPr>
          <w:lang w:eastAsia="zh-CN"/>
        </w:rPr>
        <w:t>Supplementary tables</w:t>
      </w:r>
    </w:p>
    <w:p>
      <w:pPr>
        <w:jc w:val="center"/>
      </w:pPr>
      <w:r>
        <w:rPr>
          <w:b/>
          <w:bCs/>
        </w:rPr>
        <w:t>Supplementary Table 1</w:t>
      </w:r>
      <w:r>
        <w:t xml:space="preserve"> The genes and primers used for qRT-PCR analysis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4"/>
        <w:gridCol w:w="2957"/>
        <w:gridCol w:w="302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5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Gene</w:t>
            </w:r>
          </w:p>
        </w:tc>
        <w:tc>
          <w:tcPr>
            <w:tcW w:w="29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Forward primer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s</w:t>
            </w:r>
          </w:p>
        </w:tc>
        <w:tc>
          <w:tcPr>
            <w:tcW w:w="30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Reverse primer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54" w:type="dxa"/>
            <w:shd w:val="clear" w:color="auto" w:fill="auto"/>
          </w:tcPr>
          <w:p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AKR4C9</w:t>
            </w:r>
          </w:p>
        </w:tc>
        <w:tc>
          <w:tcPr>
            <w:tcW w:w="2957" w:type="dxa"/>
            <w:shd w:val="clear" w:color="auto" w:fill="auto"/>
          </w:tcPr>
          <w:p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GGACACAGCGTGCTACCTAAGA</w:t>
            </w:r>
          </w:p>
        </w:tc>
        <w:tc>
          <w:tcPr>
            <w:tcW w:w="3027" w:type="dxa"/>
            <w:shd w:val="clear" w:color="auto" w:fill="auto"/>
          </w:tcPr>
          <w:p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CACCATCCCAGAGTTCTTCAAT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54" w:type="dxa"/>
            <w:shd w:val="clear" w:color="auto" w:fill="auto"/>
          </w:tcPr>
          <w:p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COR2</w:t>
            </w:r>
          </w:p>
        </w:tc>
        <w:tc>
          <w:tcPr>
            <w:tcW w:w="2957" w:type="dxa"/>
            <w:shd w:val="clear" w:color="auto" w:fill="auto"/>
          </w:tcPr>
          <w:p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AGTAGTCCTCCCCTCCTCCA</w:t>
            </w:r>
          </w:p>
        </w:tc>
        <w:tc>
          <w:tcPr>
            <w:tcW w:w="3027" w:type="dxa"/>
            <w:shd w:val="clear" w:color="auto" w:fill="auto"/>
          </w:tcPr>
          <w:p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GCTTCTCCAACAGATTTTTCCA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54" w:type="dxa"/>
            <w:shd w:val="clear" w:color="auto" w:fill="auto"/>
          </w:tcPr>
          <w:p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CYP71D10</w:t>
            </w:r>
          </w:p>
        </w:tc>
        <w:tc>
          <w:tcPr>
            <w:tcW w:w="2957" w:type="dxa"/>
            <w:shd w:val="clear" w:color="auto" w:fill="auto"/>
          </w:tcPr>
          <w:p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ACAAAACAAAGCACGCAAGGA</w:t>
            </w:r>
          </w:p>
        </w:tc>
        <w:tc>
          <w:tcPr>
            <w:tcW w:w="3027" w:type="dxa"/>
            <w:shd w:val="clear" w:color="auto" w:fill="auto"/>
          </w:tcPr>
          <w:p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CGGACGATGTTTCGCTACCA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54" w:type="dxa"/>
            <w:shd w:val="clear" w:color="auto" w:fill="auto"/>
          </w:tcPr>
          <w:p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PAT</w:t>
            </w:r>
          </w:p>
        </w:tc>
        <w:tc>
          <w:tcPr>
            <w:tcW w:w="2957" w:type="dxa"/>
            <w:shd w:val="clear" w:color="auto" w:fill="auto"/>
          </w:tcPr>
          <w:p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CCCCCGCAACGCATACAA</w:t>
            </w:r>
          </w:p>
        </w:tc>
        <w:tc>
          <w:tcPr>
            <w:tcW w:w="3027" w:type="dxa"/>
            <w:shd w:val="clear" w:color="auto" w:fill="auto"/>
          </w:tcPr>
          <w:p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GGTAGAAACAGCCTCCCCAC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54" w:type="dxa"/>
            <w:shd w:val="clear" w:color="auto" w:fill="auto"/>
          </w:tcPr>
          <w:p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SAMS2</w:t>
            </w:r>
          </w:p>
        </w:tc>
        <w:tc>
          <w:tcPr>
            <w:tcW w:w="2957" w:type="dxa"/>
            <w:shd w:val="clear" w:color="auto" w:fill="auto"/>
          </w:tcPr>
          <w:p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ATGGCAGCAGAGACCTTCC</w:t>
            </w:r>
          </w:p>
        </w:tc>
        <w:tc>
          <w:tcPr>
            <w:tcW w:w="3027" w:type="dxa"/>
            <w:shd w:val="clear" w:color="auto" w:fill="auto"/>
          </w:tcPr>
          <w:p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TCAGCATCAAGACCTACATCATC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54" w:type="dxa"/>
            <w:shd w:val="clear" w:color="auto" w:fill="auto"/>
          </w:tcPr>
          <w:p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HSP70</w:t>
            </w:r>
          </w:p>
        </w:tc>
        <w:tc>
          <w:tcPr>
            <w:tcW w:w="2957" w:type="dxa"/>
            <w:shd w:val="clear" w:color="auto" w:fill="auto"/>
          </w:tcPr>
          <w:p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GGCTGGAAAAGGTGAAGGAC</w:t>
            </w:r>
          </w:p>
        </w:tc>
        <w:tc>
          <w:tcPr>
            <w:tcW w:w="3027" w:type="dxa"/>
            <w:shd w:val="clear" w:color="auto" w:fill="auto"/>
          </w:tcPr>
          <w:p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CAGGCACAGTTACGACAGC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54" w:type="dxa"/>
            <w:shd w:val="clear" w:color="auto" w:fill="auto"/>
          </w:tcPr>
          <w:p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AC101</w:t>
            </w:r>
          </w:p>
        </w:tc>
        <w:tc>
          <w:tcPr>
            <w:tcW w:w="2957" w:type="dxa"/>
            <w:shd w:val="clear" w:color="auto" w:fill="auto"/>
          </w:tcPr>
          <w:p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GTTCCGAGAGATTCCGTTGC</w:t>
            </w:r>
          </w:p>
        </w:tc>
        <w:tc>
          <w:tcPr>
            <w:tcW w:w="3027" w:type="dxa"/>
            <w:shd w:val="clear" w:color="auto" w:fill="auto"/>
          </w:tcPr>
          <w:p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ATGCCAAGATAGACCCACCA</w:t>
            </w:r>
          </w:p>
        </w:tc>
      </w:tr>
    </w:tbl>
    <w:p>
      <w:pPr>
        <w:rPr>
          <w:lang w:eastAsia="zh-CN"/>
        </w:rPr>
      </w:pPr>
      <w:r>
        <w:rPr>
          <w:b/>
          <w:bCs/>
          <w:lang w:eastAsia="zh-CN"/>
        </w:rPr>
        <w:t>Supplementary Table 2</w:t>
      </w:r>
      <w:r>
        <w:rPr>
          <w:lang w:eastAsia="zh-CN"/>
        </w:rPr>
        <w:t xml:space="preserve">  The major profile of expression of changed m</w:t>
      </w:r>
      <w:bookmarkStart w:id="0" w:name="_GoBack"/>
      <w:bookmarkEnd w:id="0"/>
      <w:r>
        <w:rPr>
          <w:lang w:eastAsia="zh-CN"/>
        </w:rPr>
        <w:t>etabolites in different P treatments</w:t>
      </w:r>
    </w:p>
    <w:tbl>
      <w:tblPr>
        <w:tblStyle w:val="53"/>
        <w:tblW w:w="9061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4943"/>
        <w:gridCol w:w="1105"/>
        <w:gridCol w:w="109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Class</w:t>
            </w:r>
          </w:p>
        </w:tc>
        <w:tc>
          <w:tcPr>
            <w:tcW w:w="49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Compounds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spacing w:before="0" w:after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eastAsia="zh-CN"/>
              </w:rPr>
              <w:t>CK-vs-P1</w:t>
            </w:r>
          </w:p>
        </w:tc>
        <w:tc>
          <w:tcPr>
            <w:tcW w:w="109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spacing w:before="0" w:after="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eastAsia="zh-CN"/>
              </w:rPr>
              <w:t>CK-vs-P4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Amino acids and derivatives</w:t>
            </w:r>
          </w:p>
        </w:tc>
        <w:tc>
          <w:tcPr>
            <w:tcW w:w="4943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L-Serine</w:t>
            </w:r>
          </w:p>
        </w:tc>
        <w:tc>
          <w:tcPr>
            <w:tcW w:w="1105" w:type="dxa"/>
            <w:tcBorders>
              <w:top w:val="single" w:color="auto" w:sz="4" w:space="0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1.11 </w:t>
            </w:r>
          </w:p>
        </w:tc>
        <w:tc>
          <w:tcPr>
            <w:tcW w:w="1097" w:type="dxa"/>
            <w:tcBorders>
              <w:top w:val="single" w:color="auto" w:sz="4" w:space="0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2.49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91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943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N-Acetyl-L-phenylalanine</w:t>
            </w:r>
          </w:p>
        </w:tc>
        <w:tc>
          <w:tcPr>
            <w:tcW w:w="1105" w:type="dxa"/>
            <w:tcBorders>
              <w:top w:val="nil"/>
              <w:bottom w:val="single" w:color="auto" w:sz="4" w:space="0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0.67 </w:t>
            </w:r>
          </w:p>
        </w:tc>
        <w:tc>
          <w:tcPr>
            <w:tcW w:w="1097" w:type="dxa"/>
            <w:tcBorders>
              <w:top w:val="nil"/>
              <w:bottom w:val="single" w:color="auto" w:sz="4" w:space="0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1.10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Flavonoids</w:t>
            </w:r>
          </w:p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943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3,9-Dihydroxypterocarpan</w:t>
            </w:r>
          </w:p>
        </w:tc>
        <w:tc>
          <w:tcPr>
            <w:tcW w:w="1105" w:type="dxa"/>
            <w:tcBorders>
              <w:top w:val="single" w:color="auto" w:sz="4" w:space="0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1.32 </w:t>
            </w:r>
          </w:p>
        </w:tc>
        <w:tc>
          <w:tcPr>
            <w:tcW w:w="1097" w:type="dxa"/>
            <w:tcBorders>
              <w:top w:val="single" w:color="auto" w:sz="4" w:space="0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1.75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Glycitein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2.01 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0.58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 xml:space="preserve">Kaempferol 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2.28 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0.96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 xml:space="preserve">Eriodictyol 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13.21 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0.24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Afrormosin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1.48 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0.60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4'-Hydroxy-5,7-dimethoxyflavanone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1.15 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1.29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 xml:space="preserve">Tricetin 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4.48 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0.92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4,4'-dihydroxy-2,6-dimethoxydihydrochalcone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3.43 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0.89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5,7,4'-Trimethoxyflavone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11.61 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10.17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5,7-Dihydroxy-2'-methoxy-3',4'-methyleneoxydihydroisoflavone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4.61 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0.88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3,3',5-Trihydroxy-4',7-dimethoxyflavanone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7.40 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1.35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Formononetin-7-O-glucoside (Ononin)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1.30 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0.80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Chrysoeriol-7-O-(6''-malonyl)glucoside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1.46 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0.41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943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Apigenin-6,8-di-C-glucoside (Vicenin-2)</w:t>
            </w:r>
          </w:p>
        </w:tc>
        <w:tc>
          <w:tcPr>
            <w:tcW w:w="1105" w:type="dxa"/>
            <w:tcBorders>
              <w:top w:val="nil"/>
              <w:bottom w:val="single" w:color="auto" w:sz="4" w:space="0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1.83 </w:t>
            </w:r>
          </w:p>
        </w:tc>
        <w:tc>
          <w:tcPr>
            <w:tcW w:w="1097" w:type="dxa"/>
            <w:tcBorders>
              <w:top w:val="nil"/>
              <w:bottom w:val="single" w:color="auto" w:sz="4" w:space="0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0.69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Lipids</w:t>
            </w:r>
          </w:p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943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Palmitaldehyde</w:t>
            </w:r>
          </w:p>
        </w:tc>
        <w:tc>
          <w:tcPr>
            <w:tcW w:w="1105" w:type="dxa"/>
            <w:tcBorders>
              <w:top w:val="single" w:color="auto" w:sz="4" w:space="0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1.12 </w:t>
            </w:r>
          </w:p>
        </w:tc>
        <w:tc>
          <w:tcPr>
            <w:tcW w:w="1097" w:type="dxa"/>
            <w:tcBorders>
              <w:top w:val="single" w:color="auto" w:sz="4" w:space="0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1.17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1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LPE 16:0/18:2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0.71 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1.15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91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943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LPC 16:0/18:3/18:2</w:t>
            </w:r>
          </w:p>
        </w:tc>
        <w:tc>
          <w:tcPr>
            <w:tcW w:w="1105" w:type="dxa"/>
            <w:tcBorders>
              <w:top w:val="nil"/>
              <w:bottom w:val="single" w:color="auto" w:sz="4" w:space="0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0.80   </w:t>
            </w:r>
          </w:p>
        </w:tc>
        <w:tc>
          <w:tcPr>
            <w:tcW w:w="1097" w:type="dxa"/>
            <w:tcBorders>
              <w:top w:val="nil"/>
              <w:bottom w:val="single" w:color="auto" w:sz="4" w:space="0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1.25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Nucleotides and derivatives</w:t>
            </w:r>
          </w:p>
        </w:tc>
        <w:tc>
          <w:tcPr>
            <w:tcW w:w="49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Ribosyladenosine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0.55 </w:t>
            </w:r>
          </w:p>
        </w:tc>
        <w:tc>
          <w:tcPr>
            <w:tcW w:w="109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1.09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Organic acids</w:t>
            </w:r>
          </w:p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943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TranexamicAcid</w:t>
            </w:r>
          </w:p>
        </w:tc>
        <w:tc>
          <w:tcPr>
            <w:tcW w:w="1105" w:type="dxa"/>
            <w:tcBorders>
              <w:top w:val="single" w:color="auto" w:sz="4" w:space="0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1.77 </w:t>
            </w:r>
          </w:p>
        </w:tc>
        <w:tc>
          <w:tcPr>
            <w:tcW w:w="1097" w:type="dxa"/>
            <w:tcBorders>
              <w:top w:val="single" w:color="auto" w:sz="4" w:space="0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1.02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943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Isocitric Acid</w:t>
            </w:r>
          </w:p>
        </w:tc>
        <w:tc>
          <w:tcPr>
            <w:tcW w:w="1105" w:type="dxa"/>
            <w:tcBorders>
              <w:top w:val="nil"/>
              <w:bottom w:val="single" w:color="auto" w:sz="4" w:space="0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0.99 </w:t>
            </w:r>
          </w:p>
        </w:tc>
        <w:tc>
          <w:tcPr>
            <w:tcW w:w="1097" w:type="dxa"/>
            <w:tcBorders>
              <w:top w:val="nil"/>
              <w:bottom w:val="single" w:color="auto" w:sz="4" w:space="0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1.27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 xml:space="preserve">Sugar </w:t>
            </w:r>
          </w:p>
        </w:tc>
        <w:tc>
          <w:tcPr>
            <w:tcW w:w="49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Lactobiose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0.82 </w:t>
            </w:r>
          </w:p>
        </w:tc>
        <w:tc>
          <w:tcPr>
            <w:tcW w:w="109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1.42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Phenolic acids</w:t>
            </w:r>
          </w:p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943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4-Nitrophenol</w:t>
            </w:r>
          </w:p>
        </w:tc>
        <w:tc>
          <w:tcPr>
            <w:tcW w:w="1105" w:type="dxa"/>
            <w:tcBorders>
              <w:top w:val="single" w:color="auto" w:sz="4" w:space="0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1.23 </w:t>
            </w:r>
          </w:p>
        </w:tc>
        <w:tc>
          <w:tcPr>
            <w:tcW w:w="1097" w:type="dxa"/>
            <w:tcBorders>
              <w:top w:val="single" w:color="auto" w:sz="4" w:space="0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1.25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2,5-Dihydroxyacetophenone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2.17 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0.64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Coniferyl alcohol*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2.47 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0.99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Syringaldehyde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2.16 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0.55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Protocatechuic acid-4-O-glucoside*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1.52 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0.52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943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1-O-Glucosyl sinapate</w:t>
            </w:r>
          </w:p>
        </w:tc>
        <w:tc>
          <w:tcPr>
            <w:tcW w:w="1105" w:type="dxa"/>
            <w:tcBorders>
              <w:top w:val="nil"/>
              <w:bottom w:val="single" w:color="auto" w:sz="4" w:space="0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7.83 </w:t>
            </w:r>
          </w:p>
        </w:tc>
        <w:tc>
          <w:tcPr>
            <w:tcW w:w="1097" w:type="dxa"/>
            <w:tcBorders>
              <w:top w:val="nil"/>
              <w:bottom w:val="single" w:color="auto" w:sz="4" w:space="0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2.38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Terpenoids</w:t>
            </w:r>
          </w:p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943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Soyasapogenol E</w:t>
            </w:r>
          </w:p>
        </w:tc>
        <w:tc>
          <w:tcPr>
            <w:tcW w:w="1105" w:type="dxa"/>
            <w:tcBorders>
              <w:top w:val="single" w:color="auto" w:sz="4" w:space="0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0.54 </w:t>
            </w:r>
          </w:p>
        </w:tc>
        <w:tc>
          <w:tcPr>
            <w:tcW w:w="1097" w:type="dxa"/>
            <w:tcBorders>
              <w:top w:val="single" w:color="auto" w:sz="4" w:space="0"/>
            </w:tcBorders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0.87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Merge w:val="continue"/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943" w:type="dxa"/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Ursolic acid</w:t>
            </w:r>
          </w:p>
        </w:tc>
        <w:tc>
          <w:tcPr>
            <w:tcW w:w="1105" w:type="dxa"/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0.54 </w:t>
            </w:r>
          </w:p>
        </w:tc>
        <w:tc>
          <w:tcPr>
            <w:tcW w:w="1097" w:type="dxa"/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0.87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Merge w:val="continue"/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943" w:type="dxa"/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Soyasaponin</w:t>
            </w:r>
          </w:p>
        </w:tc>
        <w:tc>
          <w:tcPr>
            <w:tcW w:w="1105" w:type="dxa"/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0.48 </w:t>
            </w:r>
          </w:p>
        </w:tc>
        <w:tc>
          <w:tcPr>
            <w:tcW w:w="1097" w:type="dxa"/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0.43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Merge w:val="continue"/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943" w:type="dxa"/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Dehydrosoyasaponin</w:t>
            </w:r>
          </w:p>
        </w:tc>
        <w:tc>
          <w:tcPr>
            <w:tcW w:w="1105" w:type="dxa"/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0.44 </w:t>
            </w:r>
          </w:p>
        </w:tc>
        <w:tc>
          <w:tcPr>
            <w:tcW w:w="1097" w:type="dxa"/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0.57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Merge w:val="continue"/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943" w:type="dxa"/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 xml:space="preserve">Soyasapogenol </w:t>
            </w:r>
          </w:p>
        </w:tc>
        <w:tc>
          <w:tcPr>
            <w:tcW w:w="1105" w:type="dxa"/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0.44 </w:t>
            </w:r>
          </w:p>
        </w:tc>
        <w:tc>
          <w:tcPr>
            <w:tcW w:w="1097" w:type="dxa"/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0.53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Merge w:val="continue"/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943" w:type="dxa"/>
            <w:vAlign w:val="center"/>
          </w:tcPr>
          <w:p>
            <w:pPr>
              <w:widowControl w:val="0"/>
              <w:spacing w:before="0" w:after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Bayogenin</w:t>
            </w:r>
          </w:p>
        </w:tc>
        <w:tc>
          <w:tcPr>
            <w:tcW w:w="1105" w:type="dxa"/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0.50 </w:t>
            </w:r>
          </w:p>
        </w:tc>
        <w:tc>
          <w:tcPr>
            <w:tcW w:w="1097" w:type="dxa"/>
          </w:tcPr>
          <w:p>
            <w:pPr>
              <w:widowControl w:val="0"/>
              <w:spacing w:before="0" w:after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eastAsia="zh-CN"/>
              </w:rPr>
              <w:t xml:space="preserve">0.67 </w:t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</w:p>
    <w:sectPr>
      <w:headerReference r:id="rId5" w:type="first"/>
      <w:footerReference r:id="rId6" w:type="default"/>
      <w:headerReference r:id="rId4" w:type="even"/>
      <w:footerReference r:id="rId7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86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720"/>
  <w:evenAndOddHeaders w:val="1"/>
  <w:displayHorizontalDrawingGridEvery w:val="0"/>
  <w:displayVerticalDrawingGridEvery w:val="2"/>
  <w:characterSpacingControl w:val="doNotCompress"/>
  <w:footnotePr>
    <w:footnote w:id="0"/>
    <w:footnote w:id="1"/>
  </w:footnotePr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wNjc0MLOwNDO2NDVX0lEKTi0uzszPAykwqgUAI960MSwAAAA="/>
    <w:docVar w:name="commondata" w:val="eyJoZGlkIjoiYWJmNTAxYTA0NTllZTU0OWY5NWY0MWNlMzBjNGU2OTYifQ=="/>
  </w:docVars>
  <w:rsids>
    <w:rsidRoot w:val="00ED20B5"/>
    <w:rsid w:val="00003FAA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15A09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0D1C"/>
    <w:rsid w:val="005250F2"/>
    <w:rsid w:val="00592180"/>
    <w:rsid w:val="00593EEA"/>
    <w:rsid w:val="005A5EEE"/>
    <w:rsid w:val="0061350A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97101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52501"/>
    <w:rsid w:val="00AA4D24"/>
    <w:rsid w:val="00AB6715"/>
    <w:rsid w:val="00B1671E"/>
    <w:rsid w:val="00B22F53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11D8F"/>
    <w:rsid w:val="00E2094B"/>
    <w:rsid w:val="00E52377"/>
    <w:rsid w:val="00E537AD"/>
    <w:rsid w:val="00E64E17"/>
    <w:rsid w:val="00E866C9"/>
    <w:rsid w:val="00EA3D3C"/>
    <w:rsid w:val="00EC090A"/>
    <w:rsid w:val="00ED20B5"/>
    <w:rsid w:val="00EE05DC"/>
    <w:rsid w:val="00F07FC8"/>
    <w:rsid w:val="00F46900"/>
    <w:rsid w:val="00F61D89"/>
    <w:rsid w:val="00F708FA"/>
    <w:rsid w:val="00FD1EB8"/>
    <w:rsid w:val="3C901282"/>
    <w:rsid w:val="7ED5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Cambria" w:cs="Cambri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mbria" w:hAnsi="Cambria" w:eastAsia="Cambria" w:cs="Cambria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uiPriority w:val="99"/>
  </w:style>
  <w:style w:type="character" w:styleId="28">
    <w:name w:val="Hyperlink"/>
    <w:basedOn w:val="22"/>
    <w:unhideWhenUsed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uiPriority w:val="99"/>
    <w:rPr>
      <w:vertAlign w:val="superscript"/>
    </w:rPr>
  </w:style>
  <w:style w:type="character" w:customStyle="1" w:styleId="31">
    <w:name w:val="标题 1 字符"/>
    <w:basedOn w:val="22"/>
    <w:link w:val="2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标题 2 字符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副标题 字符"/>
    <w:basedOn w:val="22"/>
    <w:link w:val="15"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批注框文本 字符"/>
    <w:basedOn w:val="22"/>
    <w:link w:val="12"/>
    <w:semiHidden/>
    <w:uiPriority w:val="99"/>
    <w:rPr>
      <w:rFonts w:ascii="Tahoma" w:hAnsi="Tahoma" w:cs="Tahoma"/>
      <w:sz w:val="16"/>
      <w:szCs w:val="16"/>
    </w:rPr>
  </w:style>
  <w:style w:type="character" w:customStyle="1" w:styleId="36">
    <w:name w:val="书籍标题1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批注文字 字符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批注主题 字符"/>
    <w:basedOn w:val="37"/>
    <w:link w:val="19"/>
    <w:semiHidden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尾注文本 字符"/>
    <w:basedOn w:val="22"/>
    <w:link w:val="11"/>
    <w:semiHidden/>
    <w:uiPriority w:val="99"/>
    <w:rPr>
      <w:rFonts w:ascii="Times New Roman" w:hAnsi="Times New Roman"/>
      <w:sz w:val="20"/>
      <w:szCs w:val="20"/>
    </w:rPr>
  </w:style>
  <w:style w:type="character" w:customStyle="1" w:styleId="40">
    <w:name w:val="页脚 字符"/>
    <w:basedOn w:val="22"/>
    <w:link w:val="13"/>
    <w:uiPriority w:val="99"/>
    <w:rPr>
      <w:rFonts w:ascii="Times New Roman" w:hAnsi="Times New Roman"/>
      <w:sz w:val="24"/>
    </w:rPr>
  </w:style>
  <w:style w:type="character" w:customStyle="1" w:styleId="41">
    <w:name w:val="脚注文本 字符"/>
    <w:basedOn w:val="22"/>
    <w:link w:val="16"/>
    <w:semiHidden/>
    <w:uiPriority w:val="99"/>
    <w:rPr>
      <w:rFonts w:ascii="Times New Roman" w:hAnsi="Times New Roman"/>
      <w:sz w:val="20"/>
      <w:szCs w:val="20"/>
    </w:rPr>
  </w:style>
  <w:style w:type="character" w:customStyle="1" w:styleId="42">
    <w:name w:val="页眉 字符"/>
    <w:basedOn w:val="22"/>
    <w:link w:val="14"/>
    <w:uiPriority w:val="99"/>
    <w:rPr>
      <w:rFonts w:ascii="Times New Roman" w:hAnsi="Times New Roman"/>
      <w:b/>
      <w:sz w:val="24"/>
    </w:rPr>
  </w:style>
  <w:style w:type="character" w:customStyle="1" w:styleId="43">
    <w:name w:val="明显强调1"/>
    <w:basedOn w:val="22"/>
    <w:unhideWhenUsed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明显参考1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标题 3 字符"/>
    <w:basedOn w:val="22"/>
    <w:link w:val="5"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标题 4 字符"/>
    <w:basedOn w:val="22"/>
    <w:link w:val="6"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标题 5 字符"/>
    <w:basedOn w:val="22"/>
    <w:link w:val="7"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引用 字符"/>
    <w:basedOn w:val="22"/>
    <w:link w:val="48"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不明显强调1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标题 字符"/>
    <w:basedOn w:val="22"/>
    <w:link w:val="18"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table" w:customStyle="1" w:styleId="53">
    <w:name w:val="网格型1"/>
    <w:basedOn w:val="20"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95B22-B4E8-4C8E-ABCB-1E2B9143F8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Pages>3</Pages>
  <Words>323</Words>
  <Characters>1845</Characters>
  <Lines>15</Lines>
  <Paragraphs>4</Paragraphs>
  <TotalTime>134</TotalTime>
  <ScaleCrop>false</ScaleCrop>
  <LinksUpToDate>false</LinksUpToDate>
  <CharactersWithSpaces>2164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2018-11-23T08:58:00Z</dcterms:created>
  <dc:creator>Frontiers Media SA</dc:creator>
  <cp:lastModifiedBy>鱼在沙漠飞翔</cp:lastModifiedBy>
  <cp:lastPrinted>2013-10-03T12:51:00Z</cp:lastPrinted>
  <dcterms:modified xsi:type="dcterms:W3CDTF">2023-01-29T09:30:23Z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404dbe55cb218d7a348724305fee0b95ee147f4e8d7c29a038aba5ef73707825</vt:lpwstr>
  </property>
  <property fmtid="{D5CDD505-2E9C-101B-9397-08002B2CF9AE}" pid="3" name="KSOProductBuildVer">
    <vt:lpwstr>2052-11.1.0.13703</vt:lpwstr>
  </property>
  <property fmtid="{D5CDD505-2E9C-101B-9397-08002B2CF9AE}" pid="4" name="ICV">
    <vt:lpwstr>486101623E3F47508E23776B4C05A820</vt:lpwstr>
  </property>
</Properties>
</file>