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0E0730D8" w14:textId="0BE92218" w:rsidR="00994A3D" w:rsidRPr="00994A3D" w:rsidRDefault="00994A3D" w:rsidP="00994A3D">
      <w:pPr>
        <w:jc w:val="both"/>
        <w:rPr>
          <w:rFonts w:cs="Times New Roman"/>
          <w:szCs w:val="24"/>
        </w:rPr>
      </w:pPr>
      <w:r w:rsidRPr="00994A3D">
        <w:rPr>
          <w:rFonts w:cs="Times New Roman"/>
          <w:szCs w:val="24"/>
        </w:rPr>
        <w:t xml:space="preserve">Supplementary </w:t>
      </w:r>
      <w:r w:rsidR="00397BBD">
        <w:rPr>
          <w:rFonts w:cs="Times New Roman"/>
          <w:szCs w:val="24"/>
        </w:rPr>
        <w:t xml:space="preserve">data is provided in </w:t>
      </w:r>
      <w:r w:rsidR="00397BBD" w:rsidRPr="00397BBD">
        <w:rPr>
          <w:rFonts w:cs="Times New Roman"/>
          <w:szCs w:val="24"/>
        </w:rPr>
        <w:t>Frontiers_GH18_Supplementary_Material_rawData</w:t>
      </w:r>
      <w:r w:rsidR="00397BBD">
        <w:rPr>
          <w:rFonts w:cs="Times New Roman"/>
          <w:szCs w:val="24"/>
        </w:rPr>
        <w:t>.csv</w:t>
      </w:r>
      <w:r w:rsidR="00D8227D">
        <w:rPr>
          <w:rFonts w:cs="Times New Roman"/>
          <w:szCs w:val="24"/>
        </w:rPr>
        <w:t xml:space="preserve"> and </w:t>
      </w:r>
      <w:r w:rsidR="00D8227D" w:rsidRPr="00397BBD">
        <w:rPr>
          <w:rFonts w:cs="Times New Roman"/>
          <w:szCs w:val="24"/>
        </w:rPr>
        <w:t>Frontiers_GH18_Supplementary_Material_</w:t>
      </w:r>
      <w:r w:rsidR="00D8227D">
        <w:rPr>
          <w:rFonts w:cs="Times New Roman"/>
          <w:szCs w:val="24"/>
        </w:rPr>
        <w:t>greenhouseManagement.csv</w:t>
      </w:r>
    </w:p>
    <w:p w14:paraId="1CD34ED3" w14:textId="57736F0A" w:rsidR="00397BBD" w:rsidRPr="00397BBD" w:rsidRDefault="00654E8F" w:rsidP="00397BBD">
      <w:pPr>
        <w:pStyle w:val="Heading1"/>
      </w:pPr>
      <w:r w:rsidRPr="00994A3D">
        <w:t>Supplementary Figures and Table</w:t>
      </w:r>
      <w:r w:rsidR="004265F6">
        <w:t>s</w:t>
      </w:r>
    </w:p>
    <w:p w14:paraId="72C24883" w14:textId="11C22C4D" w:rsidR="002210F8" w:rsidRPr="002210F8" w:rsidRDefault="00994A3D" w:rsidP="002210F8">
      <w:pPr>
        <w:pStyle w:val="Heading2"/>
      </w:pPr>
      <w:r w:rsidRPr="0001436A">
        <w:t>Supplementary</w:t>
      </w:r>
      <w:r w:rsidRPr="001549D3">
        <w:t xml:space="preserve"> Figure</w:t>
      </w:r>
      <w:r w:rsidR="004265F6">
        <w:t>s</w:t>
      </w:r>
    </w:p>
    <w:p w14:paraId="6C1DC2F3" w14:textId="494CFF12" w:rsidR="002210F8" w:rsidRPr="002210F8" w:rsidRDefault="002210F8" w:rsidP="002210F8">
      <w:pPr>
        <w:rPr>
          <w:color w:val="000000" w:themeColor="text1"/>
          <w:szCs w:val="24"/>
        </w:rPr>
      </w:pPr>
      <w:r w:rsidRPr="00F55C79">
        <w:rPr>
          <w:b/>
          <w:bCs/>
          <w:color w:val="000000" w:themeColor="text1"/>
          <w:szCs w:val="24"/>
        </w:rPr>
        <w:t xml:space="preserve">Supplementary Figure </w:t>
      </w:r>
      <w:r>
        <w:rPr>
          <w:b/>
          <w:bCs/>
          <w:color w:val="000000" w:themeColor="text1"/>
          <w:szCs w:val="24"/>
        </w:rPr>
        <w:t>S1</w:t>
      </w:r>
      <w:r w:rsidRPr="00F55C79">
        <w:rPr>
          <w:b/>
          <w:bCs/>
          <w:color w:val="000000" w:themeColor="text1"/>
          <w:szCs w:val="24"/>
        </w:rPr>
        <w:t>.</w:t>
      </w:r>
      <w:r w:rsidRPr="00F55C79">
        <w:rPr>
          <w:color w:val="000000" w:themeColor="text1"/>
          <w:szCs w:val="24"/>
        </w:rPr>
        <w:t xml:space="preserve"> Phenotyping card illustrating scores for panicle color</w:t>
      </w:r>
      <w:r w:rsidR="00252724">
        <w:rPr>
          <w:color w:val="000000" w:themeColor="text1"/>
          <w:szCs w:val="24"/>
        </w:rPr>
        <w:t>. Image credit: David Wu</w:t>
      </w:r>
    </w:p>
    <w:p w14:paraId="6DF68FF7" w14:textId="7A2B173D" w:rsidR="00397BBD" w:rsidRPr="00F55C79" w:rsidRDefault="00397BBD" w:rsidP="00397BBD">
      <w:pPr>
        <w:rPr>
          <w:noProof/>
          <w:color w:val="000000" w:themeColor="text1"/>
          <w:szCs w:val="24"/>
        </w:rPr>
      </w:pPr>
      <w:r w:rsidRPr="00F55C79">
        <w:rPr>
          <w:b/>
          <w:bCs/>
          <w:color w:val="000000" w:themeColor="text1"/>
          <w:szCs w:val="24"/>
        </w:rPr>
        <w:t xml:space="preserve">Supplementary Figure </w:t>
      </w:r>
      <w:r w:rsidR="0082555E">
        <w:rPr>
          <w:b/>
          <w:bCs/>
          <w:color w:val="000000" w:themeColor="text1"/>
          <w:szCs w:val="24"/>
        </w:rPr>
        <w:t>S</w:t>
      </w:r>
      <w:r w:rsidR="002210F8">
        <w:rPr>
          <w:b/>
          <w:bCs/>
          <w:color w:val="000000" w:themeColor="text1"/>
          <w:szCs w:val="24"/>
        </w:rPr>
        <w:t>2</w:t>
      </w:r>
      <w:r w:rsidRPr="00F55C79">
        <w:rPr>
          <w:b/>
          <w:bCs/>
          <w:color w:val="000000" w:themeColor="text1"/>
          <w:szCs w:val="24"/>
        </w:rPr>
        <w:t>(A-B).</w:t>
      </w:r>
      <w:r w:rsidRPr="00F55C79">
        <w:rPr>
          <w:color w:val="000000" w:themeColor="text1"/>
          <w:szCs w:val="24"/>
        </w:rPr>
        <w:t xml:space="preserve"> Panicle imaging setup. The light box was constructed from a cardboard box, two LED light strips (fluorescent linkable strip, 900 lumens, Lights of America, Chino, CA), and a matte black background (A). A camera (Canon PowerShot G12) was mounted to the top of the box (B). A size and reflectance standard were positioned below the panicles. Up to three panicles were imaged simultaneously, although some panicles were imaged individually (C).</w:t>
      </w:r>
      <w:r w:rsidRPr="00F55C79">
        <w:rPr>
          <w:noProof/>
          <w:color w:val="000000" w:themeColor="text1"/>
          <w:szCs w:val="24"/>
        </w:rPr>
        <w:t xml:space="preserve"> Photo credit: Evan Crain</w:t>
      </w:r>
      <w:r w:rsidR="002210F8">
        <w:rPr>
          <w:noProof/>
          <w:color w:val="000000" w:themeColor="text1"/>
          <w:szCs w:val="24"/>
        </w:rPr>
        <w:t>e</w:t>
      </w:r>
    </w:p>
    <w:p w14:paraId="74CC650A" w14:textId="2F3934CE" w:rsidR="00397BBD" w:rsidRPr="00F55C79" w:rsidRDefault="00397BBD" w:rsidP="00397BBD">
      <w:pPr>
        <w:rPr>
          <w:szCs w:val="24"/>
        </w:rPr>
      </w:pPr>
      <w:r w:rsidRPr="00F55C79">
        <w:rPr>
          <w:b/>
          <w:bCs/>
          <w:color w:val="000000" w:themeColor="text1"/>
          <w:szCs w:val="24"/>
        </w:rPr>
        <w:t xml:space="preserve">Supplementary Figure </w:t>
      </w:r>
      <w:r w:rsidR="0082555E">
        <w:rPr>
          <w:b/>
          <w:bCs/>
          <w:color w:val="000000" w:themeColor="text1"/>
          <w:szCs w:val="24"/>
        </w:rPr>
        <w:t>S</w:t>
      </w:r>
      <w:r w:rsidR="002210F8">
        <w:rPr>
          <w:b/>
          <w:bCs/>
          <w:color w:val="000000" w:themeColor="text1"/>
          <w:szCs w:val="24"/>
        </w:rPr>
        <w:t>3</w:t>
      </w:r>
      <w:r w:rsidRPr="00F55C79">
        <w:rPr>
          <w:b/>
          <w:bCs/>
          <w:color w:val="000000" w:themeColor="text1"/>
          <w:szCs w:val="24"/>
        </w:rPr>
        <w:t>.</w:t>
      </w:r>
      <w:r w:rsidRPr="00F55C79">
        <w:rPr>
          <w:color w:val="000000" w:themeColor="text1"/>
          <w:szCs w:val="24"/>
        </w:rPr>
        <w:t xml:space="preserve"> Seed samples following post-harvest seed cleaning process, before post-harvest phenotyping for seed composition and morphology traits. Image credit: Evan Craine</w:t>
      </w:r>
    </w:p>
    <w:p w14:paraId="433E3805" w14:textId="27C1CD6A" w:rsidR="00397BBD" w:rsidRPr="002210F8" w:rsidRDefault="00397BBD" w:rsidP="00397BBD">
      <w:pPr>
        <w:rPr>
          <w:color w:val="000000" w:themeColor="text1"/>
          <w:szCs w:val="24"/>
        </w:rPr>
      </w:pPr>
      <w:r w:rsidRPr="00F55C79">
        <w:rPr>
          <w:b/>
          <w:bCs/>
          <w:color w:val="000000" w:themeColor="text1"/>
          <w:szCs w:val="24"/>
        </w:rPr>
        <w:t xml:space="preserve">Supplementary Figure </w:t>
      </w:r>
      <w:r w:rsidR="0082555E">
        <w:rPr>
          <w:b/>
          <w:bCs/>
          <w:color w:val="000000" w:themeColor="text1"/>
          <w:szCs w:val="24"/>
        </w:rPr>
        <w:t>S</w:t>
      </w:r>
      <w:r w:rsidR="002210F8">
        <w:rPr>
          <w:b/>
          <w:bCs/>
          <w:color w:val="000000" w:themeColor="text1"/>
          <w:szCs w:val="24"/>
        </w:rPr>
        <w:t>4</w:t>
      </w:r>
      <w:r w:rsidRPr="00F55C79">
        <w:rPr>
          <w:b/>
          <w:bCs/>
          <w:color w:val="000000" w:themeColor="text1"/>
          <w:szCs w:val="24"/>
        </w:rPr>
        <w:t xml:space="preserve">. </w:t>
      </w:r>
      <w:r w:rsidRPr="00F55C79">
        <w:rPr>
          <w:rFonts w:eastAsia="Calibri"/>
          <w:color w:val="000000" w:themeColor="text1"/>
          <w:szCs w:val="24"/>
        </w:rPr>
        <w:t>Correlation between thousand seed weight (i.e. thousand kernel weight; TKW) as estimated using image analysis (i.e. 2018 [</w:t>
      </w:r>
      <w:proofErr w:type="spellStart"/>
      <w:r w:rsidRPr="00F55C79">
        <w:rPr>
          <w:rFonts w:eastAsia="Calibri"/>
          <w:color w:val="000000" w:themeColor="text1"/>
          <w:szCs w:val="24"/>
        </w:rPr>
        <w:t>evan</w:t>
      </w:r>
      <w:proofErr w:type="spellEnd"/>
      <w:r w:rsidRPr="00F55C79">
        <w:rPr>
          <w:rFonts w:eastAsia="Calibri"/>
          <w:color w:val="000000" w:themeColor="text1"/>
          <w:szCs w:val="24"/>
        </w:rPr>
        <w:t>]), where the number of seeds is counted and the weight of those seeds is known, and hand-counted thousand seed weight (i.e. 2018 [manual]).</w:t>
      </w:r>
      <w:r w:rsidRPr="00F55C79">
        <w:rPr>
          <w:rFonts w:eastAsia="Calibri"/>
          <w:b/>
          <w:bCs/>
          <w:color w:val="000000" w:themeColor="text1"/>
          <w:szCs w:val="24"/>
        </w:rPr>
        <w:t xml:space="preserve"> </w:t>
      </w:r>
    </w:p>
    <w:p w14:paraId="21807742" w14:textId="1A3E1A7C" w:rsidR="00397BBD" w:rsidRPr="002210F8" w:rsidRDefault="00397BBD" w:rsidP="00397BBD">
      <w:pPr>
        <w:rPr>
          <w:b/>
          <w:bCs/>
          <w:color w:val="000000" w:themeColor="text1"/>
          <w:szCs w:val="24"/>
        </w:rPr>
      </w:pPr>
      <w:r w:rsidRPr="00F55C79">
        <w:rPr>
          <w:b/>
          <w:bCs/>
          <w:color w:val="000000" w:themeColor="text1"/>
          <w:szCs w:val="24"/>
        </w:rPr>
        <w:t xml:space="preserve">Supplementary Figure </w:t>
      </w:r>
      <w:r w:rsidR="0082555E">
        <w:rPr>
          <w:b/>
          <w:bCs/>
          <w:color w:val="000000" w:themeColor="text1"/>
          <w:szCs w:val="24"/>
        </w:rPr>
        <w:t>S</w:t>
      </w:r>
      <w:r w:rsidR="002210F8">
        <w:rPr>
          <w:b/>
          <w:bCs/>
          <w:color w:val="000000" w:themeColor="text1"/>
          <w:szCs w:val="24"/>
        </w:rPr>
        <w:t>5</w:t>
      </w:r>
      <w:r w:rsidRPr="00F55C79">
        <w:rPr>
          <w:b/>
          <w:bCs/>
          <w:color w:val="000000" w:themeColor="text1"/>
          <w:szCs w:val="24"/>
        </w:rPr>
        <w:t>.</w:t>
      </w:r>
      <w:r w:rsidRPr="00F55C79">
        <w:rPr>
          <w:color w:val="000000" w:themeColor="text1"/>
          <w:szCs w:val="24"/>
        </w:rPr>
        <w:t xml:space="preserve"> Scree plot presenting the percentage of explained variances for dimensions 1 to 10.</w:t>
      </w:r>
    </w:p>
    <w:p w14:paraId="586BF06C" w14:textId="47BFB66C" w:rsidR="00397BBD" w:rsidRDefault="00397BBD">
      <w:pPr>
        <w:spacing w:before="0" w:after="200" w:line="276" w:lineRule="auto"/>
        <w:rPr>
          <w:szCs w:val="24"/>
        </w:rPr>
      </w:pPr>
      <w:r>
        <w:rPr>
          <w:szCs w:val="24"/>
        </w:rPr>
        <w:br w:type="page"/>
      </w:r>
    </w:p>
    <w:p w14:paraId="7D6EEE34" w14:textId="2ED6C2A5" w:rsidR="00397BBD" w:rsidRDefault="00397BBD" w:rsidP="00397BBD">
      <w:pPr>
        <w:pStyle w:val="Heading2"/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p w14:paraId="5C95D056" w14:textId="77777777" w:rsidR="00F817AF" w:rsidRDefault="00397BBD" w:rsidP="00397BBD">
      <w:r w:rsidRPr="00397BBD">
        <w:rPr>
          <w:b/>
          <w:bCs/>
        </w:rPr>
        <w:t>Supplementary Table S1.</w:t>
      </w:r>
      <w:r w:rsidRPr="00397BBD">
        <w:t xml:space="preserve"> Passport information for the quinoa accessions studied</w:t>
      </w:r>
      <w:r w:rsidR="00F817AF">
        <w:t>.</w:t>
      </w:r>
    </w:p>
    <w:p w14:paraId="5F46DE6F" w14:textId="55E4289D" w:rsidR="00513E75" w:rsidRPr="00C73ED8" w:rsidRDefault="00513E75" w:rsidP="00397BBD">
      <w:r w:rsidRPr="00F817AF">
        <w:rPr>
          <w:b/>
          <w:bCs/>
        </w:rPr>
        <w:t>Supplementary Table S</w:t>
      </w:r>
      <w:r>
        <w:rPr>
          <w:b/>
          <w:bCs/>
        </w:rPr>
        <w:t>2</w:t>
      </w:r>
      <w:r w:rsidRPr="00F817AF">
        <w:rPr>
          <w:b/>
          <w:bCs/>
        </w:rPr>
        <w:t>.</w:t>
      </w:r>
      <w:r w:rsidR="00623056" w:rsidRPr="00623056">
        <w:t xml:space="preserve"> Greenhouse management information, including application of biological and </w:t>
      </w:r>
      <w:proofErr w:type="spellStart"/>
      <w:r w:rsidR="00623056" w:rsidRPr="00623056">
        <w:t>chemnical</w:t>
      </w:r>
      <w:proofErr w:type="spellEnd"/>
      <w:r w:rsidR="00623056" w:rsidRPr="00623056">
        <w:t xml:space="preserve"> controls and date of application.</w:t>
      </w:r>
    </w:p>
    <w:p w14:paraId="6D2A7C55" w14:textId="630E95D6" w:rsidR="00F817AF" w:rsidRDefault="00F817AF" w:rsidP="00397BBD">
      <w:r w:rsidRPr="00F817AF">
        <w:rPr>
          <w:b/>
          <w:bCs/>
        </w:rPr>
        <w:t>Supplementary Table S</w:t>
      </w:r>
      <w:r w:rsidR="00513E75">
        <w:rPr>
          <w:b/>
          <w:bCs/>
        </w:rPr>
        <w:t>3</w:t>
      </w:r>
      <w:r w:rsidRPr="00F817AF">
        <w:rPr>
          <w:b/>
          <w:bCs/>
        </w:rPr>
        <w:t>.</w:t>
      </w:r>
      <w:r w:rsidRPr="00F817AF">
        <w:t xml:space="preserve"> Correlation matrix presenting Spearman correlation coefficients calculated using best linear unbiased estimates (BLUEs)</w:t>
      </w:r>
      <w:r>
        <w:t xml:space="preserve"> are provided on the second sheet of the workbook, titled ‘</w:t>
      </w:r>
      <w:r w:rsidRPr="00F817AF">
        <w:t>TableS</w:t>
      </w:r>
      <w:r w:rsidR="0032383C">
        <w:t>3</w:t>
      </w:r>
      <w:r w:rsidRPr="00F817AF">
        <w:t>_correlationMatrix</w:t>
      </w:r>
      <w:r>
        <w:t>’</w:t>
      </w:r>
      <w:r w:rsidRPr="00F817AF">
        <w:t xml:space="preserve">. </w:t>
      </w:r>
      <w:r>
        <w:t>Trait abbreviation on provided on the first sheet of the workbook, titled ‘</w:t>
      </w:r>
      <w:proofErr w:type="spellStart"/>
      <w:r>
        <w:t>metaData</w:t>
      </w:r>
      <w:proofErr w:type="spellEnd"/>
      <w:r>
        <w:t xml:space="preserve">’. </w:t>
      </w:r>
    </w:p>
    <w:p w14:paraId="53B7A4EF" w14:textId="7936BB18" w:rsidR="00C232E9" w:rsidRDefault="00C232E9" w:rsidP="00C232E9">
      <w:pPr>
        <w:rPr>
          <w:szCs w:val="24"/>
        </w:rPr>
      </w:pPr>
      <w:r w:rsidRPr="00271078">
        <w:rPr>
          <w:b/>
          <w:bCs/>
          <w:szCs w:val="24"/>
        </w:rPr>
        <w:t>Supplementary Table S</w:t>
      </w:r>
      <w:r w:rsidR="00513E75">
        <w:rPr>
          <w:b/>
          <w:bCs/>
          <w:szCs w:val="24"/>
        </w:rPr>
        <w:t>4</w:t>
      </w:r>
      <w:r w:rsidRPr="00271078">
        <w:rPr>
          <w:b/>
          <w:bCs/>
          <w:szCs w:val="24"/>
        </w:rPr>
        <w:t>.</w:t>
      </w:r>
      <w:r w:rsidRPr="00C232E9">
        <w:rPr>
          <w:szCs w:val="24"/>
        </w:rPr>
        <w:t xml:space="preserve"> Best linear unbiased estimates (BLUEs) provided for each accession, in addition to the collection and cluster identity according to all trait or three </w:t>
      </w:r>
      <w:proofErr w:type="gramStart"/>
      <w:r w:rsidRPr="00C232E9">
        <w:rPr>
          <w:szCs w:val="24"/>
        </w:rPr>
        <w:t>trait</w:t>
      </w:r>
      <w:proofErr w:type="gramEnd"/>
      <w:r w:rsidRPr="00C232E9">
        <w:rPr>
          <w:szCs w:val="24"/>
        </w:rPr>
        <w:t xml:space="preserve"> (yield, days to harvest, height at harvest</w:t>
      </w:r>
      <w:r w:rsidR="001C25D5">
        <w:rPr>
          <w:szCs w:val="24"/>
        </w:rPr>
        <w:t xml:space="preserve">). </w:t>
      </w:r>
      <w:r w:rsidRPr="00C232E9">
        <w:rPr>
          <w:szCs w:val="24"/>
        </w:rPr>
        <w:t>Rows are sorted by collection and then accession in alphabetical order.</w:t>
      </w:r>
      <w:r>
        <w:rPr>
          <w:szCs w:val="24"/>
        </w:rPr>
        <w:t xml:space="preserve"> Trait abbreviations are provided on sheet one, titled ‘</w:t>
      </w:r>
      <w:proofErr w:type="spellStart"/>
      <w:r>
        <w:rPr>
          <w:szCs w:val="24"/>
        </w:rPr>
        <w:t>metaData</w:t>
      </w:r>
      <w:proofErr w:type="spellEnd"/>
      <w:r>
        <w:rPr>
          <w:szCs w:val="24"/>
        </w:rPr>
        <w:t xml:space="preserve">’. </w:t>
      </w:r>
    </w:p>
    <w:p w14:paraId="7B65BC41" w14:textId="599AC19B" w:rsidR="00DE23E8" w:rsidRPr="00513E75" w:rsidRDefault="00271078" w:rsidP="00513E75">
      <w:pPr>
        <w:spacing w:before="0" w:after="0"/>
        <w:rPr>
          <w:rFonts w:eastAsia="Times New Roman" w:cs="Times New Roman"/>
          <w:color w:val="000000"/>
          <w:szCs w:val="24"/>
        </w:rPr>
      </w:pPr>
      <w:r w:rsidRPr="00271078">
        <w:rPr>
          <w:rFonts w:eastAsia="Times New Roman" w:cs="Times New Roman"/>
          <w:b/>
          <w:bCs/>
          <w:color w:val="000000"/>
          <w:szCs w:val="24"/>
        </w:rPr>
        <w:t>Supplementary Table S</w:t>
      </w:r>
      <w:r w:rsidR="00513E75">
        <w:rPr>
          <w:rFonts w:eastAsia="Times New Roman" w:cs="Times New Roman"/>
          <w:b/>
          <w:bCs/>
          <w:color w:val="000000"/>
          <w:szCs w:val="24"/>
        </w:rPr>
        <w:t>5</w:t>
      </w:r>
      <w:r w:rsidRPr="00271078">
        <w:rPr>
          <w:rFonts w:eastAsia="Times New Roman" w:cs="Times New Roman"/>
          <w:b/>
          <w:bCs/>
          <w:color w:val="000000"/>
          <w:szCs w:val="24"/>
        </w:rPr>
        <w:t>.</w:t>
      </w:r>
      <w:r w:rsidRPr="00271078">
        <w:rPr>
          <w:rFonts w:eastAsia="Times New Roman" w:cs="Times New Roman"/>
          <w:color w:val="000000"/>
          <w:szCs w:val="24"/>
        </w:rPr>
        <w:t xml:space="preserve"> Amino acid scores</w:t>
      </w:r>
      <w:r>
        <w:rPr>
          <w:rFonts w:eastAsia="Times New Roman" w:cs="Times New Roman"/>
          <w:color w:val="000000"/>
          <w:szCs w:val="24"/>
        </w:rPr>
        <w:t xml:space="preserve"> (AAS)</w:t>
      </w:r>
      <w:r w:rsidRPr="00271078">
        <w:rPr>
          <w:rFonts w:eastAsia="Times New Roman" w:cs="Times New Roman"/>
          <w:color w:val="000000"/>
          <w:szCs w:val="24"/>
        </w:rPr>
        <w:t xml:space="preserve"> provided for each accession</w:t>
      </w:r>
      <w:r>
        <w:rPr>
          <w:rFonts w:eastAsia="Times New Roman" w:cs="Times New Roman"/>
          <w:color w:val="000000"/>
          <w:szCs w:val="24"/>
        </w:rPr>
        <w:t xml:space="preserve">. AAS </w:t>
      </w:r>
      <w:r w:rsidRPr="00271078">
        <w:rPr>
          <w:rFonts w:eastAsia="Times New Roman" w:cs="Times New Roman"/>
          <w:color w:val="000000"/>
          <w:szCs w:val="24"/>
        </w:rPr>
        <w:t>calculated as best linear unbiased estimates</w:t>
      </w:r>
      <w:r>
        <w:rPr>
          <w:rFonts w:eastAsia="Times New Roman" w:cs="Times New Roman"/>
          <w:color w:val="000000"/>
          <w:szCs w:val="24"/>
        </w:rPr>
        <w:t xml:space="preserve"> (BLUEs)</w:t>
      </w:r>
      <w:r w:rsidRPr="00271078">
        <w:rPr>
          <w:rFonts w:eastAsia="Times New Roman" w:cs="Times New Roman"/>
          <w:color w:val="000000"/>
          <w:szCs w:val="24"/>
        </w:rPr>
        <w:t xml:space="preserve"> of essential amino acids (abbreviated using standard three letter codes)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271078">
        <w:rPr>
          <w:rFonts w:eastAsia="Times New Roman" w:cs="Times New Roman"/>
          <w:color w:val="000000"/>
          <w:szCs w:val="24"/>
        </w:rPr>
        <w:t>divided by infant or adult daily requirements.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271078">
        <w:rPr>
          <w:rFonts w:eastAsia="Times New Roman" w:cs="Times New Roman"/>
          <w:color w:val="000000"/>
          <w:szCs w:val="24"/>
        </w:rPr>
        <w:t xml:space="preserve">The amino acid with the lowest score is </w:t>
      </w:r>
      <w:r>
        <w:rPr>
          <w:rFonts w:eastAsia="Times New Roman" w:cs="Times New Roman"/>
          <w:color w:val="000000"/>
          <w:szCs w:val="24"/>
        </w:rPr>
        <w:t>listed</w:t>
      </w:r>
      <w:r w:rsidRPr="00271078">
        <w:rPr>
          <w:rFonts w:eastAsia="Times New Roman" w:cs="Times New Roman"/>
          <w:color w:val="000000"/>
          <w:szCs w:val="24"/>
        </w:rPr>
        <w:t xml:space="preserve"> (</w:t>
      </w:r>
      <w:proofErr w:type="spellStart"/>
      <w:r w:rsidRPr="00271078">
        <w:rPr>
          <w:rFonts w:eastAsia="Times New Roman" w:cs="Times New Roman"/>
          <w:color w:val="000000"/>
          <w:szCs w:val="24"/>
        </w:rPr>
        <w:t>Limiting_AA</w:t>
      </w:r>
      <w:proofErr w:type="spellEnd"/>
      <w:r w:rsidRPr="00271078">
        <w:rPr>
          <w:rFonts w:eastAsia="Times New Roman" w:cs="Times New Roman"/>
          <w:color w:val="000000"/>
          <w:szCs w:val="24"/>
        </w:rPr>
        <w:t>),</w:t>
      </w:r>
      <w:r>
        <w:rPr>
          <w:rFonts w:eastAsia="Times New Roman" w:cs="Times New Roman"/>
          <w:color w:val="000000"/>
          <w:szCs w:val="24"/>
        </w:rPr>
        <w:t xml:space="preserve"> as well as additional</w:t>
      </w:r>
      <w:r w:rsidRPr="00271078">
        <w:rPr>
          <w:rFonts w:eastAsia="Times New Roman" w:cs="Times New Roman"/>
          <w:color w:val="000000"/>
          <w:szCs w:val="24"/>
        </w:rPr>
        <w:t xml:space="preserve"> limiting amino acids</w:t>
      </w:r>
      <w:r>
        <w:rPr>
          <w:rFonts w:eastAsia="Times New Roman" w:cs="Times New Roman"/>
          <w:color w:val="000000"/>
          <w:szCs w:val="24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4"/>
        </w:rPr>
        <w:t>Limiting_AAs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), based on comparisons to both infant and adult requirements (FAO/WHO/UNU, 2007). </w:t>
      </w:r>
    </w:p>
    <w:sectPr w:rsidR="00DE23E8" w:rsidRPr="00513E7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29D0" w14:textId="77777777" w:rsidR="00D00905" w:rsidRDefault="00D00905" w:rsidP="00117666">
      <w:pPr>
        <w:spacing w:after="0"/>
      </w:pPr>
      <w:r>
        <w:separator/>
      </w:r>
    </w:p>
  </w:endnote>
  <w:endnote w:type="continuationSeparator" w:id="0">
    <w:p w14:paraId="2C841269" w14:textId="77777777" w:rsidR="00D00905" w:rsidRDefault="00D0090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2658" w14:textId="77777777" w:rsidR="00D00905" w:rsidRDefault="00D00905" w:rsidP="00117666">
      <w:pPr>
        <w:spacing w:after="0"/>
      </w:pPr>
      <w:r>
        <w:separator/>
      </w:r>
    </w:p>
  </w:footnote>
  <w:footnote w:type="continuationSeparator" w:id="0">
    <w:p w14:paraId="40AF5C9B" w14:textId="77777777" w:rsidR="00D00905" w:rsidRDefault="00D0090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74687006">
    <w:abstractNumId w:val="0"/>
  </w:num>
  <w:num w:numId="2" w16cid:durableId="139923983">
    <w:abstractNumId w:val="4"/>
  </w:num>
  <w:num w:numId="3" w16cid:durableId="815801638">
    <w:abstractNumId w:val="1"/>
  </w:num>
  <w:num w:numId="4" w16cid:durableId="364915345">
    <w:abstractNumId w:val="5"/>
  </w:num>
  <w:num w:numId="5" w16cid:durableId="36637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5247070">
    <w:abstractNumId w:val="3"/>
  </w:num>
  <w:num w:numId="7" w16cid:durableId="1314288561">
    <w:abstractNumId w:val="6"/>
  </w:num>
  <w:num w:numId="8" w16cid:durableId="694237868">
    <w:abstractNumId w:val="6"/>
  </w:num>
  <w:num w:numId="9" w16cid:durableId="1019770634">
    <w:abstractNumId w:val="6"/>
  </w:num>
  <w:num w:numId="10" w16cid:durableId="1569152365">
    <w:abstractNumId w:val="6"/>
  </w:num>
  <w:num w:numId="11" w16cid:durableId="173036746">
    <w:abstractNumId w:val="6"/>
  </w:num>
  <w:num w:numId="12" w16cid:durableId="1331564215">
    <w:abstractNumId w:val="6"/>
  </w:num>
  <w:num w:numId="13" w16cid:durableId="1794785527">
    <w:abstractNumId w:val="3"/>
  </w:num>
  <w:num w:numId="14" w16cid:durableId="1956867050">
    <w:abstractNumId w:val="2"/>
  </w:num>
  <w:num w:numId="15" w16cid:durableId="1275672409">
    <w:abstractNumId w:val="2"/>
  </w:num>
  <w:num w:numId="16" w16cid:durableId="1796872121">
    <w:abstractNumId w:val="2"/>
  </w:num>
  <w:num w:numId="17" w16cid:durableId="252864972">
    <w:abstractNumId w:val="2"/>
  </w:num>
  <w:num w:numId="18" w16cid:durableId="794786192">
    <w:abstractNumId w:val="2"/>
  </w:num>
  <w:num w:numId="19" w16cid:durableId="60839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2F57"/>
    <w:rsid w:val="00105FD9"/>
    <w:rsid w:val="00117666"/>
    <w:rsid w:val="001549D3"/>
    <w:rsid w:val="00160065"/>
    <w:rsid w:val="00177D84"/>
    <w:rsid w:val="001C25D5"/>
    <w:rsid w:val="002210F8"/>
    <w:rsid w:val="00252724"/>
    <w:rsid w:val="00267D18"/>
    <w:rsid w:val="00271078"/>
    <w:rsid w:val="00274347"/>
    <w:rsid w:val="002868E2"/>
    <w:rsid w:val="002869C3"/>
    <w:rsid w:val="002936E4"/>
    <w:rsid w:val="002B4A57"/>
    <w:rsid w:val="002C74CA"/>
    <w:rsid w:val="003123F4"/>
    <w:rsid w:val="0032383C"/>
    <w:rsid w:val="003544FB"/>
    <w:rsid w:val="00383205"/>
    <w:rsid w:val="00397BBD"/>
    <w:rsid w:val="003D2F2D"/>
    <w:rsid w:val="00401590"/>
    <w:rsid w:val="004265F6"/>
    <w:rsid w:val="00447801"/>
    <w:rsid w:val="00452E9C"/>
    <w:rsid w:val="004735C8"/>
    <w:rsid w:val="004947A6"/>
    <w:rsid w:val="004961FF"/>
    <w:rsid w:val="004C31BD"/>
    <w:rsid w:val="00513E75"/>
    <w:rsid w:val="00517A89"/>
    <w:rsid w:val="005250F2"/>
    <w:rsid w:val="0053561C"/>
    <w:rsid w:val="00593EEA"/>
    <w:rsid w:val="005A5EEE"/>
    <w:rsid w:val="00623056"/>
    <w:rsid w:val="006349B8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555E"/>
    <w:rsid w:val="0083759F"/>
    <w:rsid w:val="00885156"/>
    <w:rsid w:val="00914D6E"/>
    <w:rsid w:val="009151AA"/>
    <w:rsid w:val="0093429D"/>
    <w:rsid w:val="00943573"/>
    <w:rsid w:val="00964134"/>
    <w:rsid w:val="00970F7D"/>
    <w:rsid w:val="00994A3D"/>
    <w:rsid w:val="009C2B12"/>
    <w:rsid w:val="009D637E"/>
    <w:rsid w:val="00A069C6"/>
    <w:rsid w:val="00A174D9"/>
    <w:rsid w:val="00AA4D24"/>
    <w:rsid w:val="00AB6715"/>
    <w:rsid w:val="00AF0C62"/>
    <w:rsid w:val="00B1671E"/>
    <w:rsid w:val="00B25EB8"/>
    <w:rsid w:val="00B37F4D"/>
    <w:rsid w:val="00C232E9"/>
    <w:rsid w:val="00C40673"/>
    <w:rsid w:val="00C52A7B"/>
    <w:rsid w:val="00C56BAF"/>
    <w:rsid w:val="00C679AA"/>
    <w:rsid w:val="00C73ED8"/>
    <w:rsid w:val="00C75972"/>
    <w:rsid w:val="00CD066B"/>
    <w:rsid w:val="00CE3723"/>
    <w:rsid w:val="00CE4FEE"/>
    <w:rsid w:val="00D00905"/>
    <w:rsid w:val="00D060CF"/>
    <w:rsid w:val="00D06704"/>
    <w:rsid w:val="00D67D57"/>
    <w:rsid w:val="00D8227D"/>
    <w:rsid w:val="00DA4D3C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10DD"/>
    <w:rsid w:val="00F46900"/>
    <w:rsid w:val="00F61D89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4E22FE-57F7-6C44-A8C2-5137137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Evan Craine</cp:lastModifiedBy>
  <cp:revision>29</cp:revision>
  <cp:lastPrinted>2013-10-03T12:51:00Z</cp:lastPrinted>
  <dcterms:created xsi:type="dcterms:W3CDTF">2022-06-03T16:53:00Z</dcterms:created>
  <dcterms:modified xsi:type="dcterms:W3CDTF">2022-12-21T21:04:00Z</dcterms:modified>
</cp:coreProperties>
</file>