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CFE5" w14:textId="77777777" w:rsidR="00BE4548" w:rsidRDefault="007E2044">
      <w:pPr>
        <w:pStyle w:val="SupplementaryMaterial"/>
        <w:rPr>
          <w:b w:val="0"/>
        </w:rPr>
      </w:pPr>
      <w:r>
        <w:t xml:space="preserve">Supplementary Material for “The development and characterization of a stable Coxsackievirus A16 infectious clone with </w:t>
      </w:r>
      <w:proofErr w:type="spellStart"/>
      <w:r>
        <w:t>NanoLuc</w:t>
      </w:r>
      <w:proofErr w:type="spellEnd"/>
      <w:r>
        <w:t xml:space="preserve"> reporter gene”</w:t>
      </w:r>
    </w:p>
    <w:p w14:paraId="29BF5AE3" w14:textId="77777777" w:rsidR="00BE4548" w:rsidRDefault="007E2044">
      <w:pPr>
        <w:spacing w:before="240" w:after="0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Rui Yu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, Min Wang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Lizhen</w:t>
      </w:r>
      <w:proofErr w:type="spellEnd"/>
      <w:r>
        <w:rPr>
          <w:rFonts w:cs="Times New Roman"/>
          <w:b/>
          <w:szCs w:val="24"/>
        </w:rPr>
        <w:t xml:space="preserve"> Liu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, Jingjing Yan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, Jun Fan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Xiaohong</w:t>
      </w:r>
      <w:proofErr w:type="spellEnd"/>
      <w:r>
        <w:rPr>
          <w:rFonts w:cs="Times New Roman"/>
          <w:b/>
          <w:szCs w:val="24"/>
        </w:rPr>
        <w:t xml:space="preserve"> Li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Miaomiao</w:t>
      </w:r>
      <w:proofErr w:type="spellEnd"/>
      <w:r>
        <w:rPr>
          <w:rFonts w:cs="Times New Roman"/>
          <w:b/>
          <w:szCs w:val="24"/>
        </w:rPr>
        <w:t xml:space="preserve"> Kang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Jianqing</w:t>
      </w:r>
      <w:proofErr w:type="spellEnd"/>
      <w:r>
        <w:rPr>
          <w:rFonts w:cs="Times New Roman"/>
          <w:b/>
          <w:szCs w:val="24"/>
        </w:rPr>
        <w:t xml:space="preserve"> Xu</w:t>
      </w:r>
      <w:r>
        <w:rPr>
          <w:rFonts w:cs="Times New Roman"/>
          <w:b/>
          <w:szCs w:val="24"/>
          <w:vertAlign w:val="superscript"/>
        </w:rPr>
        <w:t>1*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Xiaoyan</w:t>
      </w:r>
      <w:proofErr w:type="spellEnd"/>
      <w:r>
        <w:rPr>
          <w:rFonts w:cs="Times New Roman"/>
          <w:b/>
          <w:szCs w:val="24"/>
        </w:rPr>
        <w:t xml:space="preserve"> Zhang</w:t>
      </w:r>
      <w:r>
        <w:rPr>
          <w:rFonts w:cs="Times New Roman"/>
          <w:b/>
          <w:szCs w:val="24"/>
          <w:vertAlign w:val="superscript"/>
        </w:rPr>
        <w:t>1*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Shuye</w:t>
      </w:r>
      <w:proofErr w:type="spellEnd"/>
      <w:r>
        <w:rPr>
          <w:rFonts w:cs="Times New Roman"/>
          <w:b/>
          <w:szCs w:val="24"/>
        </w:rPr>
        <w:t xml:space="preserve"> Zhang </w:t>
      </w:r>
      <w:r>
        <w:rPr>
          <w:rFonts w:cs="Times New Roman"/>
          <w:b/>
          <w:szCs w:val="24"/>
          <w:vertAlign w:val="superscript"/>
        </w:rPr>
        <w:t>2*</w:t>
      </w:r>
    </w:p>
    <w:p w14:paraId="2D0E7003" w14:textId="77777777" w:rsidR="00BE4548" w:rsidRDefault="00BE4548">
      <w:pPr>
        <w:spacing w:before="240" w:after="0"/>
        <w:rPr>
          <w:rFonts w:cs="Times New Roman"/>
          <w:b/>
          <w:szCs w:val="24"/>
          <w:vertAlign w:val="superscript"/>
        </w:rPr>
      </w:pPr>
    </w:p>
    <w:p w14:paraId="1DEBE9C0" w14:textId="77777777" w:rsidR="00BE4548" w:rsidRDefault="007E2044">
      <w:pPr>
        <w:spacing w:before="240" w:after="0"/>
        <w:jc w:val="center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1265A91" wp14:editId="276D2E8A">
            <wp:extent cx="3042920" cy="2745105"/>
            <wp:effectExtent l="0" t="0" r="508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225" cy="276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293D" w14:textId="77777777" w:rsidR="00BE4548" w:rsidRDefault="007E2044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Phylogenetic analysis of the CA16 strain (OP293089).</w:t>
      </w:r>
    </w:p>
    <w:p w14:paraId="2301F5BC" w14:textId="77777777" w:rsidR="00BE4548" w:rsidRDefault="00BE4548">
      <w:pPr>
        <w:spacing w:before="240" w:after="0"/>
        <w:jc w:val="center"/>
        <w:rPr>
          <w:rFonts w:cs="Times New Roman"/>
          <w:b/>
          <w:szCs w:val="24"/>
        </w:rPr>
      </w:pPr>
    </w:p>
    <w:p w14:paraId="1D3CE86B" w14:textId="77777777" w:rsidR="00BE4548" w:rsidRDefault="007E2044">
      <w:pPr>
        <w:pStyle w:val="AuthorList"/>
        <w:jc w:val="center"/>
      </w:pPr>
      <w:r>
        <w:rPr>
          <w:noProof/>
        </w:rPr>
        <w:drawing>
          <wp:inline distT="0" distB="0" distL="0" distR="0" wp14:anchorId="229F3103" wp14:editId="50280180">
            <wp:extent cx="4094480" cy="2057400"/>
            <wp:effectExtent l="0" t="0" r="127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3629" cy="206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1069" w14:textId="77777777" w:rsidR="00BE4548" w:rsidRDefault="007E2044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Hans"/>
        </w:rPr>
      </w:pPr>
      <w:r>
        <w:rPr>
          <w:rFonts w:cs="Times New Roman"/>
          <w:b/>
          <w:szCs w:val="24"/>
        </w:rPr>
        <w:t xml:space="preserve">Supplementary Figure 2. </w:t>
      </w:r>
      <w:r>
        <w:rPr>
          <w:rFonts w:eastAsia="DengXian" w:cs="Times New Roman"/>
          <w:kern w:val="2"/>
          <w:szCs w:val="24"/>
          <w:lang w:eastAsia="zh-Hans"/>
        </w:rPr>
        <w:t xml:space="preserve"> Paralysis in neonatal mice infected with the 10</w:t>
      </w:r>
      <w:r>
        <w:rPr>
          <w:rFonts w:eastAsia="DengXian" w:cs="Times New Roman"/>
          <w:kern w:val="2"/>
          <w:szCs w:val="24"/>
          <w:vertAlign w:val="superscript"/>
          <w:lang w:eastAsia="zh-Hans"/>
        </w:rPr>
        <w:t>5</w:t>
      </w:r>
      <w:r>
        <w:rPr>
          <w:rFonts w:eastAsia="DengXian" w:cs="Times New Roman"/>
          <w:kern w:val="2"/>
          <w:szCs w:val="24"/>
          <w:lang w:eastAsia="zh-Hans"/>
        </w:rPr>
        <w:t xml:space="preserve"> TCID</w:t>
      </w:r>
      <w:r>
        <w:rPr>
          <w:rFonts w:eastAsia="DengXian" w:cs="Times New Roman"/>
          <w:kern w:val="2"/>
          <w:szCs w:val="24"/>
          <w:vertAlign w:val="subscript"/>
          <w:lang w:eastAsia="zh-Hans"/>
        </w:rPr>
        <w:t>50</w:t>
      </w:r>
      <w:r>
        <w:rPr>
          <w:rFonts w:eastAsia="DengXian" w:cs="Times New Roman"/>
          <w:kern w:val="2"/>
          <w:szCs w:val="24"/>
          <w:lang w:eastAsia="zh-Hans"/>
        </w:rPr>
        <w:t xml:space="preserve"> pCA16 and rCA16 viruses 3 days afte</w:t>
      </w:r>
      <w:r>
        <w:rPr>
          <w:rFonts w:eastAsia="DengXian" w:cs="Times New Roman"/>
          <w:kern w:val="2"/>
          <w:szCs w:val="24"/>
          <w:lang w:eastAsia="zh-Hans"/>
        </w:rPr>
        <w:t>r infection, mice injected with an equal volume of PBS as the control group.</w:t>
      </w:r>
    </w:p>
    <w:p w14:paraId="3E5B672F" w14:textId="77777777" w:rsidR="00BE4548" w:rsidRDefault="00BE4548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Hans"/>
        </w:rPr>
      </w:pPr>
    </w:p>
    <w:p w14:paraId="53924426" w14:textId="77777777" w:rsidR="00BE4548" w:rsidRDefault="00BE4548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Hans"/>
        </w:rPr>
      </w:pPr>
    </w:p>
    <w:p w14:paraId="2D4D49FC" w14:textId="77777777" w:rsidR="00BE4548" w:rsidRDefault="007E2044">
      <w:pPr>
        <w:widowControl w:val="0"/>
        <w:spacing w:before="0" w:after="0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</w:rPr>
        <w:lastRenderedPageBreak/>
        <w:drawing>
          <wp:inline distT="0" distB="0" distL="0" distR="0" wp14:anchorId="29CE7B4B" wp14:editId="715CC662">
            <wp:extent cx="4244975" cy="2458085"/>
            <wp:effectExtent l="0" t="0" r="317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23" cy="2466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C1CC5" w14:textId="77777777" w:rsidR="00BE4548" w:rsidRDefault="007E2044">
      <w:pPr>
        <w:widowControl w:val="0"/>
        <w:spacing w:before="0" w:after="0"/>
        <w:jc w:val="both"/>
        <w:rPr>
          <w:rFonts w:cs="Times New Roman"/>
          <w:bCs/>
          <w:szCs w:val="24"/>
        </w:rPr>
      </w:pPr>
      <w:bookmarkStart w:id="0" w:name="_Hlk121510828"/>
      <w:r>
        <w:rPr>
          <w:rFonts w:cs="Times New Roman"/>
          <w:b/>
          <w:szCs w:val="24"/>
        </w:rPr>
        <w:t>Supplementary Figure 3.</w:t>
      </w:r>
      <w:bookmarkEnd w:id="0"/>
      <w:r>
        <w:rPr>
          <w:rFonts w:cs="Times New Roman"/>
          <w:bCs/>
          <w:szCs w:val="24"/>
        </w:rPr>
        <w:t xml:space="preserve">  </w:t>
      </w:r>
      <w:r>
        <w:rPr>
          <w:rFonts w:cs="Times New Roman"/>
          <w:bCs/>
          <w:szCs w:val="24"/>
          <w:lang w:eastAsia="zh-CN"/>
        </w:rPr>
        <w:t>One-week-old C57/B6 mice were infected with 10</w:t>
      </w:r>
      <w:r>
        <w:rPr>
          <w:rFonts w:cs="Times New Roman"/>
          <w:bCs/>
          <w:szCs w:val="24"/>
          <w:vertAlign w:val="superscript"/>
          <w:lang w:eastAsia="zh-CN"/>
        </w:rPr>
        <w:t>5</w:t>
      </w:r>
      <w:r>
        <w:rPr>
          <w:rFonts w:cs="Times New Roman"/>
          <w:bCs/>
          <w:szCs w:val="24"/>
          <w:lang w:eastAsia="zh-CN"/>
        </w:rPr>
        <w:t xml:space="preserve"> TCID</w:t>
      </w:r>
      <w:r>
        <w:rPr>
          <w:rFonts w:cs="Times New Roman"/>
          <w:bCs/>
          <w:szCs w:val="24"/>
          <w:vertAlign w:val="subscript"/>
          <w:lang w:eastAsia="zh-CN"/>
        </w:rPr>
        <w:t>50</w:t>
      </w:r>
      <w:r>
        <w:rPr>
          <w:rFonts w:cs="Times New Roman"/>
          <w:bCs/>
          <w:szCs w:val="24"/>
          <w:lang w:eastAsia="zh-CN"/>
        </w:rPr>
        <w:t xml:space="preserve"> rCA16-Nluc virus, and the </w:t>
      </w:r>
      <w:r>
        <w:rPr>
          <w:rFonts w:cs="Times New Roman" w:hint="eastAsia"/>
          <w:bCs/>
          <w:szCs w:val="24"/>
          <w:lang w:eastAsia="zh-CN"/>
        </w:rPr>
        <w:t xml:space="preserve">bioluminescence </w:t>
      </w:r>
      <w:r>
        <w:rPr>
          <w:rFonts w:cs="Times New Roman"/>
          <w:bCs/>
          <w:szCs w:val="24"/>
          <w:lang w:eastAsia="zh-CN"/>
        </w:rPr>
        <w:t>intensity was analyzed by</w:t>
      </w:r>
      <w:r>
        <w:rPr>
          <w:rFonts w:cs="Times New Roman"/>
          <w:bCs/>
          <w:i/>
          <w:iCs/>
          <w:szCs w:val="24"/>
          <w:lang w:eastAsia="zh-CN"/>
        </w:rPr>
        <w:t xml:space="preserve"> in vivo</w:t>
      </w:r>
      <w:r>
        <w:rPr>
          <w:rFonts w:cs="Times New Roman"/>
          <w:bCs/>
          <w:szCs w:val="24"/>
          <w:lang w:eastAsia="zh-CN"/>
        </w:rPr>
        <w:t xml:space="preserve"> imaging on the first, second and third days after infection. A significantly higher radiance was detected at 1 </w:t>
      </w:r>
      <w:proofErr w:type="spellStart"/>
      <w:r>
        <w:rPr>
          <w:rFonts w:cs="Times New Roman"/>
          <w:bCs/>
          <w:szCs w:val="24"/>
          <w:lang w:eastAsia="zh-CN"/>
        </w:rPr>
        <w:t>d.p.i</w:t>
      </w:r>
      <w:proofErr w:type="spellEnd"/>
      <w:r>
        <w:rPr>
          <w:rFonts w:cs="Times New Roman"/>
          <w:bCs/>
          <w:szCs w:val="24"/>
          <w:lang w:eastAsia="zh-CN"/>
        </w:rPr>
        <w:t>.</w:t>
      </w:r>
    </w:p>
    <w:p w14:paraId="16886B57" w14:textId="77777777" w:rsidR="00BE4548" w:rsidRDefault="00BE4548">
      <w:pPr>
        <w:widowControl w:val="0"/>
        <w:spacing w:before="0" w:after="0"/>
        <w:jc w:val="both"/>
        <w:rPr>
          <w:rFonts w:cs="Times New Roman"/>
          <w:bCs/>
          <w:szCs w:val="24"/>
        </w:rPr>
      </w:pPr>
    </w:p>
    <w:p w14:paraId="0A8A9DCF" w14:textId="77777777" w:rsidR="00BE4548" w:rsidRDefault="00BE4548">
      <w:pPr>
        <w:widowControl w:val="0"/>
        <w:spacing w:before="0" w:after="0"/>
        <w:jc w:val="both"/>
        <w:rPr>
          <w:rFonts w:cs="Times New Roman"/>
          <w:bCs/>
          <w:szCs w:val="24"/>
        </w:rPr>
      </w:pPr>
    </w:p>
    <w:p w14:paraId="02D4C055" w14:textId="77777777" w:rsidR="00BE4548" w:rsidRDefault="007E2044">
      <w:pPr>
        <w:widowControl w:val="0"/>
        <w:spacing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T</w:t>
      </w:r>
      <w:r>
        <w:rPr>
          <w:rFonts w:cs="Times New Roman" w:hint="eastAsia"/>
          <w:b/>
          <w:szCs w:val="24"/>
          <w:lang w:eastAsia="zh-CN"/>
        </w:rPr>
        <w:t>able</w:t>
      </w:r>
      <w:r>
        <w:rPr>
          <w:rFonts w:cs="Times New Roman"/>
          <w:b/>
          <w:szCs w:val="24"/>
        </w:rPr>
        <w:t xml:space="preserve"> 1</w:t>
      </w:r>
    </w:p>
    <w:p w14:paraId="36E31DD9" w14:textId="77777777" w:rsidR="00BE4548" w:rsidRDefault="007E2044">
      <w:pPr>
        <w:widowControl w:val="0"/>
        <w:spacing w:before="0" w:after="0"/>
        <w:rPr>
          <w:rFonts w:cs="Times New Roman"/>
          <w:szCs w:val="28"/>
          <w:lang w:eastAsia="zh-CN"/>
        </w:rPr>
      </w:pPr>
      <w:r>
        <w:rPr>
          <w:rFonts w:cs="Times New Roman"/>
          <w:szCs w:val="28"/>
        </w:rPr>
        <w:t xml:space="preserve">The PCR parameters of </w:t>
      </w:r>
      <w:proofErr w:type="spellStart"/>
      <w:r>
        <w:rPr>
          <w:rFonts w:cs="Times New Roman"/>
          <w:szCs w:val="28"/>
        </w:rPr>
        <w:t>Nluc</w:t>
      </w:r>
      <w:proofErr w:type="spellEnd"/>
      <w:r>
        <w:rPr>
          <w:rFonts w:cs="Times New Roman"/>
          <w:szCs w:val="28"/>
        </w:rPr>
        <w:t xml:space="preserve"> gene</w:t>
      </w:r>
      <w:r>
        <w:rPr>
          <w:rFonts w:cs="Times New Roman" w:hint="eastAsia"/>
          <w:szCs w:val="28"/>
          <w:lang w:eastAsia="zh-CN"/>
        </w:rPr>
        <w:t>.</w:t>
      </w:r>
    </w:p>
    <w:p w14:paraId="41FCE4AD" w14:textId="77777777" w:rsidR="00BE4548" w:rsidRDefault="007E2044">
      <w:pPr>
        <w:widowControl w:val="0"/>
        <w:spacing w:before="0"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</w:rPr>
        <w:drawing>
          <wp:inline distT="0" distB="0" distL="0" distR="0" wp14:anchorId="0F338B26" wp14:editId="476DF9DC">
            <wp:extent cx="3065145" cy="1448435"/>
            <wp:effectExtent l="0" t="0" r="1905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775" cy="1468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D9F56" w14:textId="77777777" w:rsidR="00BE4548" w:rsidRDefault="00BE4548">
      <w:pPr>
        <w:widowControl w:val="0"/>
        <w:spacing w:before="0" w:after="0"/>
        <w:jc w:val="both"/>
        <w:rPr>
          <w:rFonts w:cs="Times New Roman"/>
          <w:bCs/>
          <w:szCs w:val="24"/>
        </w:rPr>
      </w:pPr>
    </w:p>
    <w:p w14:paraId="5A365B97" w14:textId="77777777" w:rsidR="00BE4548" w:rsidRDefault="007E2044">
      <w:pPr>
        <w:widowControl w:val="0"/>
        <w:spacing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T</w:t>
      </w:r>
      <w:r>
        <w:rPr>
          <w:rFonts w:cs="Times New Roman" w:hint="eastAsia"/>
          <w:b/>
          <w:szCs w:val="24"/>
        </w:rPr>
        <w:t>able</w:t>
      </w:r>
      <w:r>
        <w:rPr>
          <w:rFonts w:cs="Times New Roman"/>
          <w:b/>
          <w:szCs w:val="24"/>
        </w:rPr>
        <w:t xml:space="preserve"> 2</w:t>
      </w:r>
    </w:p>
    <w:p w14:paraId="72649648" w14:textId="77777777" w:rsidR="00BE4548" w:rsidRDefault="007E2044">
      <w:pPr>
        <w:widowControl w:val="0"/>
        <w:spacing w:before="0"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The primers for </w:t>
      </w:r>
      <w:proofErr w:type="spellStart"/>
      <w:r>
        <w:rPr>
          <w:rFonts w:cs="Times New Roman"/>
          <w:bCs/>
          <w:szCs w:val="24"/>
        </w:rPr>
        <w:t>Nluc</w:t>
      </w:r>
      <w:proofErr w:type="spellEnd"/>
      <w:r>
        <w:rPr>
          <w:rFonts w:cs="Times New Roman"/>
          <w:bCs/>
          <w:szCs w:val="24"/>
        </w:rPr>
        <w:t xml:space="preserve"> PCR and sequencing.</w:t>
      </w:r>
    </w:p>
    <w:p w14:paraId="17E62D9D" w14:textId="77777777" w:rsidR="00BE4548" w:rsidRDefault="007E2044">
      <w:pPr>
        <w:widowControl w:val="0"/>
        <w:spacing w:before="0" w:after="0"/>
        <w:rPr>
          <w:rFonts w:cs="Times New Roman"/>
          <w:bCs/>
          <w:szCs w:val="24"/>
        </w:rPr>
      </w:pPr>
      <w:r>
        <w:rPr>
          <w:rFonts w:cs="Times New Roman"/>
          <w:noProof/>
          <w:sz w:val="28"/>
          <w:szCs w:val="32"/>
        </w:rPr>
        <w:drawing>
          <wp:inline distT="0" distB="0" distL="0" distR="0" wp14:anchorId="61174A95" wp14:editId="559511EA">
            <wp:extent cx="3076575" cy="1424305"/>
            <wp:effectExtent l="0" t="0" r="0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0450" cy="145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09169" w14:textId="77777777" w:rsidR="00BE4548" w:rsidRDefault="00BE4548">
      <w:pPr>
        <w:widowControl w:val="0"/>
        <w:spacing w:before="0" w:after="0"/>
        <w:jc w:val="both"/>
        <w:rPr>
          <w:rFonts w:cs="Times New Roman"/>
          <w:bCs/>
          <w:szCs w:val="24"/>
        </w:rPr>
      </w:pPr>
    </w:p>
    <w:p w14:paraId="1D875DE3" w14:textId="77777777" w:rsidR="00BE4548" w:rsidRDefault="00BE4548">
      <w:pPr>
        <w:widowControl w:val="0"/>
        <w:spacing w:before="0" w:after="0"/>
        <w:jc w:val="both"/>
        <w:rPr>
          <w:rFonts w:cs="Times New Roman"/>
          <w:bCs/>
          <w:szCs w:val="24"/>
        </w:rPr>
      </w:pPr>
    </w:p>
    <w:p w14:paraId="6D2980F0" w14:textId="77777777" w:rsidR="00BE4548" w:rsidRDefault="007E2044">
      <w:pPr>
        <w:widowControl w:val="0"/>
        <w:spacing w:before="0"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Table 3</w:t>
      </w:r>
    </w:p>
    <w:p w14:paraId="6C446F38" w14:textId="77777777" w:rsidR="00BE4548" w:rsidRDefault="007E2044">
      <w:pPr>
        <w:widowControl w:val="0"/>
        <w:spacing w:before="0"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The primers for constructing the two infectious clones. We used the seamless cloning strategy (</w:t>
      </w:r>
      <w:proofErr w:type="spellStart"/>
      <w:r>
        <w:rPr>
          <w:rFonts w:cs="Times New Roman"/>
          <w:bCs/>
          <w:szCs w:val="24"/>
        </w:rPr>
        <w:t>Hieff</w:t>
      </w:r>
      <w:proofErr w:type="spellEnd"/>
      <w:r>
        <w:rPr>
          <w:rFonts w:cs="Times New Roman"/>
          <w:bCs/>
          <w:szCs w:val="24"/>
        </w:rPr>
        <w:t xml:space="preserve"> Clone® Plus One Step Cloning Kit, https://www.yeasen.com/products/detail/818, based on homologous recombination principle) to constru</w:t>
      </w:r>
      <w:r>
        <w:rPr>
          <w:rFonts w:cs="Times New Roman"/>
          <w:bCs/>
          <w:szCs w:val="24"/>
        </w:rPr>
        <w:t xml:space="preserve">ct the infectious clones. For constructing the CA16 infectious clone: firstly, the primers (P1-F, P1-R; </w:t>
      </w:r>
      <w:proofErr w:type="spellStart"/>
      <w:r>
        <w:rPr>
          <w:rFonts w:cs="Times New Roman"/>
          <w:bCs/>
          <w:szCs w:val="24"/>
        </w:rPr>
        <w:t>pcDNA</w:t>
      </w:r>
      <w:proofErr w:type="spellEnd"/>
      <w:r>
        <w:rPr>
          <w:rFonts w:cs="Times New Roman"/>
          <w:bCs/>
          <w:szCs w:val="24"/>
        </w:rPr>
        <w:t xml:space="preserve">-F, </w:t>
      </w:r>
      <w:proofErr w:type="spellStart"/>
      <w:r>
        <w:rPr>
          <w:rFonts w:cs="Times New Roman"/>
          <w:bCs/>
          <w:szCs w:val="24"/>
        </w:rPr>
        <w:t>pcDNA</w:t>
      </w:r>
      <w:proofErr w:type="spellEnd"/>
      <w:r>
        <w:rPr>
          <w:rFonts w:cs="Times New Roman"/>
          <w:bCs/>
          <w:szCs w:val="24"/>
        </w:rPr>
        <w:t xml:space="preserve">-R) were used to amplify the P1 </w:t>
      </w:r>
      <w:r>
        <w:rPr>
          <w:rFonts w:cs="Times New Roman"/>
          <w:bCs/>
          <w:szCs w:val="24"/>
        </w:rPr>
        <w:lastRenderedPageBreak/>
        <w:t xml:space="preserve">fragment and </w:t>
      </w:r>
      <w:proofErr w:type="spellStart"/>
      <w:r>
        <w:rPr>
          <w:rFonts w:cs="Times New Roman"/>
          <w:bCs/>
          <w:szCs w:val="24"/>
        </w:rPr>
        <w:t>pcDNA</w:t>
      </w:r>
      <w:proofErr w:type="spellEnd"/>
      <w:r>
        <w:rPr>
          <w:rFonts w:cs="Times New Roman"/>
          <w:bCs/>
          <w:szCs w:val="24"/>
        </w:rPr>
        <w:t xml:space="preserve"> vector for constructing of pcDNA-P1; the primers (P2-F, P2-R; P3-F, P3-R; pUC57-F, pUC5</w:t>
      </w:r>
      <w:r>
        <w:rPr>
          <w:rFonts w:cs="Times New Roman"/>
          <w:bCs/>
          <w:szCs w:val="24"/>
        </w:rPr>
        <w:t xml:space="preserve">7-R) were used to amplify the P2 fragment, P3 fragment and pUC57 vector for constructing of pUC57-P2+P3. Then the primers (P1-full-F, P1-full-R; P2+P3-full-F, P2+P3-full-R; </w:t>
      </w:r>
      <w:proofErr w:type="spellStart"/>
      <w:r>
        <w:rPr>
          <w:rFonts w:cs="Times New Roman"/>
          <w:bCs/>
          <w:szCs w:val="24"/>
        </w:rPr>
        <w:t>pSVA</w:t>
      </w:r>
      <w:proofErr w:type="spellEnd"/>
      <w:r>
        <w:rPr>
          <w:rFonts w:cs="Times New Roman"/>
          <w:bCs/>
          <w:szCs w:val="24"/>
        </w:rPr>
        <w:t xml:space="preserve">-F, </w:t>
      </w:r>
      <w:proofErr w:type="spellStart"/>
      <w:r>
        <w:rPr>
          <w:rFonts w:cs="Times New Roman"/>
          <w:bCs/>
          <w:szCs w:val="24"/>
        </w:rPr>
        <w:t>pSVA</w:t>
      </w:r>
      <w:proofErr w:type="spellEnd"/>
      <w:r>
        <w:rPr>
          <w:rFonts w:cs="Times New Roman"/>
          <w:bCs/>
          <w:szCs w:val="24"/>
        </w:rPr>
        <w:t xml:space="preserve">-F) were used to amplify the P1 fragment, P2+P3 fragment and </w:t>
      </w:r>
      <w:proofErr w:type="spellStart"/>
      <w:r>
        <w:rPr>
          <w:rFonts w:cs="Times New Roman"/>
          <w:bCs/>
          <w:szCs w:val="24"/>
        </w:rPr>
        <w:t>pSVA</w:t>
      </w:r>
      <w:proofErr w:type="spellEnd"/>
      <w:r>
        <w:rPr>
          <w:rFonts w:cs="Times New Roman"/>
          <w:bCs/>
          <w:szCs w:val="24"/>
        </w:rPr>
        <w:t xml:space="preserve"> vecto</w:t>
      </w:r>
      <w:r>
        <w:rPr>
          <w:rFonts w:cs="Times New Roman"/>
          <w:bCs/>
          <w:szCs w:val="24"/>
        </w:rPr>
        <w:t xml:space="preserve">r for constructing of pSVA-CA16 infectious clone. </w:t>
      </w:r>
    </w:p>
    <w:p w14:paraId="186BB740" w14:textId="77777777" w:rsidR="00BE4548" w:rsidRDefault="007E2044">
      <w:pPr>
        <w:widowControl w:val="0"/>
        <w:spacing w:before="0"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The CA16-Nluc infectious clone was constructed by adding </w:t>
      </w:r>
      <w:proofErr w:type="spellStart"/>
      <w:r>
        <w:rPr>
          <w:rFonts w:cs="Times New Roman"/>
          <w:bCs/>
          <w:szCs w:val="24"/>
        </w:rPr>
        <w:t>Nluc</w:t>
      </w:r>
      <w:proofErr w:type="spellEnd"/>
      <w:r>
        <w:rPr>
          <w:rFonts w:cs="Times New Roman"/>
          <w:bCs/>
          <w:szCs w:val="24"/>
        </w:rPr>
        <w:t xml:space="preserve"> gene to the CA16 infectious clone, the primers (CA16-Nluc-F, CA16-Nluc-R) were used to amplify the </w:t>
      </w:r>
      <w:proofErr w:type="spellStart"/>
      <w:r>
        <w:rPr>
          <w:rFonts w:cs="Times New Roman"/>
          <w:bCs/>
          <w:szCs w:val="24"/>
        </w:rPr>
        <w:t>Nluc</w:t>
      </w:r>
      <w:proofErr w:type="spellEnd"/>
      <w:r>
        <w:rPr>
          <w:rFonts w:cs="Times New Roman"/>
          <w:bCs/>
          <w:szCs w:val="24"/>
        </w:rPr>
        <w:t xml:space="preserve"> gene, and the primers (CA16-F, CA16-R) </w:t>
      </w:r>
      <w:r>
        <w:rPr>
          <w:rFonts w:cs="Times New Roman"/>
          <w:bCs/>
          <w:szCs w:val="24"/>
        </w:rPr>
        <w:t>were used to amplify the CA16 infectious clone, and the CA16-Nluc infectious clone was constructed by recombination of the two fragments.</w:t>
      </w:r>
    </w:p>
    <w:p w14:paraId="7761C81F" w14:textId="77777777" w:rsidR="00BE4548" w:rsidRDefault="00BE4548">
      <w:pPr>
        <w:widowControl w:val="0"/>
        <w:spacing w:before="0" w:after="0"/>
        <w:rPr>
          <w:rFonts w:cs="Times New Roman"/>
          <w:bCs/>
          <w:szCs w:val="24"/>
        </w:rPr>
      </w:pPr>
    </w:p>
    <w:p w14:paraId="7D473E1A" w14:textId="77777777" w:rsidR="00BE4548" w:rsidRDefault="007E2044">
      <w:pPr>
        <w:widowControl w:val="0"/>
        <w:spacing w:before="0"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</w:rPr>
        <w:drawing>
          <wp:inline distT="0" distB="0" distL="0" distR="0" wp14:anchorId="52DD2B67" wp14:editId="09D6EFC1">
            <wp:extent cx="7279005" cy="4042410"/>
            <wp:effectExtent l="0" t="0" r="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513" cy="40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4548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94C0" w14:textId="77777777" w:rsidR="00E25273" w:rsidRDefault="00E25273">
      <w:r>
        <w:separator/>
      </w:r>
    </w:p>
  </w:endnote>
  <w:endnote w:type="continuationSeparator" w:id="0">
    <w:p w14:paraId="7F5D2520" w14:textId="77777777" w:rsidR="00E25273" w:rsidRDefault="00E2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58A8" w14:textId="77777777" w:rsidR="00BE4548" w:rsidRDefault="007E2044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6F2FB" wp14:editId="1654617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33C100" w14:textId="77777777" w:rsidR="00BE4548" w:rsidRDefault="007E204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:rsidR="00BE4548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947B" w14:textId="77777777" w:rsidR="00BE4548" w:rsidRDefault="007E2044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C3413" wp14:editId="40D6A3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2B0A6F" w14:textId="77777777" w:rsidR="00BE4548" w:rsidRDefault="007E204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:rsidR="00BE4548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70B8" w14:textId="77777777" w:rsidR="00E25273" w:rsidRDefault="00E25273">
      <w:pPr>
        <w:spacing w:before="0" w:after="0"/>
      </w:pPr>
      <w:r>
        <w:separator/>
      </w:r>
    </w:p>
  </w:footnote>
  <w:footnote w:type="continuationSeparator" w:id="0">
    <w:p w14:paraId="3D08A92B" w14:textId="77777777" w:rsidR="00E25273" w:rsidRDefault="00E252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CC84" w14:textId="77777777" w:rsidR="00BE4548" w:rsidRDefault="007E2044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083E" w14:textId="77777777" w:rsidR="00BE4548" w:rsidRDefault="007E2044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55BB1F0" wp14:editId="29C5FAD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08"/>
        </w:tabs>
        <w:ind w:left="708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096995">
    <w:abstractNumId w:val="0"/>
  </w:num>
  <w:num w:numId="2" w16cid:durableId="63013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AFF7AD0B"/>
    <w:rsid w:val="0001436A"/>
    <w:rsid w:val="00034304"/>
    <w:rsid w:val="00035434"/>
    <w:rsid w:val="00052A14"/>
    <w:rsid w:val="00077D53"/>
    <w:rsid w:val="001005ED"/>
    <w:rsid w:val="00105FD9"/>
    <w:rsid w:val="00117666"/>
    <w:rsid w:val="001549D3"/>
    <w:rsid w:val="00160065"/>
    <w:rsid w:val="00177D84"/>
    <w:rsid w:val="00207BE2"/>
    <w:rsid w:val="002269A1"/>
    <w:rsid w:val="002601C7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72BAB"/>
    <w:rsid w:val="003C6BAD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57BD"/>
    <w:rsid w:val="00790BB3"/>
    <w:rsid w:val="007C206C"/>
    <w:rsid w:val="007D3B8B"/>
    <w:rsid w:val="007E2044"/>
    <w:rsid w:val="00817DD6"/>
    <w:rsid w:val="0083759F"/>
    <w:rsid w:val="00885156"/>
    <w:rsid w:val="008C2678"/>
    <w:rsid w:val="009151AA"/>
    <w:rsid w:val="0093429D"/>
    <w:rsid w:val="00943573"/>
    <w:rsid w:val="00964134"/>
    <w:rsid w:val="00970F7D"/>
    <w:rsid w:val="00994A3D"/>
    <w:rsid w:val="009C2B12"/>
    <w:rsid w:val="00A174D9"/>
    <w:rsid w:val="00A437ED"/>
    <w:rsid w:val="00AA4D24"/>
    <w:rsid w:val="00AB6715"/>
    <w:rsid w:val="00B12797"/>
    <w:rsid w:val="00B1671E"/>
    <w:rsid w:val="00B25EB8"/>
    <w:rsid w:val="00B37F4D"/>
    <w:rsid w:val="00BE4548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134C"/>
    <w:rsid w:val="00DE23E8"/>
    <w:rsid w:val="00E25273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78A6"/>
    <w:rsid w:val="1B95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5D6B"/>
  <w15:docId w15:val="{B1032C0A-B169-412C-861D-4A53AFB0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ind w:left="567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C2678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Palmira Seixas</cp:lastModifiedBy>
  <cp:revision>2</cp:revision>
  <cp:lastPrinted>2013-10-04T04:51:00Z</cp:lastPrinted>
  <dcterms:created xsi:type="dcterms:W3CDTF">2022-12-26T10:33:00Z</dcterms:created>
  <dcterms:modified xsi:type="dcterms:W3CDTF">2022-12-26T10:33:00Z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B7551D390CE25E0450309B6363422684</vt:lpwstr>
  </property>
</Properties>
</file>