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C3F8" w14:textId="6242432A" w:rsidR="00B77B9B" w:rsidRPr="00F46DA2" w:rsidRDefault="00B77B9B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Materials</w:t>
      </w:r>
    </w:p>
    <w:p w14:paraId="0379A6EA" w14:textId="24FAB9CA" w:rsidR="0014445B" w:rsidRPr="00F46DA2" w:rsidRDefault="0014445B" w:rsidP="001444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Impact of different treatments on humoral and T-cell response</w:t>
      </w: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(Figure 3)</w:t>
      </w:r>
    </w:p>
    <w:p w14:paraId="0A1D6824" w14:textId="29B71B84" w:rsidR="0014445B" w:rsidRPr="00F46DA2" w:rsidRDefault="0014445B" w:rsidP="001444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The medians and interquartile ranges (IQR) of humoral (Anti-RBD) and T cells response in 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patients with </w:t>
      </w:r>
      <w:proofErr w:type="spellStart"/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hematological</w:t>
      </w:r>
      <w:proofErr w:type="spellEnd"/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malignancies (HM)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immune-rheumatological diseases (I</w:t>
      </w:r>
      <w:r w:rsidR="00F7220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23DAE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solid </w:t>
      </w:r>
      <w:proofErr w:type="spellStart"/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>tumors</w:t>
      </w:r>
      <w:proofErr w:type="spellEnd"/>
      <w:r w:rsidR="00F15E18"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(ST) </w:t>
      </w:r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before and after the fourth dose of mRNA vaccine are detailed in the Tables below. Enrolled patients were divided </w:t>
      </w:r>
      <w:proofErr w:type="gramStart"/>
      <w:r w:rsidRPr="00F46DA2">
        <w:rPr>
          <w:rFonts w:ascii="Times New Roman" w:hAnsi="Times New Roman" w:cs="Times New Roman"/>
          <w:sz w:val="24"/>
          <w:szCs w:val="24"/>
          <w:lang w:val="en-GB"/>
        </w:rPr>
        <w:t>on the basis of</w:t>
      </w:r>
      <w:proofErr w:type="gramEnd"/>
      <w:r w:rsidRPr="00F46DA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F46DA2">
        <w:rPr>
          <w:rFonts w:ascii="Times New Roman" w:hAnsi="Times New Roman" w:cs="Times New Roman"/>
          <w:sz w:val="24"/>
          <w:szCs w:val="24"/>
          <w:lang w:val="en-GB"/>
        </w:rPr>
        <w:t xml:space="preserve">treatment. RTX: Rituximab; HSCT: Hematopoietic stem cell transplantation; </w:t>
      </w:r>
      <w:proofErr w:type="spellStart"/>
      <w:r w:rsidR="00F46DA2">
        <w:rPr>
          <w:rFonts w:ascii="Times New Roman" w:hAnsi="Times New Roman" w:cs="Times New Roman"/>
          <w:sz w:val="24"/>
          <w:szCs w:val="24"/>
          <w:lang w:val="en-GB"/>
        </w:rPr>
        <w:t>ChTX</w:t>
      </w:r>
      <w:proofErr w:type="spellEnd"/>
      <w:r w:rsidR="00F46DA2">
        <w:rPr>
          <w:rFonts w:ascii="Times New Roman" w:hAnsi="Times New Roman" w:cs="Times New Roman"/>
          <w:sz w:val="24"/>
          <w:szCs w:val="24"/>
          <w:lang w:val="en-GB"/>
        </w:rPr>
        <w:t xml:space="preserve">: Chemotherapy; JAK: Jak inhibitors; </w:t>
      </w:r>
      <w:proofErr w:type="spellStart"/>
      <w:r w:rsidR="00F46DA2">
        <w:rPr>
          <w:rFonts w:ascii="Times New Roman" w:hAnsi="Times New Roman" w:cs="Times New Roman"/>
          <w:sz w:val="24"/>
          <w:szCs w:val="24"/>
          <w:lang w:val="en-GB"/>
        </w:rPr>
        <w:t>ImmTX</w:t>
      </w:r>
      <w:proofErr w:type="spellEnd"/>
      <w:r w:rsidR="00F46DA2">
        <w:rPr>
          <w:rFonts w:ascii="Times New Roman" w:hAnsi="Times New Roman" w:cs="Times New Roman"/>
          <w:sz w:val="24"/>
          <w:szCs w:val="24"/>
          <w:lang w:val="en-GB"/>
        </w:rPr>
        <w:t xml:space="preserve">: Immunotherapy; </w:t>
      </w:r>
      <w:proofErr w:type="spellStart"/>
      <w:r w:rsidR="00F46DA2">
        <w:rPr>
          <w:rFonts w:ascii="Times New Roman" w:hAnsi="Times New Roman" w:cs="Times New Roman"/>
          <w:sz w:val="24"/>
          <w:szCs w:val="24"/>
          <w:lang w:val="en-GB"/>
        </w:rPr>
        <w:t>TarTX</w:t>
      </w:r>
      <w:proofErr w:type="spellEnd"/>
      <w:r w:rsidR="00F46DA2">
        <w:rPr>
          <w:rFonts w:ascii="Times New Roman" w:hAnsi="Times New Roman" w:cs="Times New Roman"/>
          <w:sz w:val="24"/>
          <w:szCs w:val="24"/>
          <w:lang w:val="en-GB"/>
        </w:rPr>
        <w:t xml:space="preserve">: Target Therapy. </w:t>
      </w:r>
    </w:p>
    <w:p w14:paraId="759580C3" w14:textId="77777777" w:rsidR="0014445B" w:rsidRPr="00F46DA2" w:rsidRDefault="0014445B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137F42" w14:textId="41093FE2" w:rsidR="00957753" w:rsidRPr="00F46DA2" w:rsidRDefault="00F46DA2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A: </w:t>
      </w:r>
      <w:r w:rsidR="00F94B0D" w:rsidRPr="00F46DA2">
        <w:rPr>
          <w:rFonts w:ascii="Times New Roman" w:hAnsi="Times New Roman" w:cs="Times New Roman"/>
          <w:b/>
          <w:bCs/>
          <w:sz w:val="24"/>
          <w:szCs w:val="24"/>
          <w:lang w:val="en-GB"/>
        </w:rPr>
        <w:t>HM patients</w:t>
      </w:r>
    </w:p>
    <w:tbl>
      <w:tblPr>
        <w:tblStyle w:val="TableGrid"/>
        <w:tblW w:w="1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281"/>
        <w:gridCol w:w="1055"/>
        <w:gridCol w:w="1134"/>
        <w:gridCol w:w="1237"/>
        <w:gridCol w:w="1276"/>
        <w:gridCol w:w="1134"/>
        <w:gridCol w:w="1275"/>
        <w:gridCol w:w="1158"/>
        <w:gridCol w:w="1252"/>
      </w:tblGrid>
      <w:tr w:rsidR="00677ACE" w:rsidRPr="00F46DA2" w14:paraId="01FB76E0" w14:textId="4F7A15B2" w:rsidTr="00F46DA2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11C8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1F4" w14:textId="2528DC51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</w:p>
          <w:p w14:paraId="36980A2A" w14:textId="36CE5893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CAA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RTX</w:t>
            </w:r>
          </w:p>
          <w:p w14:paraId="4CE1C6FA" w14:textId="08BCB5E8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55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HSCT</w:t>
            </w:r>
          </w:p>
          <w:p w14:paraId="3394F680" w14:textId="4F39D08A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A8C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ChTX</w:t>
            </w:r>
          </w:p>
          <w:p w14:paraId="418FBA51" w14:textId="1B33996F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98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</w:t>
            </w:r>
          </w:p>
          <w:p w14:paraId="199F1C0B" w14:textId="5956CED0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</w:tr>
      <w:tr w:rsidR="00677ACE" w:rsidRPr="00F46DA2" w14:paraId="79C89969" w14:textId="08038553" w:rsidTr="00F46DA2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9EA68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28985" w14:textId="0E5EAFE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92E" w14:textId="3CC302AE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118E8" w14:textId="679445F9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7E77" w14:textId="3E4D5B9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57C42" w14:textId="403A4F0A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4EC8" w14:textId="17F7153E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1768F" w14:textId="20C2C4DC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31B" w14:textId="6B070289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B9890" w14:textId="62C091C2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4E4" w14:textId="10A4990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740894" w:rsidRPr="00F46DA2" w14:paraId="0BFAA682" w14:textId="4FDCDA19" w:rsidTr="00F46DA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E44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Anti-RBD</w:t>
            </w:r>
          </w:p>
          <w:p w14:paraId="168B036B" w14:textId="06AAE0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(BAU/mL)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8156E" w14:textId="39AFB14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247.8</w:t>
            </w:r>
          </w:p>
          <w:p w14:paraId="6E0ED3A5" w14:textId="38646EB6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(5.2-1357)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0C6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1624.0</w:t>
            </w:r>
          </w:p>
          <w:p w14:paraId="590315BF" w14:textId="46F38DF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(10.7-7269)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C279F" w14:textId="01CAB80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  <w:p w14:paraId="49DA4E7C" w14:textId="4A0E2086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(0.5-18.0)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03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3.8</w:t>
            </w:r>
          </w:p>
          <w:p w14:paraId="00BD7E7D" w14:textId="15BE230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(0.2-33.6)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D9E2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1590</w:t>
            </w:r>
          </w:p>
          <w:p w14:paraId="5701DA77" w14:textId="46DC8AD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(894.1-3976)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C0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8990</w:t>
            </w:r>
          </w:p>
          <w:p w14:paraId="672A587F" w14:textId="01028D2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(5457-11360)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9FA9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247.6</w:t>
            </w:r>
          </w:p>
          <w:p w14:paraId="3E78CEB6" w14:textId="7CAEEB0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(14.8-725.5)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2D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1219</w:t>
            </w:r>
          </w:p>
          <w:p w14:paraId="7D26E4E3" w14:textId="1180372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(283.3-3587)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1B61D" w14:textId="5B52370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335.2</w:t>
            </w:r>
          </w:p>
          <w:p w14:paraId="5827DA9D" w14:textId="423C54C5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(59.7-3768)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E7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1929</w:t>
            </w:r>
          </w:p>
          <w:p w14:paraId="66A7BE8E" w14:textId="6910C57B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(316.9-10376)</w:t>
            </w:r>
          </w:p>
        </w:tc>
      </w:tr>
      <w:tr w:rsidR="00740894" w:rsidRPr="00F46DA2" w14:paraId="01815256" w14:textId="4C4646BF" w:rsidTr="00F46DA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E4F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cells</w:t>
            </w:r>
          </w:p>
          <w:p w14:paraId="0D319E1B" w14:textId="7FC47695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(pg/mL)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C5DA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44.0</w:t>
            </w:r>
          </w:p>
          <w:p w14:paraId="438B2F1A" w14:textId="51BF2A2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(3.2-185.3)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3B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112.6</w:t>
            </w:r>
          </w:p>
          <w:p w14:paraId="795EC555" w14:textId="39804950" w:rsidR="00740894" w:rsidRPr="00F46DA2" w:rsidRDefault="00740894" w:rsidP="00F46DA2">
            <w:pPr>
              <w:spacing w:line="360" w:lineRule="auto"/>
              <w:ind w:left="3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(14.4-350.9)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5FEA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81.9</w:t>
            </w:r>
          </w:p>
          <w:p w14:paraId="4D9AC240" w14:textId="546E0EF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(5.8-321.7)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6EB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166.9</w:t>
            </w:r>
          </w:p>
          <w:p w14:paraId="1F0BDF80" w14:textId="0860E43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(29.3-431.7)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46902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79.2</w:t>
            </w:r>
          </w:p>
          <w:p w14:paraId="451AE7DE" w14:textId="3A90B96A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(11.9-391.8)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1B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152.4</w:t>
            </w:r>
          </w:p>
          <w:p w14:paraId="1DDF8C6C" w14:textId="0E63BFA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(62-413.9)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32FE6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8.5</w:t>
            </w:r>
          </w:p>
          <w:p w14:paraId="59494C77" w14:textId="5561C58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(1.1-54.1)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BD57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35.8</w:t>
            </w:r>
          </w:p>
          <w:p w14:paraId="343E0897" w14:textId="24DF59AD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(0.9-170.4)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538E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38.9</w:t>
            </w:r>
          </w:p>
          <w:p w14:paraId="4ADC53A2" w14:textId="17AC48E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(0.1-170.4)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CFA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113.4</w:t>
            </w:r>
          </w:p>
          <w:p w14:paraId="3F14DC36" w14:textId="3E9D9B1B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(4.2-323.0)</w:t>
            </w:r>
          </w:p>
        </w:tc>
      </w:tr>
    </w:tbl>
    <w:p w14:paraId="5E47C578" w14:textId="77777777" w:rsidR="002A4474" w:rsidRPr="00F46DA2" w:rsidRDefault="002A4474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12772" w14:textId="70A77177" w:rsidR="00F94B0D" w:rsidRPr="00F46DA2" w:rsidRDefault="00F46DA2" w:rsidP="004045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="006C67DF" w:rsidRPr="00F46D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67D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C67DF" w:rsidRPr="00F46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B0D" w:rsidRPr="00F46DA2">
        <w:rPr>
          <w:rFonts w:ascii="Times New Roman" w:hAnsi="Times New Roman" w:cs="Times New Roman"/>
          <w:b/>
          <w:bCs/>
          <w:sz w:val="24"/>
          <w:szCs w:val="24"/>
        </w:rPr>
        <w:t>patients</w:t>
      </w:r>
    </w:p>
    <w:tbl>
      <w:tblPr>
        <w:tblStyle w:val="TableGrid"/>
        <w:tblW w:w="8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5"/>
        <w:gridCol w:w="1134"/>
        <w:gridCol w:w="1031"/>
        <w:gridCol w:w="1276"/>
        <w:gridCol w:w="1134"/>
        <w:gridCol w:w="1276"/>
      </w:tblGrid>
      <w:tr w:rsidR="00677ACE" w:rsidRPr="00F46DA2" w14:paraId="1687C3D9" w14:textId="77777777" w:rsidTr="00151EEE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9E9BD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ADAF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</w:p>
          <w:p w14:paraId="510BEAFD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2A3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RTX</w:t>
            </w:r>
          </w:p>
          <w:p w14:paraId="0B97922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5D1" w14:textId="7D7C9875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</w:t>
            </w:r>
          </w:p>
          <w:p w14:paraId="4B7EFB3A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</w:t>
            </w:r>
          </w:p>
        </w:tc>
      </w:tr>
      <w:tr w:rsidR="00677ACE" w:rsidRPr="00F46DA2" w14:paraId="1CAA30CF" w14:textId="77777777" w:rsidTr="00151EEE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3BB0B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B4D9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2D5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CE97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BD4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F3D72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88E" w14:textId="77777777" w:rsidR="00677ACE" w:rsidRPr="00F46DA2" w:rsidRDefault="00677ACE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F94B0D" w:rsidRPr="00F46DA2" w14:paraId="211B2E61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DC2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Anti-RBD</w:t>
            </w:r>
          </w:p>
          <w:p w14:paraId="7096046E" w14:textId="2F70243E" w:rsidR="00740894" w:rsidRPr="00F46DA2" w:rsidRDefault="00740894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(BAU/mL)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4B9D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7.6</w:t>
            </w:r>
          </w:p>
          <w:p w14:paraId="776CF2E5" w14:textId="77998A3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(1.0-128.3)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B6C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30.5</w:t>
            </w:r>
          </w:p>
          <w:p w14:paraId="4397773A" w14:textId="531DE96C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(2.2-1458)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0B03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  <w:p w14:paraId="531DE39E" w14:textId="72C63CD2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(0.1-7.6)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3F9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</w:t>
            </w:r>
          </w:p>
          <w:p w14:paraId="130EA05D" w14:textId="4F4D9000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(0.5-30.5)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A36A6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279.3</w:t>
            </w:r>
          </w:p>
          <w:p w14:paraId="091EE3B3" w14:textId="502F78A9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(56.6-949.3)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D10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1599</w:t>
            </w:r>
          </w:p>
          <w:p w14:paraId="2953F9C1" w14:textId="2F11775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(575.6-4052)</w:t>
            </w:r>
          </w:p>
        </w:tc>
      </w:tr>
      <w:tr w:rsidR="00F94B0D" w:rsidRPr="00F46DA2" w14:paraId="01153BAD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A9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 cells</w:t>
            </w:r>
          </w:p>
          <w:p w14:paraId="60B522FA" w14:textId="716062FA" w:rsidR="00740894" w:rsidRPr="00F46DA2" w:rsidRDefault="00740894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(pg/mL)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1D19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74.8</w:t>
            </w:r>
          </w:p>
          <w:p w14:paraId="7E987948" w14:textId="3EB7D599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(28.1-233)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A3E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175.5</w:t>
            </w:r>
          </w:p>
          <w:p w14:paraId="388D80C2" w14:textId="3C1B6CD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(60.1-595.2)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2204F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37.4</w:t>
            </w:r>
          </w:p>
          <w:p w14:paraId="0D09FE3C" w14:textId="20D63178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(19.7-259)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5E7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289.2</w:t>
            </w:r>
          </w:p>
          <w:p w14:paraId="4C5D4A6B" w14:textId="7F53CE5A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(76.8-531.5)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FB9C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76.8</w:t>
            </w:r>
          </w:p>
          <w:p w14:paraId="472D81A5" w14:textId="154366D5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(44.8-171.7)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C21" w14:textId="77777777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153.9</w:t>
            </w:r>
          </w:p>
          <w:p w14:paraId="466C50E3" w14:textId="60F41CCE" w:rsidR="00F94B0D" w:rsidRPr="00F46DA2" w:rsidRDefault="00F94B0D" w:rsidP="004045F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DA2">
              <w:rPr>
                <w:rFonts w:ascii="Times New Roman" w:hAnsi="Times New Roman" w:cs="Times New Roman"/>
                <w:sz w:val="18"/>
                <w:szCs w:val="18"/>
              </w:rPr>
              <w:t>(25.1-690.8)</w:t>
            </w:r>
          </w:p>
        </w:tc>
      </w:tr>
    </w:tbl>
    <w:p w14:paraId="07C4BF36" w14:textId="77777777" w:rsidR="00DC4D4C" w:rsidRPr="00F46DA2" w:rsidRDefault="00DC4D4C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19411" w14:textId="2E86F442" w:rsidR="0073168C" w:rsidRPr="00F46DA2" w:rsidRDefault="00F46DA2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C: </w:t>
      </w:r>
      <w:r w:rsidR="0073168C" w:rsidRPr="00F46DA2">
        <w:rPr>
          <w:rFonts w:ascii="Times New Roman" w:hAnsi="Times New Roman" w:cs="Times New Roman"/>
          <w:b/>
          <w:bCs/>
          <w:sz w:val="24"/>
          <w:szCs w:val="24"/>
        </w:rPr>
        <w:t>ST patients</w:t>
      </w:r>
    </w:p>
    <w:tbl>
      <w:tblPr>
        <w:tblStyle w:val="TableGrid"/>
        <w:tblW w:w="1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5"/>
        <w:gridCol w:w="1417"/>
        <w:gridCol w:w="1276"/>
        <w:gridCol w:w="1134"/>
        <w:gridCol w:w="1237"/>
        <w:gridCol w:w="1276"/>
        <w:gridCol w:w="1134"/>
        <w:gridCol w:w="1275"/>
      </w:tblGrid>
      <w:tr w:rsidR="005F675D" w:rsidRPr="00F46DA2" w14:paraId="64691B92" w14:textId="77777777" w:rsidTr="00151EEE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D96A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098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  <w:p w14:paraId="5002C0D5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E83" w14:textId="14B8C3E8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ChTX</w:t>
            </w:r>
          </w:p>
          <w:p w14:paraId="3AE3F6FB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849" w14:textId="16C80AED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ImmTX</w:t>
            </w:r>
          </w:p>
          <w:p w14:paraId="0BBE6ED7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EB2D" w14:textId="4CFD5DC6" w:rsidR="005F675D" w:rsidRPr="00F46DA2" w:rsidRDefault="00F46DA2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TarTX</w:t>
            </w:r>
          </w:p>
          <w:p w14:paraId="0880D240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median (IQR)</w:t>
            </w:r>
          </w:p>
        </w:tc>
      </w:tr>
      <w:tr w:rsidR="005F675D" w:rsidRPr="00F46DA2" w14:paraId="3F46DDF7" w14:textId="77777777" w:rsidTr="00151EEE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ABF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93391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FC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C4142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F5B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5A09C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F89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553D1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C18" w14:textId="77777777" w:rsidR="005F675D" w:rsidRPr="00F46DA2" w:rsidRDefault="005F675D" w:rsidP="006227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Post</w:t>
            </w:r>
          </w:p>
        </w:tc>
      </w:tr>
      <w:tr w:rsidR="00740894" w:rsidRPr="00F46DA2" w14:paraId="64D9D0BE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35A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Anti-RBD</w:t>
            </w:r>
          </w:p>
          <w:p w14:paraId="1CBE1796" w14:textId="0D7A699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(BAU/mL)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22CED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1546</w:t>
            </w:r>
          </w:p>
          <w:p w14:paraId="4385E560" w14:textId="6B22563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(810.4-4389)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601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7632</w:t>
            </w:r>
          </w:p>
          <w:p w14:paraId="36AE4818" w14:textId="29C28738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(3023-11360)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870C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1304</w:t>
            </w:r>
          </w:p>
          <w:p w14:paraId="335F649E" w14:textId="4D82C83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(763.8-4206)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73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7444</w:t>
            </w:r>
          </w:p>
          <w:p w14:paraId="3ECBAB1D" w14:textId="38B6C82F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(3613-11360)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C3F1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1508</w:t>
            </w:r>
          </w:p>
          <w:p w14:paraId="3CB82F84" w14:textId="1613006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(811-9294)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878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6937</w:t>
            </w:r>
          </w:p>
          <w:p w14:paraId="03DFFC95" w14:textId="492CB210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(4589-11360)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2A61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1718</w:t>
            </w:r>
          </w:p>
          <w:p w14:paraId="13359C7C" w14:textId="6BF5A4D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(978.2-5568)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66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7754</w:t>
            </w:r>
          </w:p>
          <w:p w14:paraId="27FB8425" w14:textId="550D14C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(1985-11360)</w:t>
            </w:r>
          </w:p>
        </w:tc>
      </w:tr>
      <w:tr w:rsidR="00740894" w:rsidRPr="00F46DA2" w14:paraId="6F84AE5E" w14:textId="77777777" w:rsidTr="00151EE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58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 cells</w:t>
            </w:r>
          </w:p>
          <w:p w14:paraId="132A02B6" w14:textId="4B8BF31C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(pg/mL)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8936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48.9</w:t>
            </w:r>
          </w:p>
          <w:p w14:paraId="74FDA0EC" w14:textId="5BDF9F11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(11.9-167.3)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AE2" w14:textId="77777777" w:rsidR="00740894" w:rsidRPr="00F46DA2" w:rsidRDefault="00740894" w:rsidP="00740894">
            <w:pPr>
              <w:spacing w:line="360" w:lineRule="auto"/>
              <w:ind w:left="-177" w:firstLine="17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</w:t>
            </w:r>
          </w:p>
          <w:p w14:paraId="22F2FC06" w14:textId="2294CBF5" w:rsidR="00740894" w:rsidRPr="00F46DA2" w:rsidRDefault="00740894" w:rsidP="00740894">
            <w:pPr>
              <w:spacing w:line="360" w:lineRule="auto"/>
              <w:ind w:left="-177" w:firstLine="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(60.5-496)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B89EB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24.9</w:t>
            </w:r>
          </w:p>
          <w:p w14:paraId="4FC82B5D" w14:textId="4BD5640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(68.2-506)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7E9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</w:p>
          <w:p w14:paraId="6D7C40DB" w14:textId="3DCD0548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(49.1-880.3)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7965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</w:t>
            </w:r>
          </w:p>
          <w:p w14:paraId="38B4A23F" w14:textId="5CC3E013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(16.6-163.3)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023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</w:t>
            </w:r>
          </w:p>
          <w:p w14:paraId="001DEB95" w14:textId="434E5064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(182.6-528)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98E0C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46.8</w:t>
            </w:r>
          </w:p>
          <w:p w14:paraId="2E56E94D" w14:textId="4BB7E489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(8.7-135.8)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6A20" w14:textId="77777777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  <w:p w14:paraId="7223EE01" w14:textId="60F164B2" w:rsidR="00740894" w:rsidRPr="00F46DA2" w:rsidRDefault="00740894" w:rsidP="007408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A2">
              <w:rPr>
                <w:rFonts w:ascii="Times New Roman" w:hAnsi="Times New Roman" w:cs="Times New Roman"/>
                <w:sz w:val="16"/>
                <w:szCs w:val="16"/>
              </w:rPr>
              <w:t>(48.5-334.5)</w:t>
            </w:r>
          </w:p>
        </w:tc>
      </w:tr>
    </w:tbl>
    <w:p w14:paraId="62EBCFB7" w14:textId="05F31690" w:rsidR="00DC4D4C" w:rsidRPr="00F46DA2" w:rsidRDefault="00DC4D4C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55539" w14:textId="1C934D6A" w:rsidR="009267A1" w:rsidRPr="00F46DA2" w:rsidRDefault="009267A1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DAFF3" w14:textId="5A23F250" w:rsidR="009267A1" w:rsidRPr="00F46DA2" w:rsidRDefault="009267A1">
      <w:pPr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br w:type="page"/>
      </w:r>
    </w:p>
    <w:p w14:paraId="0503BFBE" w14:textId="77777777" w:rsidR="009267A1" w:rsidRPr="00F46DA2" w:rsidRDefault="009267A1" w:rsidP="004045F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267A1" w:rsidRPr="00F46DA2" w:rsidSect="00DC7AA7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A02C6BD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color w:val="2A2A2A"/>
          <w:lang w:val="it-IT"/>
        </w:rPr>
        <w:lastRenderedPageBreak/>
        <w:t>The VAX4FRAIL Study Group</w:t>
      </w:r>
      <w:r w:rsidRPr="00F46DA2">
        <w:rPr>
          <w:color w:val="2A2A2A"/>
          <w:lang w:val="it-IT"/>
        </w:rPr>
        <w:t>:</w:t>
      </w:r>
    </w:p>
    <w:p w14:paraId="678F279C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Principal investigators</w:t>
      </w:r>
      <w:r w:rsidRPr="00F46DA2">
        <w:rPr>
          <w:color w:val="2A2A2A"/>
          <w:lang w:val="it-IT"/>
        </w:rPr>
        <w:t> (alphabetical order): Giovanni Apolone (Fondazione IRCCS Istituto Nazionale dei Tumori di Milano); Alberto Mantovani (IRCCS Istituto Clinico Humanitas, Milano).</w:t>
      </w:r>
    </w:p>
    <w:p w14:paraId="4F0D05A9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color w:val="2A2A2A"/>
          <w:bdr w:val="none" w:sz="0" w:space="0" w:color="auto" w:frame="1"/>
          <w:lang w:val="it-IT"/>
        </w:rPr>
      </w:pPr>
    </w:p>
    <w:p w14:paraId="79EF7B89" w14:textId="61D3C5D0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Scientific Coordinators</w:t>
      </w:r>
      <w:r w:rsidRPr="00F46DA2">
        <w:rPr>
          <w:color w:val="2A2A2A"/>
          <w:lang w:val="it-IT"/>
        </w:rPr>
        <w:t>: Massimo Costantini (Fondazione IRCCS Istituto Nazionale dei Tumori di Milano), Nicola Silvestris (Università degli Studi di Messina).</w:t>
      </w:r>
    </w:p>
    <w:p w14:paraId="0BB7338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color w:val="2A2A2A"/>
          <w:bdr w:val="none" w:sz="0" w:space="0" w:color="auto" w:frame="1"/>
          <w:lang w:val="it-IT"/>
        </w:rPr>
      </w:pPr>
    </w:p>
    <w:p w14:paraId="73633E3D" w14:textId="3BD8C6AF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Steering committee</w:t>
      </w:r>
      <w:r w:rsidRPr="00F46DA2">
        <w:rPr>
          <w:b/>
          <w:bCs/>
          <w:color w:val="2A2A2A"/>
          <w:lang w:val="it-IT"/>
        </w:rPr>
        <w:t> </w:t>
      </w:r>
      <w:r w:rsidRPr="00F46DA2">
        <w:rPr>
          <w:color w:val="2A2A2A"/>
          <w:lang w:val="it-IT"/>
        </w:rPr>
        <w:t>(alphabetical order): Chiara Agrati (IRCCS Istituto per le Malattie Infettive Lazzaro Spallanzani, Roma</w:t>
      </w:r>
      <w:r w:rsidR="006C67DF">
        <w:rPr>
          <w:color w:val="2A2A2A"/>
          <w:lang w:val="it-IT"/>
        </w:rPr>
        <w:t xml:space="preserve">; </w:t>
      </w:r>
      <w:r w:rsidR="006C67DF" w:rsidRPr="006C67DF">
        <w:rPr>
          <w:bCs/>
          <w:lang w:val="it-IT"/>
        </w:rPr>
        <w:t>Department of Hematology and Oncology and Cell and Gene Therapy, IRCCS Bambino Gesù Children Hospital, Roma</w:t>
      </w:r>
      <w:r w:rsidRPr="00F46DA2">
        <w:rPr>
          <w:color w:val="2A2A2A"/>
          <w:lang w:val="it-IT"/>
        </w:rPr>
        <w:t xml:space="preserve">); Giovanni Apolone (Fondazione IRCCS Istituto Nazionale dei Tumori di Milano); Fabio Ciceri (IRCCS Ospedale San Raffaele, Milano); Gennaro Ciliberto (IRCCS Istituto Nazionale Tumori Regina Elena, Roma); Massimo Costantini (Fondazione IRCCS Istituto Nazionale dei Tumori di Milano); Franco Locatelli (Università La Sapienza, Roma); Alberto Mantovani (IRCCS Istituto Clinico Humanitas, Milano); Fausto Baldanti (Fondazione IRCCS Policlinico San Matteo di Pavia); Aldo Morrone (Istituto Dermatologico San Gallicano IRCCS, Roma); </w:t>
      </w:r>
      <w:r w:rsidR="00975B9A" w:rsidRPr="00F46DA2">
        <w:rPr>
          <w:color w:val="2A2A2A"/>
          <w:lang w:val="it-IT"/>
        </w:rPr>
        <w:t>Massimo Tommasino</w:t>
      </w:r>
      <w:r w:rsidRPr="00F46DA2">
        <w:rPr>
          <w:color w:val="2A2A2A"/>
          <w:lang w:val="it-IT"/>
        </w:rPr>
        <w:t xml:space="preserve"> (IRCCS Istituto Tumori “Giovanni Paolo II”, Bari); Carlo Salvarani (Azienda USL-IRCCS Reggio Emilia); Nicola Silvestris (Università degli Studi di Messina); </w:t>
      </w:r>
      <w:r w:rsidR="00975B9A" w:rsidRPr="00F46DA2">
        <w:rPr>
          <w:color w:val="2A2A2A"/>
          <w:lang w:val="it-IT"/>
        </w:rPr>
        <w:t>Giuseppe Lauri Pinter</w:t>
      </w:r>
      <w:r w:rsidRPr="00F46DA2">
        <w:rPr>
          <w:color w:val="2A2A2A"/>
          <w:lang w:val="it-IT"/>
        </w:rPr>
        <w:t xml:space="preserve"> (Fondazione IRCCS Istituto Neurologico Carlo Besta, Milano); Antonio Uccelli (Ospedale Policlinico San Martino IRCCS, Genova); Pier Luigi Zinzani (IRCCS Azienda Ospedaliero-Universitaria di Bologna).</w:t>
      </w:r>
    </w:p>
    <w:p w14:paraId="27074E26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color w:val="2A2A2A"/>
          <w:bdr w:val="none" w:sz="0" w:space="0" w:color="auto" w:frame="1"/>
          <w:lang w:val="it-IT"/>
        </w:rPr>
      </w:pPr>
    </w:p>
    <w:p w14:paraId="41579396" w14:textId="1458A038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</w:rPr>
        <w:t>Disease Groups</w:t>
      </w:r>
    </w:p>
    <w:p w14:paraId="57C5AAD9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Hematological malignancies Referent: Paolo Corradini (Fondazione IRCCS Istituto Nazionale dei Tumori, Milano);</w:t>
      </w:r>
    </w:p>
    <w:p w14:paraId="55381A00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Solid tumors Referent: Gennaro Ciliberto (IRCCS Istituto Nazionale Tumori Regina Elena, Roma);</w:t>
      </w:r>
    </w:p>
    <w:p w14:paraId="644A63AA" w14:textId="77777777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Immunorheumatological diseases Referent: Carlo Salvarani (Azienda USL IRCCS Reggio Emilia);</w:t>
      </w:r>
    </w:p>
    <w:p w14:paraId="14DE5FA8" w14:textId="6C5AAE2C" w:rsidR="009267A1" w:rsidRPr="00F46DA2" w:rsidRDefault="009267A1" w:rsidP="009267A1">
      <w:pPr>
        <w:pStyle w:val="chapter-pa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25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Neurological diseases: Referent: Antonio Uccelli (Ospedale Policlinico San Martino IRCCS, Genova); Renato Mantegazza (Fondazione I.R.C.C.S Istituto Neurologico Carlo Besta (INCB), Milano).</w:t>
      </w:r>
    </w:p>
    <w:p w14:paraId="2F29134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color w:val="2A2A2A"/>
          <w:bdr w:val="none" w:sz="0" w:space="0" w:color="auto" w:frame="1"/>
          <w:lang w:val="it-IT"/>
        </w:rPr>
      </w:pPr>
    </w:p>
    <w:p w14:paraId="32085CEA" w14:textId="6DD8BF20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Immunological Group</w:t>
      </w:r>
    </w:p>
    <w:p w14:paraId="05E14F48" w14:textId="23C6DF19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lastRenderedPageBreak/>
        <w:t>Referents</w:t>
      </w:r>
      <w:r w:rsidRPr="00F46DA2">
        <w:rPr>
          <w:color w:val="2A2A2A"/>
          <w:lang w:val="it-IT"/>
        </w:rPr>
        <w:t>: Chiara Agrati (IRCCS Istituto per le Malattie Infettive Lazzaro Spallanzani, Roma</w:t>
      </w:r>
      <w:r w:rsidR="006C67DF">
        <w:rPr>
          <w:color w:val="2A2A2A"/>
          <w:lang w:val="it-IT"/>
        </w:rPr>
        <w:t xml:space="preserve">; </w:t>
      </w:r>
      <w:r w:rsidR="006C67DF" w:rsidRPr="006C67DF">
        <w:rPr>
          <w:bCs/>
          <w:lang w:val="it-IT"/>
        </w:rPr>
        <w:t>Department of Hematology and Oncology and Cell and Gene Therapy, IRCCS Bambino Gesù Children Hospital, Roma</w:t>
      </w:r>
      <w:r w:rsidRPr="00F46DA2">
        <w:rPr>
          <w:color w:val="2A2A2A"/>
          <w:lang w:val="it-IT"/>
        </w:rPr>
        <w:t>); Maria Rescigno (IRCCS Istituto Clinico Humanitas, Milano); Daniela Fenoglio (Ospedale Policlinico San Martino IRCCS, Genova);</w:t>
      </w:r>
    </w:p>
    <w:p w14:paraId="2FAB419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Participants</w:t>
      </w:r>
      <w:r w:rsidRPr="00F46DA2">
        <w:rPr>
          <w:color w:val="2A2A2A"/>
          <w:lang w:val="it-IT"/>
        </w:rPr>
        <w:t>: Roberta Mortarini (Fondazione IRCCS Istituto Nazionale dei Tumori di Milano); Cristina Tresoldi (IRCCS Ospedale San Raffaele, Milano); Laura Conti, Chiara Mandoj (IRCCS Istituto Nazionale Tumori Regina Elena, Roma); Michela Lizier (IRCCS Humanitas Research Hospital, Rozzano, Milan); Stefania Croci (Azienda USL IRCCS Reggio Emilia); Fausto Baldanti (Fondazione IRCCS Policlinico San Matteo di Pavia); Vito Garrisi (IRCCS Istituto Tumori “Giovanni Paolo II”, Bari); Fulvio Baggi (Fondazione IRCCS Istituto Neurologico Carlo Besta, Milano); Tiziana Lazzarotto, Francesca Bonifazi (IRCCS Azienda Ospedaliero-Universitaria di Bologna); Fulvia Pimpinelli (Istituto Dermatologico San Gallicano IRCCS, Roma); Concetta Quintarelli (IRCCS Ospedale Pediatrico Bambino Gesù, Roma); Rita Carsetti (IRCCS Ospedale Pediatrico Bambino Gesù, Roma).</w:t>
      </w:r>
    </w:p>
    <w:p w14:paraId="57FF2B4B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INMI centralized laboratory</w:t>
      </w:r>
      <w:r w:rsidRPr="00F46DA2">
        <w:rPr>
          <w:rStyle w:val="Emphasis"/>
          <w:color w:val="2A2A2A"/>
          <w:bdr w:val="none" w:sz="0" w:space="0" w:color="auto" w:frame="1"/>
          <w:lang w:val="it-IT"/>
        </w:rPr>
        <w:t xml:space="preserve"> (INMI Lazzaro Spallanzani – IRCCS, Roma)</w:t>
      </w:r>
      <w:r w:rsidRPr="00F46DA2">
        <w:rPr>
          <w:color w:val="2A2A2A"/>
          <w:lang w:val="it-IT"/>
        </w:rPr>
        <w:t> (alphabetical order)</w:t>
      </w:r>
    </w:p>
    <w:p w14:paraId="732CD15B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Enrico Girardi (Scientific Director), Aurora Bettini; Veronica Bordoni; Concetta Castilletti; Eleonora Cimini; Rita Casetti; Francesca Colavita; Flavia Cristofanelli; Massimo Francalancia; Simona Gili; Delia Goletti; Giulia Gramigna; Germana Grassi; Daniele Lapa; Sara Leone; Davide Mariotti; Giulia Matusali; Silvia Meschi; Stefania Notari; Enzo Puro; Marika Rubino; Alessandra Sacchi; Eleonora Tartaglia</w:t>
      </w:r>
    </w:p>
    <w:p w14:paraId="19688C9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Clinical Task Force</w:t>
      </w:r>
    </w:p>
    <w:p w14:paraId="5AE6527F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 xml:space="preserve">Paolo Corradini, Silvia Damian, Vincenzo Marasco, Filippo de Braud (Fondazione IRCCS Istituto Nazionale dei Tumori di Milano); Maria Teresa Lupo Stanghellini, Lorenzo Dagna, Francesca Ogliari, Massimo Filippi, Alessandro Bruno, Gloria Catalano, Rosamaria Nitti (IRCCS Ospedale San Raffaele, Milano); Andrea Mengarelli, Francesco Marchesi, Giancarlo Paoletti e Gabriele Minuti, Elena Papa (IRCCS Istituto Nazionale Tumori Regina Elena, Roma); Elena Azzolini, Luca Germagnoli, Carlo Selmi, Maria De Santis, Carmelo Carlo-Stella, Alexia Bertuzzi, Francesca Motta, Angela Ceribelli, Chiara Miggiano, Giulia Fornasa (IRCCS Humanitas Research Hospital, Rozzano, Milan); Fausto Baldanti, Sara Monti, Carlo Maurizio Montecucco (Fondazione IRCCS Policlinico San Matteo di Pavia); Aldo Morrone, Dario Graceffa (Istituto Dermatologico San Gallicano IRCCS, Roma); Maria Grazia Catanoso, Monica Guberti, Carmine Pinto, Francesco Merli, Franco Valzania (Azienda USL-IRCCS Reggio Emilia); Rosa Divella, Antonio Tufaro, Vito Garrisi, Sabina Delcuratolo, Mariana Miano (IRCCS Istituto Tumori “Giovanni Paolo II,” Bari; Carlo Antozzi, Silvia Bonanno Rita Frangiamore, Lorenzo Maggi (Fondazione IRCCS Istituto </w:t>
      </w:r>
      <w:r w:rsidRPr="00F46DA2">
        <w:rPr>
          <w:color w:val="2A2A2A"/>
          <w:lang w:val="it-IT"/>
        </w:rPr>
        <w:lastRenderedPageBreak/>
        <w:t>Neurologico Carlo Besta, Milano); Antonio Uccelli, Paolo Pronzato, Matilde Inglese, Carlo Genova, Caterina Lapucci, Alice Laroni, Ilaria Poirè (Ospedale Policlinico San Martino IRCCS, Genova); Marco Fusconi, Vittorio Stefoni, Maria Abbondanza Pantaleo (IRCCS Azienda Ospedaliero-Universitaria di Bologna).</w:t>
      </w:r>
    </w:p>
    <w:p w14:paraId="50F7C394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Statistical Committee</w:t>
      </w:r>
    </w:p>
    <w:p w14:paraId="4C16DEC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Diana Giannarelli (IRCCS Istituto Nazionale Tumori Regina Elena, Roma).</w:t>
      </w:r>
    </w:p>
    <w:p w14:paraId="246C71B9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e-CRF and Monitoring Referent</w:t>
      </w:r>
    </w:p>
    <w:p w14:paraId="6F53975A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color w:val="2A2A2A"/>
          <w:lang w:val="it-IT"/>
        </w:rPr>
        <w:t>Valentina Sinno, Serena Di Cosimo (Fondazione IRCCS Istituto Nazionale dei Tumori di Milano).</w:t>
      </w:r>
    </w:p>
    <w:p w14:paraId="74E24D08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2A2A2A"/>
          <w:lang w:val="it-IT"/>
        </w:rPr>
      </w:pPr>
      <w:r w:rsidRPr="00F46DA2">
        <w:rPr>
          <w:rStyle w:val="Emphasis"/>
          <w:b/>
          <w:bCs/>
          <w:color w:val="2A2A2A"/>
          <w:bdr w:val="none" w:sz="0" w:space="0" w:color="auto" w:frame="1"/>
          <w:lang w:val="it-IT"/>
        </w:rPr>
        <w:t>Project Managers of the Study</w:t>
      </w:r>
    </w:p>
    <w:p w14:paraId="28B2172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Referents:</w:t>
      </w:r>
      <w:r w:rsidRPr="00F46DA2">
        <w:rPr>
          <w:color w:val="2A2A2A"/>
          <w:lang w:val="it-IT"/>
        </w:rPr>
        <w:t xml:space="preserve"> Elena Turola, Azienda USL-IRCCS di Reggio Emilia.</w:t>
      </w:r>
    </w:p>
    <w:p w14:paraId="532E2421" w14:textId="77777777" w:rsidR="009267A1" w:rsidRPr="00F46DA2" w:rsidRDefault="009267A1" w:rsidP="009267A1">
      <w:pPr>
        <w:pStyle w:val="chapter-para"/>
        <w:shd w:val="clear" w:color="auto" w:fill="FFFFFF"/>
        <w:spacing w:before="0" w:beforeAutospacing="0" w:after="0" w:afterAutospacing="0" w:line="360" w:lineRule="auto"/>
        <w:textAlignment w:val="baseline"/>
        <w:rPr>
          <w:color w:val="2A2A2A"/>
          <w:lang w:val="it-IT"/>
        </w:rPr>
      </w:pPr>
      <w:r w:rsidRPr="00F46DA2">
        <w:rPr>
          <w:b/>
          <w:bCs/>
          <w:color w:val="2A2A2A"/>
          <w:lang w:val="it-IT"/>
        </w:rPr>
        <w:t>Participants</w:t>
      </w:r>
      <w:r w:rsidRPr="00F46DA2">
        <w:rPr>
          <w:color w:val="2A2A2A"/>
          <w:lang w:val="it-IT"/>
        </w:rPr>
        <w:t>: Iolanda Pulice, Roberta Mennitto Fondazione IRCCS Istituto Nazionale dei Tumori, Milano); Stefania Trinca (IRCCS Ospedale San Raffaele, Milano); Giulia Piaggio (IRCCS Istituto Nazionale Tumori Regina Elena, Roma); Chiara Pozzi (IRCCS Humanitas Research Hospital, Rozzano, Milan); Irene Cassaniti (Fondazione IRCCS Policlinico San Matteo, Pavia); Alessandro Barberini (Istituto Dermatologico San Gallicano IRCCS, Roma); Arianna Belvedere (Azienda USL-IRCCS Reggio Emilia); Sabina Delcuratolo (IRCCS Istituto Tumori “Giovanni Paolo II,” Bari); Rinaldi Elena, Federica Bortone (Fondazione IRCCS Istituto Neurologico Carlo Besta, Milano); Maria Giovanna Dal Bello (Ospedale Policlinico San Martino IRCCS, Genova); Silvia Corazza (IRCCS Azienda Ospedaliero-Universitaria, Bologna).</w:t>
      </w:r>
    </w:p>
    <w:p w14:paraId="2C2CE958" w14:textId="77777777" w:rsidR="009267A1" w:rsidRPr="00F46DA2" w:rsidRDefault="009267A1" w:rsidP="009267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3DCA0" w14:textId="4BF56323" w:rsidR="009267A1" w:rsidRPr="00F46DA2" w:rsidRDefault="009267A1" w:rsidP="009267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267A1" w:rsidRPr="00F46DA2" w:rsidSect="009267A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F9B"/>
    <w:multiLevelType w:val="multilevel"/>
    <w:tmpl w:val="AEAA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74"/>
    <w:rsid w:val="000007C3"/>
    <w:rsid w:val="00006F66"/>
    <w:rsid w:val="00020F2D"/>
    <w:rsid w:val="0005386E"/>
    <w:rsid w:val="00062D45"/>
    <w:rsid w:val="000A585E"/>
    <w:rsid w:val="000B1C80"/>
    <w:rsid w:val="000B5E94"/>
    <w:rsid w:val="000C35BB"/>
    <w:rsid w:val="000F01AE"/>
    <w:rsid w:val="000F079F"/>
    <w:rsid w:val="00114EEB"/>
    <w:rsid w:val="00141BEB"/>
    <w:rsid w:val="0014445B"/>
    <w:rsid w:val="00151EEE"/>
    <w:rsid w:val="00154109"/>
    <w:rsid w:val="001B7B5B"/>
    <w:rsid w:val="001C2DE3"/>
    <w:rsid w:val="001E525D"/>
    <w:rsid w:val="001F7F22"/>
    <w:rsid w:val="002206D4"/>
    <w:rsid w:val="00223DAE"/>
    <w:rsid w:val="002473D8"/>
    <w:rsid w:val="00261B28"/>
    <w:rsid w:val="002950D9"/>
    <w:rsid w:val="002A4474"/>
    <w:rsid w:val="002B0C6A"/>
    <w:rsid w:val="002D00F2"/>
    <w:rsid w:val="002D0D50"/>
    <w:rsid w:val="002D0ED9"/>
    <w:rsid w:val="002D562A"/>
    <w:rsid w:val="002E5A3B"/>
    <w:rsid w:val="002E6307"/>
    <w:rsid w:val="00352567"/>
    <w:rsid w:val="0036346B"/>
    <w:rsid w:val="00385DE8"/>
    <w:rsid w:val="003B0604"/>
    <w:rsid w:val="003C75D6"/>
    <w:rsid w:val="003D4194"/>
    <w:rsid w:val="003D677A"/>
    <w:rsid w:val="003E1D56"/>
    <w:rsid w:val="003F0264"/>
    <w:rsid w:val="003F287F"/>
    <w:rsid w:val="003F4BDD"/>
    <w:rsid w:val="004045F7"/>
    <w:rsid w:val="00405923"/>
    <w:rsid w:val="0041238C"/>
    <w:rsid w:val="00461A6B"/>
    <w:rsid w:val="00476642"/>
    <w:rsid w:val="00497178"/>
    <w:rsid w:val="004D30D8"/>
    <w:rsid w:val="004D68B5"/>
    <w:rsid w:val="005073D2"/>
    <w:rsid w:val="0055195A"/>
    <w:rsid w:val="005A749F"/>
    <w:rsid w:val="005E2889"/>
    <w:rsid w:val="005F21E2"/>
    <w:rsid w:val="005F675D"/>
    <w:rsid w:val="0060231C"/>
    <w:rsid w:val="00611AD3"/>
    <w:rsid w:val="00611FE4"/>
    <w:rsid w:val="00615803"/>
    <w:rsid w:val="00617D04"/>
    <w:rsid w:val="00632AF5"/>
    <w:rsid w:val="00651411"/>
    <w:rsid w:val="00670902"/>
    <w:rsid w:val="006737D1"/>
    <w:rsid w:val="00677ACE"/>
    <w:rsid w:val="006A0486"/>
    <w:rsid w:val="006A105B"/>
    <w:rsid w:val="006A1BDF"/>
    <w:rsid w:val="006B0593"/>
    <w:rsid w:val="006C62CB"/>
    <w:rsid w:val="006C67DF"/>
    <w:rsid w:val="006F3EC7"/>
    <w:rsid w:val="00703586"/>
    <w:rsid w:val="007211AC"/>
    <w:rsid w:val="0073168C"/>
    <w:rsid w:val="00740894"/>
    <w:rsid w:val="00757979"/>
    <w:rsid w:val="00762976"/>
    <w:rsid w:val="007A2410"/>
    <w:rsid w:val="007C2DA3"/>
    <w:rsid w:val="00852381"/>
    <w:rsid w:val="00861B09"/>
    <w:rsid w:val="00866B6C"/>
    <w:rsid w:val="008812D8"/>
    <w:rsid w:val="00885774"/>
    <w:rsid w:val="0088701E"/>
    <w:rsid w:val="00887F6A"/>
    <w:rsid w:val="008D0C6F"/>
    <w:rsid w:val="00913AD6"/>
    <w:rsid w:val="00920D5F"/>
    <w:rsid w:val="009262DB"/>
    <w:rsid w:val="009267A1"/>
    <w:rsid w:val="00930E6B"/>
    <w:rsid w:val="00934ED7"/>
    <w:rsid w:val="00957154"/>
    <w:rsid w:val="00957753"/>
    <w:rsid w:val="009736C5"/>
    <w:rsid w:val="00975B9A"/>
    <w:rsid w:val="0098205D"/>
    <w:rsid w:val="009966E3"/>
    <w:rsid w:val="009C7E26"/>
    <w:rsid w:val="009E5684"/>
    <w:rsid w:val="009F0FA2"/>
    <w:rsid w:val="00A01F62"/>
    <w:rsid w:val="00A0724F"/>
    <w:rsid w:val="00A3275A"/>
    <w:rsid w:val="00A32C60"/>
    <w:rsid w:val="00A34850"/>
    <w:rsid w:val="00A356C8"/>
    <w:rsid w:val="00A42665"/>
    <w:rsid w:val="00A42C25"/>
    <w:rsid w:val="00A6108A"/>
    <w:rsid w:val="00A61960"/>
    <w:rsid w:val="00A667A4"/>
    <w:rsid w:val="00A75DF0"/>
    <w:rsid w:val="00A82D35"/>
    <w:rsid w:val="00A853EA"/>
    <w:rsid w:val="00A8694C"/>
    <w:rsid w:val="00AA3D44"/>
    <w:rsid w:val="00AB137E"/>
    <w:rsid w:val="00AB732C"/>
    <w:rsid w:val="00AD3F77"/>
    <w:rsid w:val="00AD5E1D"/>
    <w:rsid w:val="00AF3D7A"/>
    <w:rsid w:val="00AF5D7E"/>
    <w:rsid w:val="00B458F7"/>
    <w:rsid w:val="00B77B9B"/>
    <w:rsid w:val="00BC18CE"/>
    <w:rsid w:val="00BC369B"/>
    <w:rsid w:val="00C01096"/>
    <w:rsid w:val="00C04F57"/>
    <w:rsid w:val="00C31A38"/>
    <w:rsid w:val="00C436BD"/>
    <w:rsid w:val="00C713F6"/>
    <w:rsid w:val="00C83385"/>
    <w:rsid w:val="00CB222A"/>
    <w:rsid w:val="00CB53F1"/>
    <w:rsid w:val="00CC4445"/>
    <w:rsid w:val="00D02878"/>
    <w:rsid w:val="00D3254E"/>
    <w:rsid w:val="00D6576B"/>
    <w:rsid w:val="00D7005B"/>
    <w:rsid w:val="00D73CF2"/>
    <w:rsid w:val="00D96580"/>
    <w:rsid w:val="00D97B50"/>
    <w:rsid w:val="00DB3C82"/>
    <w:rsid w:val="00DC2231"/>
    <w:rsid w:val="00DC4D4C"/>
    <w:rsid w:val="00DC7AA7"/>
    <w:rsid w:val="00DD5865"/>
    <w:rsid w:val="00DD78E4"/>
    <w:rsid w:val="00E029AB"/>
    <w:rsid w:val="00E17E63"/>
    <w:rsid w:val="00E30A6B"/>
    <w:rsid w:val="00E32CAB"/>
    <w:rsid w:val="00E91568"/>
    <w:rsid w:val="00E937C7"/>
    <w:rsid w:val="00E942AA"/>
    <w:rsid w:val="00E94A4D"/>
    <w:rsid w:val="00E96051"/>
    <w:rsid w:val="00EC1864"/>
    <w:rsid w:val="00EC2A53"/>
    <w:rsid w:val="00EE03D8"/>
    <w:rsid w:val="00EE1BCA"/>
    <w:rsid w:val="00EF3101"/>
    <w:rsid w:val="00F11FC2"/>
    <w:rsid w:val="00F15E18"/>
    <w:rsid w:val="00F1726B"/>
    <w:rsid w:val="00F46DA2"/>
    <w:rsid w:val="00F56106"/>
    <w:rsid w:val="00F72209"/>
    <w:rsid w:val="00F94B0D"/>
    <w:rsid w:val="00FA1CDB"/>
    <w:rsid w:val="00FA65AA"/>
    <w:rsid w:val="00FB5EDF"/>
    <w:rsid w:val="00FE5441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3B40"/>
  <w15:chartTrackingRefBased/>
  <w15:docId w15:val="{F430066F-80FB-43E4-8AD6-969B72D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para">
    <w:name w:val="chapter-para"/>
    <w:basedOn w:val="Normal"/>
    <w:rsid w:val="0092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9267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4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Agrati</dc:creator>
  <cp:keywords/>
  <dc:description/>
  <cp:lastModifiedBy>Megan Bond</cp:lastModifiedBy>
  <cp:revision>4</cp:revision>
  <dcterms:created xsi:type="dcterms:W3CDTF">2023-01-02T07:44:00Z</dcterms:created>
  <dcterms:modified xsi:type="dcterms:W3CDTF">2023-01-10T12:19:00Z</dcterms:modified>
</cp:coreProperties>
</file>