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7B3FB8CD" w14:textId="77777777" w:rsidR="00A71D8A" w:rsidRPr="00376CC5" w:rsidRDefault="00A71D8A" w:rsidP="00A71D8A">
      <w:pPr>
        <w:pStyle w:val="Title"/>
        <w:rPr>
          <w:lang w:eastAsia="zh-CN"/>
        </w:rPr>
      </w:pPr>
      <w:bookmarkStart w:id="0" w:name="OLE_LINK91"/>
      <w:r w:rsidRPr="001F6224">
        <w:t>Molecular features and predictive models identify the most lethal subtype and a therapeutic target for osteosarcoma</w:t>
      </w:r>
    </w:p>
    <w:p w14:paraId="56A18E93" w14:textId="77777777" w:rsidR="00A71D8A" w:rsidRPr="00460487" w:rsidRDefault="00A71D8A" w:rsidP="00A71D8A">
      <w:pPr>
        <w:pStyle w:val="AuthorList"/>
        <w:rPr>
          <w:vertAlign w:val="superscript"/>
        </w:rPr>
      </w:pPr>
      <w:bookmarkStart w:id="1" w:name="OLE_LINK1"/>
      <w:r w:rsidRPr="00050878">
        <w:t>Kun Zheng</w:t>
      </w:r>
      <w:r w:rsidRPr="00A545C6">
        <w:rPr>
          <w:vertAlign w:val="superscript"/>
        </w:rPr>
        <w:t>1</w:t>
      </w:r>
      <w:r>
        <w:rPr>
          <w:vertAlign w:val="superscript"/>
          <w:lang w:eastAsia="zh-CN"/>
        </w:rPr>
        <w:t>,2</w:t>
      </w:r>
      <w:bookmarkStart w:id="2" w:name="OLE_LINK2"/>
      <w:r w:rsidRPr="0069701C">
        <w:rPr>
          <w:rFonts w:ascii="Helvetica" w:hAnsi="Helvetica"/>
          <w:vertAlign w:val="superscript"/>
          <w:lang w:eastAsia="zh-CN"/>
        </w:rPr>
        <w:t>†</w:t>
      </w:r>
      <w:bookmarkEnd w:id="2"/>
      <w:r w:rsidRPr="00376CC5">
        <w:t xml:space="preserve">, </w:t>
      </w:r>
      <w:r w:rsidRPr="0069701C">
        <w:t>Yushan Hou</w:t>
      </w:r>
      <w:r w:rsidRPr="00A545C6">
        <w:rPr>
          <w:vertAlign w:val="superscript"/>
        </w:rPr>
        <w:t>1</w:t>
      </w:r>
      <w:r>
        <w:rPr>
          <w:vertAlign w:val="superscript"/>
          <w:lang w:eastAsia="zh-CN"/>
        </w:rPr>
        <w:t>,3</w:t>
      </w:r>
      <w:r w:rsidRPr="0069701C">
        <w:rPr>
          <w:rFonts w:ascii="Helvetica" w:hAnsi="Helvetica"/>
          <w:vertAlign w:val="superscript"/>
          <w:lang w:eastAsia="zh-CN"/>
        </w:rPr>
        <w:t>†</w:t>
      </w:r>
      <w:r w:rsidRPr="00376CC5">
        <w:t xml:space="preserve">, </w:t>
      </w:r>
      <w:r w:rsidRPr="0039248B">
        <w:t>Yiming Zhang</w:t>
      </w:r>
      <w:r w:rsidRPr="0039248B">
        <w:rPr>
          <w:vertAlign w:val="superscript"/>
        </w:rPr>
        <w:t>1,3</w:t>
      </w:r>
      <w:r w:rsidRPr="0069701C">
        <w:rPr>
          <w:rFonts w:ascii="Helvetica" w:hAnsi="Helvetica"/>
          <w:vertAlign w:val="superscript"/>
          <w:lang w:eastAsia="zh-CN"/>
        </w:rPr>
        <w:t>†</w:t>
      </w:r>
      <w:bookmarkEnd w:id="1"/>
      <w:r w:rsidRPr="0039248B">
        <w:t>, Fei Wang</w:t>
      </w:r>
      <w:r w:rsidRPr="0039248B">
        <w:rPr>
          <w:vertAlign w:val="superscript"/>
        </w:rPr>
        <w:t>2</w:t>
      </w:r>
      <w:r w:rsidRPr="0039248B">
        <w:rPr>
          <w:bCs/>
          <w:vertAlign w:val="superscript"/>
        </w:rPr>
        <w:t xml:space="preserve">, </w:t>
      </w:r>
      <w:r w:rsidRPr="0039248B">
        <w:rPr>
          <w:vertAlign w:val="superscript"/>
        </w:rPr>
        <w:t>*</w:t>
      </w:r>
      <w:bookmarkStart w:id="3" w:name="OLE_LINK54"/>
      <w:r w:rsidRPr="0039248B">
        <w:t>,</w:t>
      </w:r>
      <w:bookmarkEnd w:id="3"/>
      <w:r w:rsidRPr="0039248B">
        <w:t xml:space="preserve"> </w:t>
      </w:r>
      <w:proofErr w:type="spellStart"/>
      <w:r w:rsidRPr="0039248B">
        <w:t>Aihua</w:t>
      </w:r>
      <w:proofErr w:type="spellEnd"/>
      <w:r w:rsidRPr="0039248B">
        <w:t xml:space="preserve"> Sun</w:t>
      </w:r>
      <w:r w:rsidRPr="0039248B">
        <w:rPr>
          <w:bCs/>
          <w:vertAlign w:val="superscript"/>
        </w:rPr>
        <w:t>1,3</w:t>
      </w:r>
      <w:r w:rsidRPr="0039248B">
        <w:rPr>
          <w:vertAlign w:val="superscript"/>
        </w:rPr>
        <w:t>*</w:t>
      </w:r>
      <w:r w:rsidRPr="0039248B">
        <w:t>, Dong Yang</w:t>
      </w:r>
      <w:r w:rsidRPr="0039248B">
        <w:rPr>
          <w:bCs/>
          <w:vertAlign w:val="superscript"/>
        </w:rPr>
        <w:t>1</w:t>
      </w:r>
      <w:r w:rsidRPr="0039248B">
        <w:rPr>
          <w:vertAlign w:val="superscript"/>
        </w:rPr>
        <w:t>*</w:t>
      </w:r>
      <w:bookmarkEnd w:id="0"/>
      <w:r>
        <w:rPr>
          <w:vertAlign w:val="superscript"/>
        </w:rPr>
        <w:t xml:space="preserve"> </w:t>
      </w:r>
    </w:p>
    <w:p w14:paraId="4945C8CF" w14:textId="77777777" w:rsidR="00A71D8A" w:rsidRDefault="00A71D8A" w:rsidP="00A71D8A">
      <w:pPr>
        <w:spacing w:before="240" w:after="0"/>
        <w:rPr>
          <w:rFonts w:cs="Times New Roman"/>
          <w:szCs w:val="24"/>
        </w:rPr>
      </w:pPr>
      <w:r w:rsidRPr="00376CC5">
        <w:rPr>
          <w:rFonts w:cs="Times New Roman"/>
          <w:b/>
          <w:szCs w:val="24"/>
        </w:rPr>
        <w:t xml:space="preserve">* Correspondence: </w:t>
      </w:r>
      <w:r w:rsidRPr="00376CC5">
        <w:rPr>
          <w:rFonts w:cs="Times New Roman"/>
          <w:b/>
          <w:szCs w:val="24"/>
        </w:rPr>
        <w:br/>
      </w:r>
      <w:r w:rsidRPr="00690346">
        <w:rPr>
          <w:rFonts w:cs="Times New Roman"/>
          <w:szCs w:val="24"/>
        </w:rPr>
        <w:t>Dong Yang</w:t>
      </w:r>
    </w:p>
    <w:p w14:paraId="15357728" w14:textId="77777777" w:rsidR="00A71D8A" w:rsidRDefault="00A71D8A" w:rsidP="00A71D8A">
      <w:pPr>
        <w:spacing w:before="0" w:after="0"/>
        <w:rPr>
          <w:rFonts w:cs="Times New Roman"/>
          <w:szCs w:val="24"/>
        </w:rPr>
      </w:pPr>
      <w:r w:rsidRPr="00690346">
        <w:rPr>
          <w:rFonts w:cs="Times New Roman"/>
          <w:szCs w:val="24"/>
        </w:rPr>
        <w:t xml:space="preserve">E-mail: </w:t>
      </w:r>
      <w:hyperlink r:id="rId12" w:history="1">
        <w:r w:rsidRPr="0021740E">
          <w:t>yangdong@ncpsb.org.cn</w:t>
        </w:r>
      </w:hyperlink>
    </w:p>
    <w:p w14:paraId="3F28F7B9" w14:textId="77777777" w:rsidR="00A71D8A" w:rsidRDefault="00A71D8A" w:rsidP="00A71D8A">
      <w:pPr>
        <w:spacing w:before="0" w:after="0"/>
        <w:rPr>
          <w:rFonts w:cs="Times New Roman"/>
          <w:szCs w:val="24"/>
        </w:rPr>
      </w:pPr>
      <w:proofErr w:type="spellStart"/>
      <w:r w:rsidRPr="00323F4F">
        <w:rPr>
          <w:rFonts w:cs="Times New Roman"/>
          <w:szCs w:val="24"/>
        </w:rPr>
        <w:t>Aihua</w:t>
      </w:r>
      <w:proofErr w:type="spellEnd"/>
      <w:r w:rsidRPr="00323F4F">
        <w:rPr>
          <w:rFonts w:cs="Times New Roman"/>
          <w:szCs w:val="24"/>
        </w:rPr>
        <w:t xml:space="preserve"> Sun</w:t>
      </w:r>
    </w:p>
    <w:p w14:paraId="21B444E8" w14:textId="77777777" w:rsidR="00A71D8A" w:rsidRDefault="00A71D8A" w:rsidP="00A71D8A">
      <w:pPr>
        <w:spacing w:before="0" w:after="0"/>
        <w:rPr>
          <w:rFonts w:cs="Times New Roman"/>
          <w:szCs w:val="24"/>
        </w:rPr>
      </w:pPr>
      <w:r w:rsidRPr="00323F4F">
        <w:rPr>
          <w:rFonts w:cs="Times New Roman"/>
          <w:szCs w:val="24"/>
        </w:rPr>
        <w:t xml:space="preserve">E-mail: </w:t>
      </w:r>
      <w:hyperlink r:id="rId13" w:history="1">
        <w:r w:rsidRPr="0021740E">
          <w:t>sunaihua@ncpsb.org.cn</w:t>
        </w:r>
      </w:hyperlink>
    </w:p>
    <w:p w14:paraId="1BC443D0" w14:textId="77777777" w:rsidR="00A71D8A" w:rsidRPr="0021740E" w:rsidRDefault="00A71D8A" w:rsidP="00A71D8A">
      <w:pPr>
        <w:spacing w:before="0" w:after="0"/>
        <w:rPr>
          <w:rFonts w:cs="Times New Roman"/>
          <w:szCs w:val="24"/>
          <w:lang w:eastAsia="zh-CN"/>
        </w:rPr>
      </w:pPr>
      <w:r w:rsidRPr="0021740E">
        <w:rPr>
          <w:rFonts w:cs="Times New Roman"/>
          <w:szCs w:val="24"/>
        </w:rPr>
        <w:t>Fei Wang,</w:t>
      </w:r>
    </w:p>
    <w:p w14:paraId="536A39A2" w14:textId="77777777" w:rsidR="00A71D8A" w:rsidRDefault="00A71D8A" w:rsidP="00A71D8A">
      <w:pPr>
        <w:spacing w:before="0" w:after="0"/>
        <w:rPr>
          <w:rFonts w:cs="Times New Roman"/>
          <w:szCs w:val="24"/>
        </w:rPr>
      </w:pPr>
      <w:r w:rsidRPr="0021740E">
        <w:rPr>
          <w:rFonts w:cs="Times New Roman"/>
          <w:szCs w:val="24"/>
        </w:rPr>
        <w:t>E-mail: orthopedics.ghstc@gmail.com</w:t>
      </w:r>
    </w:p>
    <w:p w14:paraId="217F3AE0" w14:textId="6F53B0FA" w:rsidR="002868E2" w:rsidRPr="00A71D8A" w:rsidRDefault="00A71D8A" w:rsidP="00A71D8A">
      <w:pPr>
        <w:spacing w:after="0"/>
        <w:rPr>
          <w:rFonts w:cs="Times New Roman"/>
          <w:b/>
          <w:szCs w:val="24"/>
          <w:lang w:eastAsia="zh-CN"/>
        </w:rPr>
      </w:pPr>
      <w:r w:rsidRPr="0069701C">
        <w:rPr>
          <w:rFonts w:ascii="Helvetica" w:hAnsi="Helvetica"/>
          <w:vertAlign w:val="superscript"/>
          <w:lang w:eastAsia="zh-CN"/>
        </w:rPr>
        <w:t>†</w:t>
      </w:r>
      <w:r w:rsidRPr="00460487">
        <w:rPr>
          <w:rFonts w:cs="Times New Roman"/>
          <w:szCs w:val="24"/>
        </w:rPr>
        <w:t>These authors contributed equally to this work and share first authorship</w:t>
      </w:r>
      <w:r>
        <w:rPr>
          <w:rFonts w:cs="Times New Roman"/>
          <w:szCs w:val="24"/>
        </w:rPr>
        <w:t>.</w:t>
      </w:r>
    </w:p>
    <w:p w14:paraId="5E584EE8" w14:textId="33389A8B" w:rsidR="00994A3D" w:rsidRPr="00994A3D" w:rsidRDefault="00654E8F" w:rsidP="0001436A">
      <w:pPr>
        <w:pStyle w:val="Heading1"/>
      </w:pPr>
      <w:r w:rsidRPr="00994A3D">
        <w:t>Supplementary Figures</w:t>
      </w:r>
      <w:r w:rsidR="00540A2A">
        <w:t xml:space="preserve"> and Tables</w:t>
      </w:r>
    </w:p>
    <w:p w14:paraId="07970E94" w14:textId="53DF80F4" w:rsidR="00994A3D" w:rsidRDefault="00994A3D" w:rsidP="0001436A">
      <w:pPr>
        <w:pStyle w:val="Heading2"/>
      </w:pPr>
      <w:r w:rsidRPr="0001436A">
        <w:t>Supplementary</w:t>
      </w:r>
      <w:r w:rsidRPr="001549D3">
        <w:t xml:space="preserve"> Figures</w:t>
      </w:r>
    </w:p>
    <w:p w14:paraId="4062E815" w14:textId="7A9339F2" w:rsidR="004D136F" w:rsidRPr="004D136F" w:rsidRDefault="004D136F" w:rsidP="004D136F">
      <w:r>
        <w:rPr>
          <w:noProof/>
        </w:rPr>
        <w:lastRenderedPageBreak/>
        <w:drawing>
          <wp:inline distT="0" distB="0" distL="0" distR="0" wp14:anchorId="7D22E183" wp14:editId="5A14FEF9">
            <wp:extent cx="5108330" cy="5866454"/>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4656" cy="5908171"/>
                    </a:xfrm>
                    <a:prstGeom prst="rect">
                      <a:avLst/>
                    </a:prstGeom>
                  </pic:spPr>
                </pic:pic>
              </a:graphicData>
            </a:graphic>
          </wp:inline>
        </w:drawing>
      </w:r>
    </w:p>
    <w:p w14:paraId="3B020E77" w14:textId="3C645990" w:rsidR="00994A3D" w:rsidRDefault="00994A3D" w:rsidP="002B4A57">
      <w:pPr>
        <w:keepNext/>
        <w:rPr>
          <w:rFonts w:eastAsia="仿宋"/>
        </w:rPr>
      </w:pPr>
      <w:bookmarkStart w:id="4" w:name="OLE_LINK95"/>
      <w:r w:rsidRPr="0001436A">
        <w:rPr>
          <w:rFonts w:cs="Times New Roman"/>
          <w:b/>
          <w:szCs w:val="24"/>
        </w:rPr>
        <w:t>Supplementary Figure</w:t>
      </w:r>
      <w:bookmarkEnd w:id="4"/>
      <w:r w:rsidRPr="0001436A">
        <w:rPr>
          <w:rFonts w:cs="Times New Roman"/>
          <w:b/>
          <w:szCs w:val="24"/>
        </w:rPr>
        <w:t xml:space="preserve"> </w:t>
      </w:r>
      <w:r w:rsidR="00540A2A">
        <w:rPr>
          <w:rFonts w:cs="Times New Roman"/>
          <w:b/>
          <w:szCs w:val="24"/>
        </w:rPr>
        <w:t>1</w:t>
      </w:r>
      <w:r w:rsidRPr="0001436A">
        <w:rPr>
          <w:rFonts w:cs="Times New Roman"/>
          <w:b/>
          <w:szCs w:val="24"/>
        </w:rPr>
        <w:t>.</w:t>
      </w:r>
      <w:r w:rsidRPr="001549D3">
        <w:rPr>
          <w:rFonts w:cs="Times New Roman"/>
          <w:szCs w:val="24"/>
        </w:rPr>
        <w:t xml:space="preserve"> </w:t>
      </w:r>
      <w:bookmarkStart w:id="5" w:name="OLE_LINK93"/>
      <w:r w:rsidR="00A71D8A" w:rsidRPr="003A04E7">
        <w:rPr>
          <w:rFonts w:eastAsia="仿宋"/>
          <w:b/>
          <w:bCs/>
        </w:rPr>
        <w:t>Nonnegative matrix factorization (NMF) classification with rank K from 2 to 6 identifies four subtypes.</w:t>
      </w:r>
      <w:r w:rsidR="00A71D8A">
        <w:rPr>
          <w:rFonts w:eastAsia="仿宋" w:hint="eastAsia"/>
        </w:rPr>
        <w:t xml:space="preserve"> </w:t>
      </w:r>
      <w:r w:rsidR="00A71D8A" w:rsidRPr="0039248B">
        <w:rPr>
          <w:rFonts w:eastAsia="仿宋"/>
        </w:rPr>
        <w:t>(A) Estimating the rank: Quality measures were computed from 100 iterations for rank K from 2 to 6. (B) Heat map of NMF consensus matrix with rank K from 2 to 6. Based on visual inspection of the hierarchical clustering and the profiles of cophenetic</w:t>
      </w:r>
      <w:r w:rsidR="004D136F">
        <w:rPr>
          <w:rFonts w:eastAsia="仿宋"/>
        </w:rPr>
        <w:t xml:space="preserve"> </w:t>
      </w:r>
      <w:r w:rsidR="00A71D8A" w:rsidRPr="0039248B">
        <w:rPr>
          <w:rFonts w:eastAsia="仿宋"/>
        </w:rPr>
        <w:lastRenderedPageBreak/>
        <w:t>correlation coefficient and average silhouette width for solutions with 2 to 6 clusters, we consider K = 4 the preferred solution.</w:t>
      </w:r>
      <w:bookmarkEnd w:id="5"/>
    </w:p>
    <w:p w14:paraId="375422E4" w14:textId="1A715302" w:rsidR="004D136F" w:rsidRDefault="004D136F" w:rsidP="002B4A57">
      <w:pPr>
        <w:keepNext/>
        <w:rPr>
          <w:rFonts w:eastAsia="仿宋"/>
        </w:rPr>
      </w:pPr>
      <w:r>
        <w:rPr>
          <w:rFonts w:eastAsia="仿宋"/>
          <w:noProof/>
        </w:rPr>
        <w:drawing>
          <wp:inline distT="0" distB="0" distL="0" distR="0" wp14:anchorId="088A2C4D" wp14:editId="521D713E">
            <wp:extent cx="6208395" cy="480314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8395" cy="4803140"/>
                    </a:xfrm>
                    <a:prstGeom prst="rect">
                      <a:avLst/>
                    </a:prstGeom>
                  </pic:spPr>
                </pic:pic>
              </a:graphicData>
            </a:graphic>
          </wp:inline>
        </w:drawing>
      </w:r>
    </w:p>
    <w:p w14:paraId="4A2569C8" w14:textId="4E8E35C8" w:rsidR="00540A2A" w:rsidRDefault="00540A2A" w:rsidP="00540A2A">
      <w:pPr>
        <w:jc w:val="both"/>
        <w:rPr>
          <w:rFonts w:eastAsia="仿宋"/>
          <w:b/>
          <w:bCs/>
        </w:rPr>
      </w:pPr>
      <w:r w:rsidRPr="0001436A">
        <w:rPr>
          <w:rFonts w:cs="Times New Roman"/>
          <w:b/>
          <w:szCs w:val="24"/>
        </w:rPr>
        <w:t>Supplementary Figure</w:t>
      </w:r>
      <w:r w:rsidRPr="0039248B">
        <w:rPr>
          <w:rFonts w:eastAsia="仿宋"/>
          <w:b/>
          <w:bCs/>
        </w:rPr>
        <w:t xml:space="preserve"> 2.</w:t>
      </w:r>
      <w:r w:rsidRPr="0039248B">
        <w:rPr>
          <w:rFonts w:eastAsia="仿宋"/>
        </w:rPr>
        <w:t xml:space="preserve"> </w:t>
      </w:r>
      <w:r w:rsidRPr="003A04E7">
        <w:rPr>
          <w:rFonts w:eastAsia="仿宋"/>
          <w:b/>
          <w:bCs/>
        </w:rPr>
        <w:t>Consensus matrices computed from 400 runs with rank=4.</w:t>
      </w:r>
    </w:p>
    <w:p w14:paraId="40B226D4" w14:textId="43C25661" w:rsidR="004D136F" w:rsidRDefault="004D136F" w:rsidP="00540A2A">
      <w:pPr>
        <w:jc w:val="both"/>
        <w:rPr>
          <w:rFonts w:eastAsia="仿宋"/>
          <w:b/>
          <w:bCs/>
        </w:rPr>
      </w:pPr>
      <w:r>
        <w:rPr>
          <w:rFonts w:eastAsia="仿宋"/>
          <w:b/>
          <w:bCs/>
          <w:noProof/>
        </w:rPr>
        <w:lastRenderedPageBreak/>
        <w:drawing>
          <wp:inline distT="0" distB="0" distL="0" distR="0" wp14:anchorId="1178A966" wp14:editId="58DC3E0F">
            <wp:extent cx="6208395" cy="4041775"/>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8395" cy="4041775"/>
                    </a:xfrm>
                    <a:prstGeom prst="rect">
                      <a:avLst/>
                    </a:prstGeom>
                  </pic:spPr>
                </pic:pic>
              </a:graphicData>
            </a:graphic>
          </wp:inline>
        </w:drawing>
      </w:r>
    </w:p>
    <w:p w14:paraId="586C8D6E" w14:textId="6892CC51" w:rsidR="00D60CD9" w:rsidRDefault="00540A2A" w:rsidP="00540A2A">
      <w:pPr>
        <w:jc w:val="both"/>
        <w:rPr>
          <w:rFonts w:eastAsia="仿宋"/>
          <w:lang w:eastAsia="zh-CN"/>
        </w:rPr>
      </w:pPr>
      <w:r w:rsidRPr="0001436A">
        <w:rPr>
          <w:rFonts w:cs="Times New Roman"/>
          <w:b/>
          <w:szCs w:val="24"/>
        </w:rPr>
        <w:t>Supplementary Figure</w:t>
      </w:r>
      <w:r w:rsidRPr="0039248B">
        <w:rPr>
          <w:rFonts w:eastAsia="仿宋"/>
          <w:b/>
          <w:bCs/>
        </w:rPr>
        <w:t xml:space="preserve"> 3.</w:t>
      </w:r>
      <w:r w:rsidRPr="0039248B">
        <w:rPr>
          <w:rFonts w:eastAsia="仿宋"/>
        </w:rPr>
        <w:t xml:space="preserve"> </w:t>
      </w:r>
      <w:r w:rsidRPr="003A04E7">
        <w:rPr>
          <w:rFonts w:eastAsia="仿宋"/>
          <w:b/>
          <w:bCs/>
        </w:rPr>
        <w:t>Differential immune infiltrating levels in tumors across four subtypes.</w:t>
      </w:r>
      <w:r>
        <w:rPr>
          <w:rFonts w:eastAsia="仿宋" w:hint="eastAsia"/>
        </w:rPr>
        <w:t xml:space="preserve"> </w:t>
      </w:r>
      <w:r w:rsidRPr="0039248B">
        <w:rPr>
          <w:rFonts w:eastAsia="仿宋"/>
        </w:rPr>
        <w:t xml:space="preserve">(A) Violin plots showed the distributions of the microenvironment score of each subtype computed by </w:t>
      </w:r>
      <w:proofErr w:type="spellStart"/>
      <w:r w:rsidRPr="0039248B">
        <w:rPr>
          <w:rFonts w:eastAsia="仿宋"/>
        </w:rPr>
        <w:t>xCell</w:t>
      </w:r>
      <w:proofErr w:type="spellEnd"/>
      <w:r w:rsidRPr="0039248B">
        <w:rPr>
          <w:rFonts w:eastAsia="仿宋"/>
        </w:rPr>
        <w:t xml:space="preserve"> (up) or ESTIMATE (down). The width of the violin plot represented the number of samples at the given expression level on the height. (B) Heatmap indicated the activation of various immune pathways in each subtype. S-Ⅱ showed obvious overexpression of genes involved in inflammation, cytotoxicity, innate and adaptive immunity, immune cells recruitment, antigen presentation, and immune suppression (S-Ⅱ patients </w:t>
      </w:r>
      <w:r w:rsidRPr="0039248B">
        <w:rPr>
          <w:rFonts w:eastAsia="仿宋"/>
          <w:i/>
          <w:iCs/>
        </w:rPr>
        <w:t>vs.</w:t>
      </w:r>
      <w:r w:rsidRPr="0039248B">
        <w:rPr>
          <w:rFonts w:eastAsia="仿宋"/>
        </w:rPr>
        <w:t xml:space="preserve"> other patients). **P&lt;0.01, ***P&lt;0.001, ****P&lt;0.0001. </w:t>
      </w:r>
      <w:r w:rsidRPr="00B61F6E">
        <w:rPr>
          <w:rFonts w:eastAsia="仿宋"/>
        </w:rPr>
        <w:t>Statistical test: Wilcoxon.</w:t>
      </w:r>
    </w:p>
    <w:p w14:paraId="62B51CDC" w14:textId="77510467" w:rsidR="00D60CD9" w:rsidRDefault="007227D5" w:rsidP="00540A2A">
      <w:pPr>
        <w:jc w:val="both"/>
        <w:rPr>
          <w:rFonts w:eastAsia="仿宋"/>
          <w:lang w:eastAsia="zh-CN"/>
        </w:rPr>
      </w:pPr>
      <w:r>
        <w:rPr>
          <w:rFonts w:eastAsia="仿宋"/>
          <w:noProof/>
          <w:lang w:eastAsia="zh-CN"/>
        </w:rPr>
        <w:lastRenderedPageBreak/>
        <w:drawing>
          <wp:inline distT="0" distB="0" distL="0" distR="0" wp14:anchorId="7A22D1A2" wp14:editId="4EC42BC5">
            <wp:extent cx="6208395" cy="5802630"/>
            <wp:effectExtent l="0" t="0" r="1905" b="1270"/>
            <wp:docPr id="11"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5802630"/>
                    </a:xfrm>
                    <a:prstGeom prst="rect">
                      <a:avLst/>
                    </a:prstGeom>
                  </pic:spPr>
                </pic:pic>
              </a:graphicData>
            </a:graphic>
          </wp:inline>
        </w:drawing>
      </w:r>
    </w:p>
    <w:p w14:paraId="5CA62F1C" w14:textId="7F5613AB" w:rsidR="005014B9" w:rsidRDefault="00D60CD9" w:rsidP="005014B9">
      <w:pPr>
        <w:snapToGrid w:val="0"/>
        <w:jc w:val="both"/>
        <w:rPr>
          <w:rFonts w:eastAsia="仿宋"/>
          <w:lang w:eastAsia="zh-CN"/>
        </w:rPr>
      </w:pPr>
      <w:r w:rsidRPr="0001436A">
        <w:rPr>
          <w:rFonts w:cs="Times New Roman"/>
          <w:b/>
          <w:szCs w:val="24"/>
        </w:rPr>
        <w:t>Supplementary</w:t>
      </w:r>
      <w:r>
        <w:rPr>
          <w:rFonts w:eastAsia="仿宋"/>
          <w:b/>
          <w:bCs/>
        </w:rPr>
        <w:t xml:space="preserve"> </w:t>
      </w:r>
      <w:r w:rsidR="005014B9">
        <w:rPr>
          <w:rFonts w:eastAsia="仿宋"/>
          <w:b/>
          <w:bCs/>
        </w:rPr>
        <w:t xml:space="preserve">Figure 4. SQLE knockdown produced significant inhibition on cancer-related phenotypes of Saos-2 cells </w:t>
      </w:r>
      <w:r w:rsidR="005014B9" w:rsidRPr="00FA3A54">
        <w:rPr>
          <w:rFonts w:eastAsia="仿宋"/>
          <w:b/>
          <w:bCs/>
          <w:i/>
          <w:iCs/>
        </w:rPr>
        <w:t>in vitro</w:t>
      </w:r>
      <w:r w:rsidR="005014B9">
        <w:rPr>
          <w:rFonts w:eastAsia="仿宋"/>
          <w:b/>
          <w:bCs/>
        </w:rPr>
        <w:t>.</w:t>
      </w:r>
      <w:r w:rsidR="005014B9">
        <w:rPr>
          <w:rFonts w:eastAsia="仿宋" w:hint="eastAsia"/>
        </w:rPr>
        <w:t xml:space="preserve"> </w:t>
      </w:r>
      <w:r w:rsidR="005014B9">
        <w:rPr>
          <w:rFonts w:eastAsia="仿宋"/>
        </w:rPr>
        <w:t>(A) Quantitative PCR (Q</w:t>
      </w:r>
      <w:r w:rsidR="005014B9">
        <w:rPr>
          <w:rFonts w:eastAsia="仿宋"/>
        </w:rPr>
        <w:noBreakHyphen/>
        <w:t>PCR) with mRNA expression confirmed the knockdown of SQLE after 24 h siRNA transfection. (B) Western blot analyses with protein expression confirmed the knockdown of SQLE after 48 h siRNA transfection. The β-actin was treated as the loading control. (C) Cell proliferation was suppressed by SQLE knockdown. (D) Cell migration was inhibited by SQLE knockdown. The scale bar represented 100 </w:t>
      </w:r>
      <w:proofErr w:type="spellStart"/>
      <w:r w:rsidR="005014B9">
        <w:rPr>
          <w:rFonts w:eastAsia="仿宋"/>
        </w:rPr>
        <w:t>μm</w:t>
      </w:r>
      <w:proofErr w:type="spellEnd"/>
      <w:r w:rsidR="005014B9">
        <w:rPr>
          <w:rFonts w:eastAsia="仿宋"/>
        </w:rPr>
        <w:t xml:space="preserve">. (E) indicated the quantification of positive signals from (D). (F) </w:t>
      </w:r>
      <w:r w:rsidR="005014B9">
        <w:rPr>
          <w:rFonts w:eastAsia="仿宋" w:hint="eastAsia"/>
        </w:rPr>
        <w:t>The</w:t>
      </w:r>
      <w:r w:rsidR="005014B9">
        <w:rPr>
          <w:rFonts w:eastAsia="仿宋"/>
        </w:rPr>
        <w:t xml:space="preserve"> </w:t>
      </w:r>
      <w:r w:rsidR="005014B9">
        <w:rPr>
          <w:rFonts w:eastAsia="仿宋" w:hint="eastAsia"/>
        </w:rPr>
        <w:t>level</w:t>
      </w:r>
      <w:r w:rsidR="005014B9">
        <w:rPr>
          <w:rFonts w:eastAsia="仿宋"/>
        </w:rPr>
        <w:t xml:space="preserve"> </w:t>
      </w:r>
      <w:r w:rsidR="005014B9">
        <w:rPr>
          <w:rFonts w:eastAsia="仿宋" w:hint="eastAsia"/>
        </w:rPr>
        <w:t>of</w:t>
      </w:r>
      <w:r w:rsidR="005014B9">
        <w:rPr>
          <w:rFonts w:eastAsia="仿宋"/>
        </w:rPr>
        <w:t xml:space="preserve"> </w:t>
      </w:r>
      <w:r w:rsidR="005014B9">
        <w:rPr>
          <w:rFonts w:eastAsia="仿宋" w:hint="eastAsia"/>
        </w:rPr>
        <w:t>i</w:t>
      </w:r>
      <w:r w:rsidR="005014B9">
        <w:rPr>
          <w:rFonts w:eastAsia="仿宋"/>
        </w:rPr>
        <w:t xml:space="preserve">ntracellular cholesterol </w:t>
      </w:r>
      <w:r w:rsidR="005014B9">
        <w:rPr>
          <w:rFonts w:eastAsia="仿宋" w:hint="eastAsia"/>
        </w:rPr>
        <w:t>was</w:t>
      </w:r>
      <w:r w:rsidR="005014B9">
        <w:rPr>
          <w:rFonts w:eastAsia="仿宋"/>
        </w:rPr>
        <w:t xml:space="preserve"> </w:t>
      </w:r>
      <w:r w:rsidR="005014B9">
        <w:rPr>
          <w:rFonts w:eastAsia="仿宋" w:hint="eastAsia"/>
        </w:rPr>
        <w:t>reduced</w:t>
      </w:r>
      <w:r w:rsidR="005014B9">
        <w:rPr>
          <w:rFonts w:eastAsia="仿宋"/>
        </w:rPr>
        <w:t xml:space="preserve"> </w:t>
      </w:r>
      <w:r w:rsidR="005014B9">
        <w:rPr>
          <w:rFonts w:eastAsia="仿宋" w:hint="eastAsia"/>
        </w:rPr>
        <w:t>by</w:t>
      </w:r>
      <w:r w:rsidR="005014B9">
        <w:rPr>
          <w:rFonts w:eastAsia="仿宋"/>
        </w:rPr>
        <w:t xml:space="preserve"> </w:t>
      </w:r>
      <w:r w:rsidR="005014B9">
        <w:rPr>
          <w:rFonts w:eastAsia="仿宋" w:hint="eastAsia"/>
        </w:rPr>
        <w:t>SQLE</w:t>
      </w:r>
      <w:r w:rsidR="005014B9">
        <w:rPr>
          <w:rFonts w:eastAsia="仿宋"/>
        </w:rPr>
        <w:t xml:space="preserve"> </w:t>
      </w:r>
      <w:r w:rsidR="005014B9">
        <w:rPr>
          <w:rFonts w:eastAsia="仿宋" w:hint="eastAsia"/>
        </w:rPr>
        <w:t>knockdown.</w:t>
      </w:r>
      <w:r w:rsidR="005014B9">
        <w:rPr>
          <w:rFonts w:eastAsia="仿宋"/>
        </w:rPr>
        <w:t xml:space="preserve"> Error bars represented ± SD of three biological replicates. **P &lt; 0.01, ***P &lt; 0.001 by Student t-</w:t>
      </w:r>
      <w:proofErr w:type="gramStart"/>
      <w:r w:rsidR="005014B9">
        <w:rPr>
          <w:rFonts w:eastAsia="仿宋"/>
        </w:rPr>
        <w:t>test.</w:t>
      </w:r>
      <w:r w:rsidR="00343D56">
        <w:rPr>
          <w:rFonts w:eastAsia="仿宋"/>
        </w:rPr>
        <w:t>`</w:t>
      </w:r>
      <w:proofErr w:type="gramEnd"/>
      <w:r w:rsidR="00343D56">
        <w:rPr>
          <w:rFonts w:eastAsia="仿宋"/>
        </w:rPr>
        <w:t>`</w:t>
      </w:r>
    </w:p>
    <w:p w14:paraId="642E252F" w14:textId="3BC7BE7C" w:rsidR="00110F15" w:rsidRDefault="00110F15" w:rsidP="005014B9">
      <w:pPr>
        <w:snapToGrid w:val="0"/>
        <w:jc w:val="both"/>
        <w:rPr>
          <w:rFonts w:eastAsia="仿宋"/>
        </w:rPr>
      </w:pPr>
      <w:r>
        <w:rPr>
          <w:rFonts w:eastAsia="仿宋"/>
          <w:noProof/>
        </w:rPr>
        <w:lastRenderedPageBreak/>
        <w:drawing>
          <wp:inline distT="0" distB="0" distL="0" distR="0" wp14:anchorId="78E37987" wp14:editId="52EDCCF9">
            <wp:extent cx="5994400" cy="3594100"/>
            <wp:effectExtent l="0" t="0" r="0" b="0"/>
            <wp:docPr id="12" name="图片 1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4400" cy="3594100"/>
                    </a:xfrm>
                    <a:prstGeom prst="rect">
                      <a:avLst/>
                    </a:prstGeom>
                  </pic:spPr>
                </pic:pic>
              </a:graphicData>
            </a:graphic>
          </wp:inline>
        </w:drawing>
      </w:r>
    </w:p>
    <w:p w14:paraId="785CC5F3" w14:textId="0DA83D48" w:rsidR="005014B9" w:rsidRDefault="00D60CD9" w:rsidP="005014B9">
      <w:pPr>
        <w:snapToGrid w:val="0"/>
        <w:jc w:val="both"/>
        <w:rPr>
          <w:rFonts w:eastAsia="仿宋"/>
          <w:lang w:eastAsia="zh-CN"/>
        </w:rPr>
      </w:pPr>
      <w:r w:rsidRPr="0001436A">
        <w:rPr>
          <w:rFonts w:cs="Times New Roman"/>
          <w:b/>
          <w:szCs w:val="24"/>
        </w:rPr>
        <w:t>Supplementary</w:t>
      </w:r>
      <w:r>
        <w:rPr>
          <w:rFonts w:eastAsia="仿宋"/>
          <w:b/>
          <w:bCs/>
        </w:rPr>
        <w:t xml:space="preserve"> </w:t>
      </w:r>
      <w:r w:rsidR="005014B9">
        <w:rPr>
          <w:rFonts w:eastAsia="仿宋"/>
          <w:b/>
          <w:bCs/>
        </w:rPr>
        <w:t xml:space="preserve">Figure 5. </w:t>
      </w:r>
      <w:bookmarkStart w:id="6" w:name="OLE_LINK140"/>
      <w:r w:rsidR="005014B9">
        <w:rPr>
          <w:rFonts w:eastAsia="仿宋"/>
          <w:b/>
          <w:bCs/>
        </w:rPr>
        <w:t xml:space="preserve">Terbinafine treatment impaired </w:t>
      </w:r>
      <w:r w:rsidR="00806C4C">
        <w:rPr>
          <w:rFonts w:eastAsia="仿宋"/>
          <w:b/>
          <w:bCs/>
        </w:rPr>
        <w:t xml:space="preserve">the </w:t>
      </w:r>
      <w:r w:rsidR="005014B9">
        <w:rPr>
          <w:rFonts w:eastAsia="仿宋"/>
          <w:b/>
          <w:bCs/>
        </w:rPr>
        <w:t>growth and migration of Saos-2 cells</w:t>
      </w:r>
      <w:bookmarkEnd w:id="6"/>
      <w:r w:rsidR="005014B9">
        <w:rPr>
          <w:rFonts w:eastAsia="仿宋"/>
          <w:b/>
          <w:bCs/>
        </w:rPr>
        <w:t xml:space="preserve"> </w:t>
      </w:r>
      <w:r w:rsidR="005014B9">
        <w:rPr>
          <w:rFonts w:eastAsia="仿宋"/>
          <w:b/>
          <w:bCs/>
          <w:i/>
          <w:iCs/>
        </w:rPr>
        <w:t>in vitro</w:t>
      </w:r>
      <w:r w:rsidR="005014B9">
        <w:rPr>
          <w:rFonts w:eastAsia="仿宋"/>
          <w:b/>
          <w:bCs/>
        </w:rPr>
        <w:t>.</w:t>
      </w:r>
      <w:r>
        <w:rPr>
          <w:rFonts w:eastAsia="仿宋" w:hint="eastAsia"/>
        </w:rPr>
        <w:t xml:space="preserve"> </w:t>
      </w:r>
      <w:r w:rsidR="005014B9">
        <w:rPr>
          <w:rFonts w:eastAsia="仿宋"/>
        </w:rPr>
        <w:t xml:space="preserve">(A) Different gradient concentrations of terbinafine were added to the Saos-2 cells. As the dosage of terbinafine increased, the viability of the cells decreased. (B) The Saos-2 cells were respectively treated with 25 </w:t>
      </w:r>
      <w:proofErr w:type="spellStart"/>
      <w:r w:rsidR="005014B9">
        <w:rPr>
          <w:rFonts w:eastAsia="仿宋"/>
        </w:rPr>
        <w:t>μM</w:t>
      </w:r>
      <w:proofErr w:type="spellEnd"/>
      <w:r w:rsidR="005014B9">
        <w:rPr>
          <w:rFonts w:eastAsia="仿宋"/>
        </w:rPr>
        <w:t xml:space="preserve"> and 50 </w:t>
      </w:r>
      <w:proofErr w:type="spellStart"/>
      <w:r w:rsidR="005014B9">
        <w:rPr>
          <w:rFonts w:eastAsia="仿宋"/>
        </w:rPr>
        <w:t>μM</w:t>
      </w:r>
      <w:proofErr w:type="spellEnd"/>
      <w:r w:rsidR="005014B9">
        <w:rPr>
          <w:rFonts w:eastAsia="仿宋"/>
        </w:rPr>
        <w:t xml:space="preserve"> terbinafine. The number of migrating cells decreased obviously with the increase in drug concentration. Scale bars, 100 </w:t>
      </w:r>
      <w:proofErr w:type="spellStart"/>
      <w:r w:rsidR="005014B9">
        <w:rPr>
          <w:rFonts w:eastAsia="仿宋"/>
        </w:rPr>
        <w:t>μm</w:t>
      </w:r>
      <w:proofErr w:type="spellEnd"/>
      <w:r w:rsidR="005014B9">
        <w:rPr>
          <w:rFonts w:eastAsia="仿宋"/>
        </w:rPr>
        <w:t xml:space="preserve">. (C) indicated the quantification of positive signals from (B). (D) </w:t>
      </w:r>
      <w:r w:rsidR="005014B9">
        <w:rPr>
          <w:rFonts w:eastAsia="仿宋" w:hint="eastAsia"/>
        </w:rPr>
        <w:t>The</w:t>
      </w:r>
      <w:r w:rsidR="005014B9">
        <w:rPr>
          <w:rFonts w:eastAsia="仿宋"/>
        </w:rPr>
        <w:t xml:space="preserve"> </w:t>
      </w:r>
      <w:r w:rsidR="005014B9">
        <w:rPr>
          <w:rFonts w:eastAsia="仿宋" w:hint="eastAsia"/>
        </w:rPr>
        <w:t>level</w:t>
      </w:r>
      <w:r w:rsidR="005014B9">
        <w:rPr>
          <w:rFonts w:eastAsia="仿宋"/>
        </w:rPr>
        <w:t xml:space="preserve"> </w:t>
      </w:r>
      <w:r w:rsidR="005014B9">
        <w:rPr>
          <w:rFonts w:eastAsia="仿宋" w:hint="eastAsia"/>
        </w:rPr>
        <w:t>of</w:t>
      </w:r>
      <w:r w:rsidR="005014B9">
        <w:rPr>
          <w:rFonts w:eastAsia="仿宋"/>
        </w:rPr>
        <w:t xml:space="preserve"> </w:t>
      </w:r>
      <w:r w:rsidR="005014B9">
        <w:rPr>
          <w:rFonts w:eastAsia="仿宋" w:hint="eastAsia"/>
        </w:rPr>
        <w:t>i</w:t>
      </w:r>
      <w:r w:rsidR="005014B9">
        <w:rPr>
          <w:rFonts w:eastAsia="仿宋"/>
        </w:rPr>
        <w:t xml:space="preserve">ntracellular cholesterol </w:t>
      </w:r>
      <w:r w:rsidR="005014B9">
        <w:rPr>
          <w:rFonts w:eastAsia="仿宋" w:hint="eastAsia"/>
        </w:rPr>
        <w:t>was</w:t>
      </w:r>
      <w:r w:rsidR="005014B9">
        <w:rPr>
          <w:rFonts w:eastAsia="仿宋"/>
        </w:rPr>
        <w:t xml:space="preserve"> </w:t>
      </w:r>
      <w:r w:rsidR="005014B9">
        <w:rPr>
          <w:rFonts w:eastAsia="仿宋" w:hint="eastAsia"/>
        </w:rPr>
        <w:t>reduced</w:t>
      </w:r>
      <w:r w:rsidR="005014B9">
        <w:rPr>
          <w:rFonts w:eastAsia="仿宋"/>
        </w:rPr>
        <w:t xml:space="preserve"> </w:t>
      </w:r>
      <w:r w:rsidR="005014B9">
        <w:rPr>
          <w:rFonts w:eastAsia="仿宋" w:hint="eastAsia"/>
        </w:rPr>
        <w:t>by</w:t>
      </w:r>
      <w:r w:rsidR="005014B9">
        <w:rPr>
          <w:rFonts w:eastAsia="仿宋"/>
        </w:rPr>
        <w:t xml:space="preserve"> terbinafine</w:t>
      </w:r>
      <w:r w:rsidR="006514EA">
        <w:rPr>
          <w:rFonts w:eastAsia="仿宋"/>
        </w:rPr>
        <w:t xml:space="preserve"> treatment</w:t>
      </w:r>
      <w:r w:rsidR="005014B9">
        <w:rPr>
          <w:rFonts w:eastAsia="仿宋" w:hint="eastAsia"/>
        </w:rPr>
        <w:t>.</w:t>
      </w:r>
      <w:r w:rsidR="005014B9">
        <w:rPr>
          <w:rFonts w:eastAsia="仿宋"/>
        </w:rPr>
        <w:t xml:space="preserve"> Error bars represent mean ± SD; statistical analysis was performed using the </w:t>
      </w:r>
      <w:proofErr w:type="gramStart"/>
      <w:r w:rsidR="005014B9">
        <w:rPr>
          <w:rFonts w:eastAsia="仿宋"/>
        </w:rPr>
        <w:t>Student</w:t>
      </w:r>
      <w:proofErr w:type="gramEnd"/>
      <w:r w:rsidR="005014B9">
        <w:rPr>
          <w:rFonts w:eastAsia="仿宋"/>
        </w:rPr>
        <w:t xml:space="preserve"> t-test. *P </w:t>
      </w:r>
      <w:r w:rsidR="005014B9">
        <w:rPr>
          <w:rFonts w:eastAsia="仿宋" w:hint="eastAsia"/>
        </w:rPr>
        <w:t>&lt;</w:t>
      </w:r>
      <w:r w:rsidR="005014B9">
        <w:rPr>
          <w:rFonts w:eastAsia="仿宋"/>
        </w:rPr>
        <w:t xml:space="preserve"> 0.05, **P &lt; 0.01, ***P &lt; 0.001.</w:t>
      </w:r>
    </w:p>
    <w:p w14:paraId="285C5A86" w14:textId="478BEDF5" w:rsidR="00110F15" w:rsidRDefault="00110F15" w:rsidP="005014B9">
      <w:pPr>
        <w:snapToGrid w:val="0"/>
        <w:jc w:val="both"/>
        <w:rPr>
          <w:rFonts w:eastAsia="仿宋"/>
        </w:rPr>
      </w:pPr>
      <w:r>
        <w:rPr>
          <w:rFonts w:eastAsia="仿宋"/>
          <w:noProof/>
        </w:rPr>
        <w:lastRenderedPageBreak/>
        <w:drawing>
          <wp:inline distT="0" distB="0" distL="0" distR="0" wp14:anchorId="5E34B47B" wp14:editId="2C47C7DB">
            <wp:extent cx="4089400" cy="3505200"/>
            <wp:effectExtent l="0" t="0" r="0" b="0"/>
            <wp:docPr id="13" name="图片 13"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条形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9400" cy="3505200"/>
                    </a:xfrm>
                    <a:prstGeom prst="rect">
                      <a:avLst/>
                    </a:prstGeom>
                  </pic:spPr>
                </pic:pic>
              </a:graphicData>
            </a:graphic>
          </wp:inline>
        </w:drawing>
      </w:r>
    </w:p>
    <w:p w14:paraId="481F9192" w14:textId="091FC029" w:rsidR="005014B9" w:rsidRDefault="00D60CD9" w:rsidP="005014B9">
      <w:pPr>
        <w:snapToGrid w:val="0"/>
        <w:jc w:val="both"/>
        <w:rPr>
          <w:rFonts w:eastAsia="仿宋"/>
        </w:rPr>
      </w:pPr>
      <w:r w:rsidRPr="0001436A">
        <w:rPr>
          <w:rFonts w:cs="Times New Roman"/>
          <w:b/>
          <w:szCs w:val="24"/>
        </w:rPr>
        <w:t>Supplementary</w:t>
      </w:r>
      <w:r>
        <w:rPr>
          <w:rFonts w:eastAsia="仿宋"/>
          <w:b/>
          <w:bCs/>
        </w:rPr>
        <w:t xml:space="preserve"> </w:t>
      </w:r>
      <w:r w:rsidR="005014B9">
        <w:rPr>
          <w:rFonts w:eastAsia="仿宋"/>
          <w:b/>
          <w:bCs/>
        </w:rPr>
        <w:t xml:space="preserve">Figure 6. Terbinafine treatment induced the increase of SQLE </w:t>
      </w:r>
      <w:bookmarkStart w:id="7" w:name="OLE_LINK116"/>
      <w:r w:rsidR="005014B9">
        <w:rPr>
          <w:rFonts w:eastAsia="仿宋"/>
          <w:b/>
          <w:bCs/>
        </w:rPr>
        <w:t>protein levels</w:t>
      </w:r>
      <w:bookmarkEnd w:id="7"/>
      <w:r w:rsidR="005014B9">
        <w:rPr>
          <w:rFonts w:eastAsia="仿宋"/>
          <w:b/>
          <w:bCs/>
        </w:rPr>
        <w:t xml:space="preserve"> in</w:t>
      </w:r>
      <w:r w:rsidR="004E6D65">
        <w:rPr>
          <w:rFonts w:eastAsia="仿宋"/>
          <w:b/>
          <w:bCs/>
        </w:rPr>
        <w:t xml:space="preserve"> </w:t>
      </w:r>
      <w:r w:rsidR="005014B9">
        <w:rPr>
          <w:rFonts w:eastAsia="仿宋"/>
          <w:b/>
          <w:bCs/>
        </w:rPr>
        <w:t>U2OS and Saos-2 cells.</w:t>
      </w:r>
      <w:r>
        <w:rPr>
          <w:rFonts w:eastAsia="仿宋" w:hint="eastAsia"/>
        </w:rPr>
        <w:t xml:space="preserve"> </w:t>
      </w:r>
      <w:r w:rsidR="005014B9">
        <w:rPr>
          <w:rFonts w:eastAsia="仿宋"/>
        </w:rPr>
        <w:t xml:space="preserve">Cells were treated with 25 </w:t>
      </w:r>
      <w:proofErr w:type="spellStart"/>
      <w:r w:rsidR="005014B9">
        <w:rPr>
          <w:rFonts w:eastAsia="仿宋"/>
        </w:rPr>
        <w:t>μM</w:t>
      </w:r>
      <w:proofErr w:type="spellEnd"/>
      <w:r w:rsidR="005014B9">
        <w:rPr>
          <w:rFonts w:eastAsia="仿宋"/>
        </w:rPr>
        <w:t xml:space="preserve"> and 50 </w:t>
      </w:r>
      <w:proofErr w:type="spellStart"/>
      <w:r w:rsidR="005014B9">
        <w:rPr>
          <w:rFonts w:eastAsia="仿宋"/>
        </w:rPr>
        <w:t>μM</w:t>
      </w:r>
      <w:proofErr w:type="spellEnd"/>
      <w:r w:rsidR="005014B9">
        <w:rPr>
          <w:rFonts w:eastAsia="仿宋"/>
        </w:rPr>
        <w:t xml:space="preserve"> terbinafine (A) The SQLE protein level </w:t>
      </w:r>
      <w:r w:rsidR="00B3324C">
        <w:rPr>
          <w:rFonts w:eastAsia="仿宋"/>
        </w:rPr>
        <w:t>in</w:t>
      </w:r>
      <w:r w:rsidR="005014B9">
        <w:rPr>
          <w:rFonts w:eastAsia="仿宋"/>
        </w:rPr>
        <w:t xml:space="preserve"> U2OS was measured by Western Blot. The β-actin was treated as the loading control. (B) The SQLE protein level </w:t>
      </w:r>
      <w:r w:rsidR="00DE4D28">
        <w:rPr>
          <w:rFonts w:eastAsia="仿宋"/>
        </w:rPr>
        <w:t>in</w:t>
      </w:r>
      <w:r w:rsidR="005014B9">
        <w:rPr>
          <w:rFonts w:eastAsia="仿宋"/>
        </w:rPr>
        <w:t xml:space="preserve"> Saos-2 was measured by Western Blot. The β-actin was treated as the loading control. Error bars represent mean ± SD; statistical analysis was performed using the </w:t>
      </w:r>
      <w:proofErr w:type="gramStart"/>
      <w:r w:rsidR="005014B9">
        <w:rPr>
          <w:rFonts w:eastAsia="仿宋"/>
        </w:rPr>
        <w:t>Student</w:t>
      </w:r>
      <w:proofErr w:type="gramEnd"/>
      <w:r w:rsidR="005014B9">
        <w:rPr>
          <w:rFonts w:eastAsia="仿宋"/>
        </w:rPr>
        <w:t xml:space="preserve"> t-test. *P </w:t>
      </w:r>
      <w:r w:rsidR="005014B9">
        <w:rPr>
          <w:rFonts w:eastAsia="仿宋" w:hint="eastAsia"/>
        </w:rPr>
        <w:t>&lt;</w:t>
      </w:r>
      <w:r w:rsidR="005014B9">
        <w:rPr>
          <w:rFonts w:eastAsia="仿宋"/>
        </w:rPr>
        <w:t xml:space="preserve"> 0.05, **P &lt; 0.01, ***P &lt; 0.001.</w:t>
      </w:r>
    </w:p>
    <w:p w14:paraId="01486F3E" w14:textId="14808FDD" w:rsidR="005014B9" w:rsidRDefault="005014B9" w:rsidP="00540A2A">
      <w:pPr>
        <w:jc w:val="both"/>
        <w:rPr>
          <w:rFonts w:eastAsia="仿宋"/>
          <w:lang w:eastAsia="zh-CN"/>
        </w:rPr>
      </w:pPr>
    </w:p>
    <w:p w14:paraId="601B7FBF" w14:textId="0AA9B8D5" w:rsidR="00540A2A" w:rsidRPr="00540A2A" w:rsidRDefault="00540A2A" w:rsidP="00540A2A">
      <w:pPr>
        <w:pStyle w:val="Heading2"/>
      </w:pPr>
      <w:r w:rsidRPr="0001436A">
        <w:t>Supplementary</w:t>
      </w:r>
      <w:r w:rsidRPr="001549D3">
        <w:t xml:space="preserve"> </w:t>
      </w:r>
      <w:r>
        <w:t>Tables</w:t>
      </w:r>
    </w:p>
    <w:p w14:paraId="258391F2" w14:textId="77777777" w:rsidR="00540A2A" w:rsidRPr="00FA0BCB" w:rsidRDefault="00540A2A" w:rsidP="00540A2A">
      <w:pPr>
        <w:jc w:val="both"/>
        <w:rPr>
          <w:rFonts w:eastAsia="仿宋"/>
        </w:rPr>
      </w:pPr>
      <w:r w:rsidRPr="00FA0BCB">
        <w:rPr>
          <w:rFonts w:eastAsia="仿宋"/>
          <w:b/>
          <w:bCs/>
        </w:rPr>
        <w:t>Table S1.</w:t>
      </w:r>
      <w:r w:rsidRPr="00FA0BCB">
        <w:rPr>
          <w:rFonts w:eastAsia="仿宋"/>
        </w:rPr>
        <w:t xml:space="preserve"> Clinicopathologic information of TARGET cohort.</w:t>
      </w:r>
    </w:p>
    <w:p w14:paraId="4382C19D" w14:textId="77777777" w:rsidR="00540A2A" w:rsidRPr="00FA0BCB" w:rsidRDefault="00540A2A" w:rsidP="00540A2A">
      <w:pPr>
        <w:jc w:val="both"/>
        <w:rPr>
          <w:rFonts w:eastAsia="仿宋"/>
        </w:rPr>
      </w:pPr>
      <w:r w:rsidRPr="00FA0BCB">
        <w:rPr>
          <w:rFonts w:eastAsia="仿宋"/>
          <w:b/>
          <w:bCs/>
        </w:rPr>
        <w:t>Table S2.</w:t>
      </w:r>
      <w:r w:rsidRPr="00FA0BCB">
        <w:rPr>
          <w:rFonts w:eastAsia="仿宋"/>
        </w:rPr>
        <w:t xml:space="preserve"> Genomic alterations of the 87 samples in TARGET dataset based on WGS, WES, custom targeted whole gene sequencing, RNA-Seq, and SNP array analysis</w:t>
      </w:r>
      <w:r>
        <w:rPr>
          <w:rFonts w:eastAsia="仿宋"/>
        </w:rPr>
        <w:t>.</w:t>
      </w:r>
    </w:p>
    <w:p w14:paraId="0A4A6F91" w14:textId="77777777" w:rsidR="00540A2A" w:rsidRPr="00FA0BCB" w:rsidRDefault="00540A2A" w:rsidP="00540A2A">
      <w:pPr>
        <w:jc w:val="both"/>
        <w:rPr>
          <w:rFonts w:eastAsia="仿宋"/>
        </w:rPr>
      </w:pPr>
      <w:r w:rsidRPr="00B61F6E">
        <w:rPr>
          <w:rFonts w:eastAsia="仿宋"/>
          <w:b/>
          <w:bCs/>
        </w:rPr>
        <w:t>Table S3.</w:t>
      </w:r>
      <w:r w:rsidRPr="00FA0BCB">
        <w:t xml:space="preserve"> </w:t>
      </w:r>
      <w:r w:rsidRPr="00FA0BCB">
        <w:rPr>
          <w:rFonts w:eastAsia="仿宋"/>
        </w:rPr>
        <w:t>Immune</w:t>
      </w:r>
      <w:r>
        <w:rPr>
          <w:rFonts w:eastAsia="仿宋"/>
        </w:rPr>
        <w:t xml:space="preserve"> </w:t>
      </w:r>
      <w:r w:rsidRPr="00FA0BCB">
        <w:rPr>
          <w:rFonts w:eastAsia="仿宋"/>
        </w:rPr>
        <w:t>Score, Stroma</w:t>
      </w:r>
      <w:r>
        <w:rPr>
          <w:rFonts w:eastAsia="仿宋"/>
        </w:rPr>
        <w:t xml:space="preserve"> </w:t>
      </w:r>
      <w:r w:rsidRPr="00FA0BCB">
        <w:rPr>
          <w:rFonts w:eastAsia="仿宋"/>
        </w:rPr>
        <w:t>Score and Microenvironment</w:t>
      </w:r>
      <w:r>
        <w:rPr>
          <w:rFonts w:eastAsia="仿宋"/>
        </w:rPr>
        <w:t xml:space="preserve"> </w:t>
      </w:r>
      <w:r w:rsidRPr="00FA0BCB">
        <w:rPr>
          <w:rFonts w:eastAsia="仿宋"/>
        </w:rPr>
        <w:t>Score for TARGET patients.</w:t>
      </w:r>
    </w:p>
    <w:p w14:paraId="64A6C4BF" w14:textId="77777777" w:rsidR="00540A2A" w:rsidRPr="00FA0BCB" w:rsidRDefault="00540A2A" w:rsidP="00540A2A">
      <w:pPr>
        <w:jc w:val="both"/>
        <w:rPr>
          <w:rFonts w:eastAsia="仿宋"/>
        </w:rPr>
      </w:pPr>
      <w:r w:rsidRPr="00B61F6E">
        <w:rPr>
          <w:rFonts w:eastAsia="仿宋"/>
          <w:b/>
          <w:bCs/>
        </w:rPr>
        <w:t>Table S4</w:t>
      </w:r>
      <w:r>
        <w:rPr>
          <w:rFonts w:eastAsia="仿宋"/>
          <w:b/>
          <w:bCs/>
        </w:rPr>
        <w:t>.</w:t>
      </w:r>
      <w:r w:rsidRPr="00FA0BCB">
        <w:rPr>
          <w:rFonts w:eastAsia="仿宋"/>
        </w:rPr>
        <w:t xml:space="preserve"> Differentially expressed genes of each type.</w:t>
      </w:r>
    </w:p>
    <w:p w14:paraId="6CD6C0A1" w14:textId="77777777" w:rsidR="00540A2A" w:rsidRPr="00FA0BCB" w:rsidRDefault="00540A2A" w:rsidP="00540A2A">
      <w:pPr>
        <w:jc w:val="both"/>
        <w:rPr>
          <w:rFonts w:eastAsia="仿宋"/>
        </w:rPr>
      </w:pPr>
      <w:r w:rsidRPr="00B61F6E">
        <w:rPr>
          <w:rFonts w:eastAsia="仿宋"/>
          <w:b/>
          <w:bCs/>
        </w:rPr>
        <w:t>Table S5</w:t>
      </w:r>
      <w:r>
        <w:rPr>
          <w:rFonts w:eastAsia="仿宋"/>
          <w:b/>
          <w:bCs/>
        </w:rPr>
        <w:t>.</w:t>
      </w:r>
      <w:r w:rsidRPr="00FA0BCB">
        <w:rPr>
          <w:rFonts w:eastAsia="仿宋"/>
        </w:rPr>
        <w:t xml:space="preserve"> Enriched pathways in each subtype</w:t>
      </w:r>
      <w:r>
        <w:rPr>
          <w:rFonts w:eastAsia="仿宋"/>
        </w:rPr>
        <w:t>.</w:t>
      </w:r>
    </w:p>
    <w:p w14:paraId="05A8DA40" w14:textId="77777777" w:rsidR="00540A2A" w:rsidRPr="00FA0BCB" w:rsidRDefault="00540A2A" w:rsidP="00540A2A">
      <w:pPr>
        <w:jc w:val="both"/>
        <w:rPr>
          <w:rFonts w:eastAsia="仿宋"/>
        </w:rPr>
      </w:pPr>
      <w:r w:rsidRPr="00B61F6E">
        <w:rPr>
          <w:rFonts w:eastAsia="仿宋"/>
          <w:b/>
          <w:bCs/>
        </w:rPr>
        <w:t>Table S6</w:t>
      </w:r>
      <w:r>
        <w:rPr>
          <w:rFonts w:eastAsia="仿宋"/>
          <w:b/>
          <w:bCs/>
        </w:rPr>
        <w:t>.</w:t>
      </w:r>
      <w:r w:rsidRPr="00FA0BCB">
        <w:rPr>
          <w:rFonts w:eastAsia="仿宋"/>
        </w:rPr>
        <w:t xml:space="preserve"> Expression of genes related to cholesterol metabolism in each subtype</w:t>
      </w:r>
      <w:r>
        <w:rPr>
          <w:rFonts w:eastAsia="仿宋"/>
        </w:rPr>
        <w:t>.</w:t>
      </w:r>
    </w:p>
    <w:p w14:paraId="39C9832C" w14:textId="77777777" w:rsidR="00540A2A" w:rsidRPr="00FA0BCB" w:rsidRDefault="00540A2A" w:rsidP="00540A2A">
      <w:pPr>
        <w:jc w:val="both"/>
        <w:rPr>
          <w:rFonts w:eastAsia="仿宋"/>
        </w:rPr>
      </w:pPr>
      <w:r w:rsidRPr="00B61F6E">
        <w:rPr>
          <w:rFonts w:eastAsia="仿宋"/>
          <w:b/>
          <w:bCs/>
        </w:rPr>
        <w:t>Table S7</w:t>
      </w:r>
      <w:r>
        <w:rPr>
          <w:rFonts w:eastAsia="仿宋"/>
          <w:b/>
          <w:bCs/>
        </w:rPr>
        <w:t>.</w:t>
      </w:r>
      <w:r w:rsidRPr="00FA0BCB">
        <w:rPr>
          <w:rFonts w:eastAsia="仿宋"/>
        </w:rPr>
        <w:t xml:space="preserve"> Data description for EGA cohort</w:t>
      </w:r>
      <w:r>
        <w:rPr>
          <w:rFonts w:eastAsia="仿宋"/>
        </w:rPr>
        <w:t>.</w:t>
      </w:r>
    </w:p>
    <w:p w14:paraId="02B9F220" w14:textId="77777777" w:rsidR="00540A2A" w:rsidRPr="00FA0BCB" w:rsidRDefault="00540A2A" w:rsidP="00540A2A">
      <w:pPr>
        <w:jc w:val="both"/>
        <w:rPr>
          <w:rFonts w:eastAsia="仿宋"/>
        </w:rPr>
      </w:pPr>
      <w:r w:rsidRPr="00B61F6E">
        <w:rPr>
          <w:rFonts w:eastAsia="仿宋"/>
          <w:b/>
          <w:bCs/>
        </w:rPr>
        <w:t>Table S8</w:t>
      </w:r>
      <w:r>
        <w:rPr>
          <w:rFonts w:eastAsia="仿宋"/>
          <w:b/>
          <w:bCs/>
        </w:rPr>
        <w:t>.</w:t>
      </w:r>
      <w:r w:rsidRPr="00FA0BCB">
        <w:rPr>
          <w:rFonts w:eastAsia="仿宋"/>
        </w:rPr>
        <w:t xml:space="preserve"> Expression levels of cholesterol biosynthesis pathway and related genes in EGA cohort</w:t>
      </w:r>
      <w:r>
        <w:rPr>
          <w:rFonts w:eastAsia="仿宋"/>
        </w:rPr>
        <w:t>.</w:t>
      </w:r>
    </w:p>
    <w:p w14:paraId="328A5F83" w14:textId="77777777" w:rsidR="00540A2A" w:rsidRPr="00FA0BCB" w:rsidRDefault="00540A2A" w:rsidP="00540A2A">
      <w:pPr>
        <w:jc w:val="both"/>
        <w:rPr>
          <w:rFonts w:eastAsia="仿宋"/>
        </w:rPr>
      </w:pPr>
      <w:r w:rsidRPr="00B61F6E">
        <w:rPr>
          <w:rFonts w:eastAsia="仿宋"/>
          <w:b/>
          <w:bCs/>
        </w:rPr>
        <w:t>Table S9</w:t>
      </w:r>
      <w:r>
        <w:rPr>
          <w:rFonts w:eastAsia="仿宋"/>
          <w:b/>
          <w:bCs/>
        </w:rPr>
        <w:t>.</w:t>
      </w:r>
      <w:r w:rsidRPr="00FA0BCB">
        <w:rPr>
          <w:rFonts w:eastAsia="仿宋"/>
        </w:rPr>
        <w:t xml:space="preserve"> Candidates yielded by drug targets screening</w:t>
      </w:r>
      <w:r>
        <w:rPr>
          <w:rFonts w:eastAsia="仿宋"/>
        </w:rPr>
        <w:t>.</w:t>
      </w:r>
    </w:p>
    <w:p w14:paraId="017EECAD" w14:textId="77777777" w:rsidR="00540A2A" w:rsidRPr="00FA0BCB" w:rsidRDefault="00540A2A" w:rsidP="00540A2A">
      <w:pPr>
        <w:jc w:val="both"/>
        <w:rPr>
          <w:rFonts w:eastAsia="仿宋"/>
        </w:rPr>
      </w:pPr>
      <w:r w:rsidRPr="00B61F6E">
        <w:rPr>
          <w:rFonts w:eastAsia="仿宋"/>
          <w:b/>
          <w:bCs/>
        </w:rPr>
        <w:lastRenderedPageBreak/>
        <w:t>Table S10</w:t>
      </w:r>
      <w:r>
        <w:rPr>
          <w:rFonts w:eastAsia="仿宋"/>
          <w:b/>
          <w:bCs/>
        </w:rPr>
        <w:t>.</w:t>
      </w:r>
      <w:r w:rsidRPr="00FA0BCB">
        <w:rPr>
          <w:rFonts w:eastAsia="仿宋"/>
        </w:rPr>
        <w:t xml:space="preserve"> Feature genes identified by </w:t>
      </w:r>
      <w:proofErr w:type="spellStart"/>
      <w:r w:rsidRPr="00FA0BCB">
        <w:rPr>
          <w:rFonts w:eastAsia="仿宋"/>
        </w:rPr>
        <w:t>PermFIT</w:t>
      </w:r>
      <w:proofErr w:type="spellEnd"/>
      <w:r>
        <w:rPr>
          <w:rFonts w:eastAsia="仿宋"/>
        </w:rPr>
        <w:t>.</w:t>
      </w:r>
    </w:p>
    <w:p w14:paraId="7D4A6948" w14:textId="77777777" w:rsidR="00540A2A" w:rsidRPr="00FA0BCB" w:rsidRDefault="00540A2A" w:rsidP="00540A2A">
      <w:pPr>
        <w:jc w:val="both"/>
        <w:rPr>
          <w:rFonts w:eastAsia="仿宋"/>
        </w:rPr>
      </w:pPr>
      <w:r w:rsidRPr="00B61F6E">
        <w:rPr>
          <w:rFonts w:eastAsia="仿宋"/>
          <w:b/>
          <w:bCs/>
        </w:rPr>
        <w:t>Table S11</w:t>
      </w:r>
      <w:r>
        <w:rPr>
          <w:rFonts w:eastAsia="仿宋"/>
          <w:b/>
          <w:bCs/>
        </w:rPr>
        <w:t>.</w:t>
      </w:r>
      <w:r w:rsidRPr="00FA0BCB">
        <w:rPr>
          <w:rFonts w:eastAsia="仿宋"/>
        </w:rPr>
        <w:t xml:space="preserve"> Curated genes and performance of the subtype diagnostic model</w:t>
      </w:r>
      <w:r>
        <w:rPr>
          <w:rFonts w:eastAsia="仿宋"/>
        </w:rPr>
        <w:t>.</w:t>
      </w:r>
    </w:p>
    <w:p w14:paraId="2AB5F774" w14:textId="77777777" w:rsidR="00540A2A" w:rsidRPr="00FA0BCB" w:rsidRDefault="00540A2A" w:rsidP="00540A2A">
      <w:pPr>
        <w:jc w:val="both"/>
        <w:rPr>
          <w:rFonts w:eastAsia="仿宋"/>
        </w:rPr>
      </w:pPr>
      <w:r w:rsidRPr="00B61F6E">
        <w:rPr>
          <w:rFonts w:eastAsia="仿宋"/>
          <w:b/>
          <w:bCs/>
        </w:rPr>
        <w:t>Table S12</w:t>
      </w:r>
      <w:r>
        <w:rPr>
          <w:rFonts w:eastAsia="仿宋"/>
          <w:b/>
          <w:bCs/>
        </w:rPr>
        <w:t>.</w:t>
      </w:r>
      <w:r w:rsidRPr="00FA0BCB">
        <w:rPr>
          <w:rFonts w:eastAsia="仿宋"/>
        </w:rPr>
        <w:t xml:space="preserve"> Performance of SDM in TARGET cohort</w:t>
      </w:r>
      <w:r>
        <w:rPr>
          <w:rFonts w:eastAsia="仿宋"/>
        </w:rPr>
        <w:t>.</w:t>
      </w:r>
    </w:p>
    <w:p w14:paraId="21E2EBBE" w14:textId="77777777" w:rsidR="00540A2A" w:rsidRPr="00FA0BCB" w:rsidRDefault="00540A2A" w:rsidP="00540A2A">
      <w:pPr>
        <w:jc w:val="both"/>
        <w:rPr>
          <w:rFonts w:eastAsia="仿宋"/>
        </w:rPr>
      </w:pPr>
      <w:r w:rsidRPr="00B61F6E">
        <w:rPr>
          <w:rFonts w:eastAsia="仿宋"/>
          <w:b/>
          <w:bCs/>
        </w:rPr>
        <w:t>Table S13</w:t>
      </w:r>
      <w:r>
        <w:rPr>
          <w:rFonts w:eastAsia="仿宋"/>
          <w:b/>
          <w:bCs/>
        </w:rPr>
        <w:t>.</w:t>
      </w:r>
      <w:r w:rsidRPr="00FA0BCB">
        <w:rPr>
          <w:rFonts w:eastAsia="仿宋"/>
        </w:rPr>
        <w:t xml:space="preserve"> GSE21257 dataset diagnosed by the SDM</w:t>
      </w:r>
      <w:r>
        <w:rPr>
          <w:rFonts w:eastAsia="仿宋"/>
        </w:rPr>
        <w:t>.</w:t>
      </w:r>
    </w:p>
    <w:p w14:paraId="197AA042" w14:textId="77777777" w:rsidR="00540A2A" w:rsidRPr="00FA0BCB" w:rsidRDefault="00540A2A" w:rsidP="00540A2A">
      <w:pPr>
        <w:jc w:val="both"/>
        <w:rPr>
          <w:rFonts w:eastAsia="仿宋"/>
        </w:rPr>
      </w:pPr>
      <w:r w:rsidRPr="00B61F6E">
        <w:rPr>
          <w:rFonts w:eastAsia="仿宋"/>
          <w:b/>
          <w:bCs/>
        </w:rPr>
        <w:t xml:space="preserve">Table </w:t>
      </w:r>
      <w:r>
        <w:rPr>
          <w:rFonts w:eastAsia="仿宋" w:hint="eastAsia"/>
          <w:b/>
          <w:bCs/>
        </w:rPr>
        <w:t>S</w:t>
      </w:r>
      <w:r w:rsidRPr="00B61F6E">
        <w:rPr>
          <w:rFonts w:eastAsia="仿宋"/>
          <w:b/>
          <w:bCs/>
        </w:rPr>
        <w:t>14</w:t>
      </w:r>
      <w:r>
        <w:rPr>
          <w:rFonts w:eastAsia="仿宋"/>
          <w:b/>
          <w:bCs/>
        </w:rPr>
        <w:t>.</w:t>
      </w:r>
      <w:r w:rsidRPr="00FA0BCB">
        <w:rPr>
          <w:rFonts w:eastAsia="仿宋"/>
        </w:rPr>
        <w:t xml:space="preserve"> LASSO model genes determination according to 100 iterations of 5-fold cross-validation.</w:t>
      </w:r>
    </w:p>
    <w:p w14:paraId="58F1AED1" w14:textId="4E4B6759" w:rsidR="00DE23E8" w:rsidRPr="001549D3" w:rsidRDefault="00540A2A" w:rsidP="00540A2A">
      <w:pPr>
        <w:jc w:val="both"/>
      </w:pPr>
      <w:r w:rsidRPr="00B61F6E">
        <w:rPr>
          <w:rFonts w:eastAsia="仿宋"/>
          <w:b/>
          <w:bCs/>
        </w:rPr>
        <w:t>Table S15</w:t>
      </w:r>
      <w:r>
        <w:rPr>
          <w:rFonts w:eastAsia="仿宋"/>
          <w:b/>
          <w:bCs/>
        </w:rPr>
        <w:t>.</w:t>
      </w:r>
      <w:r w:rsidRPr="00B61F6E">
        <w:rPr>
          <w:rFonts w:eastAsia="仿宋"/>
          <w:b/>
          <w:bCs/>
        </w:rPr>
        <w:t xml:space="preserve"> </w:t>
      </w:r>
      <w:r w:rsidRPr="00FA0BCB">
        <w:rPr>
          <w:rFonts w:eastAsia="仿宋"/>
        </w:rPr>
        <w:t xml:space="preserve">The frequency distribution of 13 genes occurred in </w:t>
      </w:r>
      <w:proofErr w:type="spellStart"/>
      <w:r w:rsidRPr="00FA0BCB">
        <w:rPr>
          <w:rFonts w:eastAsia="仿宋"/>
        </w:rPr>
        <w:t>minλ</w:t>
      </w:r>
      <w:proofErr w:type="spellEnd"/>
      <w:r w:rsidRPr="00FA0BCB">
        <w:rPr>
          <w:rFonts w:eastAsia="仿宋"/>
        </w:rPr>
        <w:t xml:space="preserve"> of LASSO regression analysis</w:t>
      </w:r>
      <w:r>
        <w:rPr>
          <w:rFonts w:eastAsia="仿宋"/>
        </w:rPr>
        <w:t>.</w:t>
      </w:r>
    </w:p>
    <w:sectPr w:rsidR="00DE23E8" w:rsidRPr="001549D3"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E6B20" w14:textId="77777777" w:rsidR="006D4B55" w:rsidRDefault="006D4B55" w:rsidP="00117666">
      <w:pPr>
        <w:spacing w:after="0"/>
      </w:pPr>
      <w:r>
        <w:separator/>
      </w:r>
    </w:p>
  </w:endnote>
  <w:endnote w:type="continuationSeparator" w:id="0">
    <w:p w14:paraId="6CF8EDD7" w14:textId="77777777" w:rsidR="006D4B55" w:rsidRDefault="006D4B55" w:rsidP="00117666">
      <w:pPr>
        <w:spacing w:after="0"/>
      </w:pPr>
      <w:r>
        <w:continuationSeparator/>
      </w:r>
    </w:p>
  </w:endnote>
  <w:endnote w:type="continuationNotice" w:id="1">
    <w:p w14:paraId="554D857B" w14:textId="77777777" w:rsidR="006D4B55" w:rsidRDefault="006D4B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5A91E" w14:textId="77777777" w:rsidR="006D4B55" w:rsidRDefault="006D4B55" w:rsidP="00117666">
      <w:pPr>
        <w:spacing w:after="0"/>
      </w:pPr>
      <w:r>
        <w:separator/>
      </w:r>
    </w:p>
  </w:footnote>
  <w:footnote w:type="continuationSeparator" w:id="0">
    <w:p w14:paraId="32F5C837" w14:textId="77777777" w:rsidR="006D4B55" w:rsidRDefault="006D4B55" w:rsidP="00117666">
      <w:pPr>
        <w:spacing w:after="0"/>
      </w:pPr>
      <w:r>
        <w:continuationSeparator/>
      </w:r>
    </w:p>
  </w:footnote>
  <w:footnote w:type="continuationNotice" w:id="1">
    <w:p w14:paraId="43CA827C" w14:textId="77777777" w:rsidR="006D4B55" w:rsidRDefault="006D4B5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61D17"/>
    <w:rsid w:val="00077D53"/>
    <w:rsid w:val="00105FD9"/>
    <w:rsid w:val="00110F15"/>
    <w:rsid w:val="00117666"/>
    <w:rsid w:val="001549D3"/>
    <w:rsid w:val="00160065"/>
    <w:rsid w:val="00177D84"/>
    <w:rsid w:val="001F6881"/>
    <w:rsid w:val="00267D18"/>
    <w:rsid w:val="002868E2"/>
    <w:rsid w:val="002869C3"/>
    <w:rsid w:val="002936E4"/>
    <w:rsid w:val="002B4A57"/>
    <w:rsid w:val="002C74CA"/>
    <w:rsid w:val="002D413E"/>
    <w:rsid w:val="00322096"/>
    <w:rsid w:val="00343D56"/>
    <w:rsid w:val="003544FB"/>
    <w:rsid w:val="0036585D"/>
    <w:rsid w:val="003D2F2D"/>
    <w:rsid w:val="00401590"/>
    <w:rsid w:val="00447801"/>
    <w:rsid w:val="00452E9C"/>
    <w:rsid w:val="004735C8"/>
    <w:rsid w:val="004961FF"/>
    <w:rsid w:val="004D136F"/>
    <w:rsid w:val="004E6D65"/>
    <w:rsid w:val="005014B9"/>
    <w:rsid w:val="00517A89"/>
    <w:rsid w:val="005250F2"/>
    <w:rsid w:val="00540A2A"/>
    <w:rsid w:val="00540ADA"/>
    <w:rsid w:val="00573F8E"/>
    <w:rsid w:val="00593EEA"/>
    <w:rsid w:val="005A5EEE"/>
    <w:rsid w:val="006375C7"/>
    <w:rsid w:val="006514EA"/>
    <w:rsid w:val="00654E8F"/>
    <w:rsid w:val="00660D05"/>
    <w:rsid w:val="0067591F"/>
    <w:rsid w:val="006820B1"/>
    <w:rsid w:val="006B7D14"/>
    <w:rsid w:val="006D4B55"/>
    <w:rsid w:val="00701727"/>
    <w:rsid w:val="0070566C"/>
    <w:rsid w:val="00714C50"/>
    <w:rsid w:val="007227D5"/>
    <w:rsid w:val="00725A7D"/>
    <w:rsid w:val="007501BE"/>
    <w:rsid w:val="00790BB3"/>
    <w:rsid w:val="00792B07"/>
    <w:rsid w:val="007C206C"/>
    <w:rsid w:val="00803D24"/>
    <w:rsid w:val="00806C4C"/>
    <w:rsid w:val="008149E2"/>
    <w:rsid w:val="00817DD6"/>
    <w:rsid w:val="00885156"/>
    <w:rsid w:val="009151AA"/>
    <w:rsid w:val="0093429D"/>
    <w:rsid w:val="00943573"/>
    <w:rsid w:val="00970F7D"/>
    <w:rsid w:val="00994A3D"/>
    <w:rsid w:val="009C2B12"/>
    <w:rsid w:val="009C70F3"/>
    <w:rsid w:val="009C7CEB"/>
    <w:rsid w:val="00A01B66"/>
    <w:rsid w:val="00A174D9"/>
    <w:rsid w:val="00A569CD"/>
    <w:rsid w:val="00A71D8A"/>
    <w:rsid w:val="00A91883"/>
    <w:rsid w:val="00AA070F"/>
    <w:rsid w:val="00AB6715"/>
    <w:rsid w:val="00B1671E"/>
    <w:rsid w:val="00B25EB8"/>
    <w:rsid w:val="00B3324C"/>
    <w:rsid w:val="00B354E1"/>
    <w:rsid w:val="00B37F4D"/>
    <w:rsid w:val="00B84825"/>
    <w:rsid w:val="00BE06BB"/>
    <w:rsid w:val="00C52A7B"/>
    <w:rsid w:val="00C56BAF"/>
    <w:rsid w:val="00C679AA"/>
    <w:rsid w:val="00C75972"/>
    <w:rsid w:val="00CC0A3A"/>
    <w:rsid w:val="00CD066B"/>
    <w:rsid w:val="00CE4FEE"/>
    <w:rsid w:val="00D60CD9"/>
    <w:rsid w:val="00DB59C3"/>
    <w:rsid w:val="00DC259A"/>
    <w:rsid w:val="00DE23E8"/>
    <w:rsid w:val="00DE4D28"/>
    <w:rsid w:val="00E110C4"/>
    <w:rsid w:val="00E30B12"/>
    <w:rsid w:val="00E52377"/>
    <w:rsid w:val="00E64E17"/>
    <w:rsid w:val="00E866C9"/>
    <w:rsid w:val="00EA3D3C"/>
    <w:rsid w:val="00F46900"/>
    <w:rsid w:val="00F61D89"/>
    <w:rsid w:val="00FA3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A71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unaihua@ncpsb.org.cn"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yangdong@ncpsb.org.cn"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8</Pages>
  <Words>754</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Audrey Danquah</cp:lastModifiedBy>
  <cp:revision>2</cp:revision>
  <cp:lastPrinted>2013-10-03T12:51:00Z</cp:lastPrinted>
  <dcterms:created xsi:type="dcterms:W3CDTF">2023-01-24T16:34:00Z</dcterms:created>
  <dcterms:modified xsi:type="dcterms:W3CDTF">2023-01-24T16:34:00Z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