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2FB4EE" w14:textId="17029F85" w:rsidR="00061BCA" w:rsidRPr="001A33BA" w:rsidRDefault="0059552C" w:rsidP="00061BC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1A33BA">
        <w:rPr>
          <w:rFonts w:ascii="Times New Roman" w:eastAsia="宋体" w:hAnsi="Times New Roman" w:cs="Times New Roman"/>
          <w:b/>
          <w:bCs/>
          <w:sz w:val="28"/>
          <w:szCs w:val="28"/>
        </w:rPr>
        <w:t>Supplementary</w:t>
      </w:r>
      <w:r w:rsidRPr="001A33B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061BCA" w:rsidRPr="001A33BA">
        <w:rPr>
          <w:rFonts w:ascii="Times New Roman" w:hAnsi="Times New Roman" w:cs="Times New Roman"/>
          <w:b/>
          <w:bCs/>
          <w:sz w:val="28"/>
          <w:szCs w:val="28"/>
        </w:rPr>
        <w:t>Materials and Methods</w:t>
      </w:r>
    </w:p>
    <w:p w14:paraId="213CFBB5" w14:textId="4B9BF4D0" w:rsidR="00061BCA" w:rsidRPr="00681E7D" w:rsidRDefault="00061BCA" w:rsidP="00061BCA">
      <w:pPr>
        <w:spacing w:line="360" w:lineRule="auto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  <w:r w:rsidRPr="00681E7D">
        <w:rPr>
          <w:rFonts w:ascii="Times New Roman" w:hAnsi="Times New Roman"/>
          <w:b/>
          <w:bCs/>
          <w:sz w:val="24"/>
          <w:szCs w:val="24"/>
        </w:rPr>
        <w:t>UHPLC-MS/MS analysis</w:t>
      </w:r>
    </w:p>
    <w:p w14:paraId="3B912226" w14:textId="77777777" w:rsidR="00061BCA" w:rsidRDefault="00061BCA" w:rsidP="00061BC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 w:rsidRPr="00681E7D">
        <w:rPr>
          <w:rFonts w:ascii="Times New Roman" w:hAnsi="Times New Roman"/>
          <w:sz w:val="24"/>
          <w:szCs w:val="24"/>
        </w:rPr>
        <w:t xml:space="preserve">UHPLC-MS/MS analysis was performed on Agilent 1290 infinity LC system using a SB - C18 column (1.8 µm, 3.0 × 100 mm, Agilent, USA). A gradient consisting of solvent A (0.1% HCOOH) and solvent B (acetonitrile) was applied at a flow rate of 0.3 mL/min as follows: 0 - 1.5 min 30% - 90% B; 1.5 - 3.5 min 90% - 90% B; 3.5 - 4 min 90% - 100% B; 4 -5 min 100% - 100% B; 5 - 5.5 min 100% - 30% B. The injection volume was 5 µL and the electrospray interface was ESI source. MS parameters were set as follows: gas temperature, 380 </w:t>
      </w:r>
      <w:r w:rsidRPr="00681E7D">
        <w:rPr>
          <w:rFonts w:ascii="Times New Roman" w:hAnsi="Times New Roman"/>
          <w:sz w:val="24"/>
          <w:szCs w:val="24"/>
          <w:vertAlign w:val="superscript"/>
        </w:rPr>
        <w:t>°</w:t>
      </w:r>
      <w:r w:rsidRPr="00681E7D">
        <w:rPr>
          <w:rFonts w:ascii="Times New Roman" w:hAnsi="Times New Roman"/>
          <w:sz w:val="24"/>
          <w:szCs w:val="24"/>
        </w:rPr>
        <w:t>C; nebulizer pressure, 500 V; drying gas (nitrogen), 5 liters/min; capillary voltage, 3500 V; fragmentor voltage, 200 V. The ionization of all compounds was performed using an electrospray interface operating in the positive mode in the multiple monitoring mode (MRM).</w:t>
      </w:r>
      <w:r w:rsidRPr="00681E7D">
        <w:rPr>
          <w:sz w:val="24"/>
          <w:szCs w:val="24"/>
        </w:rPr>
        <w:t xml:space="preserve"> </w:t>
      </w:r>
      <w:r w:rsidRPr="00681E7D">
        <w:rPr>
          <w:rFonts w:ascii="Times New Roman" w:hAnsi="Times New Roman" w:cs="Times New Roman"/>
          <w:sz w:val="24"/>
          <w:szCs w:val="24"/>
        </w:rPr>
        <w:t>The</w:t>
      </w:r>
      <w:r w:rsidRPr="00681E7D">
        <w:rPr>
          <w:sz w:val="24"/>
          <w:szCs w:val="24"/>
        </w:rPr>
        <w:t xml:space="preserve"> </w:t>
      </w:r>
      <w:r w:rsidRPr="00681E7D">
        <w:rPr>
          <w:rFonts w:ascii="Times New Roman" w:hAnsi="Times New Roman"/>
          <w:sz w:val="24"/>
          <w:szCs w:val="24"/>
        </w:rPr>
        <w:t xml:space="preserve">monitor ion pairs and collision voltages (CE) as shown in </w:t>
      </w:r>
      <w:r w:rsidRPr="00DA4C43">
        <w:rPr>
          <w:rFonts w:ascii="Times New Roman" w:hAnsi="Times New Roman"/>
          <w:sz w:val="24"/>
          <w:szCs w:val="24"/>
        </w:rPr>
        <w:t xml:space="preserve">Supplementary </w:t>
      </w:r>
      <w:r>
        <w:rPr>
          <w:rFonts w:ascii="Times New Roman" w:hAnsi="Times New Roman"/>
          <w:sz w:val="24"/>
          <w:szCs w:val="24"/>
        </w:rPr>
        <w:t>T</w:t>
      </w:r>
      <w:r w:rsidRPr="00681E7D">
        <w:rPr>
          <w:rFonts w:ascii="Times New Roman" w:hAnsi="Times New Roman"/>
          <w:sz w:val="24"/>
          <w:szCs w:val="24"/>
        </w:rPr>
        <w:t>able 1.</w:t>
      </w:r>
      <w:r w:rsidRPr="00681E7D">
        <w:rPr>
          <w:sz w:val="24"/>
          <w:szCs w:val="24"/>
        </w:rPr>
        <w:t xml:space="preserve"> </w:t>
      </w:r>
      <w:r w:rsidRPr="00681E7D">
        <w:rPr>
          <w:rFonts w:ascii="Times New Roman" w:hAnsi="Times New Roman"/>
          <w:sz w:val="24"/>
          <w:szCs w:val="24"/>
        </w:rPr>
        <w:t>Quantification was performed based on peak areas using erlotinib (IS) of standard prepared in methanol.</w:t>
      </w:r>
    </w:p>
    <w:p w14:paraId="49D7EC03" w14:textId="77777777" w:rsidR="00061BCA" w:rsidRDefault="00061BCA" w:rsidP="00061BCA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</w:p>
    <w:p w14:paraId="7B86119E" w14:textId="4E02C381" w:rsidR="00061BCA" w:rsidRPr="00B20A94" w:rsidRDefault="00061BCA" w:rsidP="00061BCA">
      <w:pPr>
        <w:jc w:val="left"/>
        <w:rPr>
          <w:rFonts w:ascii="Times New Roman" w:hAnsi="Times New Roman" w:cs="Times New Roman"/>
          <w:b/>
          <w:sz w:val="24"/>
          <w:szCs w:val="24"/>
        </w:rPr>
      </w:pPr>
      <w:r w:rsidRPr="0040422E">
        <w:rPr>
          <w:rFonts w:ascii="Times New Roman" w:hAnsi="Times New Roman" w:cs="Times New Roman"/>
          <w:b/>
          <w:sz w:val="24"/>
          <w:szCs w:val="24"/>
        </w:rPr>
        <w:t xml:space="preserve">Supplementary </w:t>
      </w:r>
      <w:r w:rsidRPr="00B20A94">
        <w:rPr>
          <w:rFonts w:ascii="Times New Roman" w:hAnsi="Times New Roman" w:cs="Times New Roman"/>
          <w:b/>
          <w:sz w:val="24"/>
          <w:szCs w:val="24"/>
        </w:rPr>
        <w:t>Table 1</w:t>
      </w:r>
      <w:r w:rsidR="00B73AAA">
        <w:rPr>
          <w:rFonts w:ascii="Times New Roman" w:hAnsi="Times New Roman" w:cs="Times New Roman"/>
          <w:b/>
          <w:sz w:val="24"/>
          <w:szCs w:val="24"/>
        </w:rPr>
        <w:t>.</w:t>
      </w:r>
      <w:r w:rsidRPr="00B20A94">
        <w:rPr>
          <w:rFonts w:ascii="Times New Roman" w:hAnsi="Times New Roman" w:cs="Times New Roman"/>
          <w:b/>
          <w:sz w:val="24"/>
          <w:szCs w:val="24"/>
        </w:rPr>
        <w:t xml:space="preserve"> Parameters for multi-reaction monitoring of compounds</w:t>
      </w:r>
    </w:p>
    <w:tbl>
      <w:tblPr>
        <w:tblStyle w:val="-1"/>
        <w:tblW w:w="0" w:type="auto"/>
        <w:tblInd w:w="0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779"/>
        <w:gridCol w:w="1749"/>
        <w:gridCol w:w="1791"/>
        <w:gridCol w:w="1536"/>
        <w:gridCol w:w="1451"/>
      </w:tblGrid>
      <w:tr w:rsidR="00061BCA" w:rsidRPr="00681E7D" w14:paraId="417CE804" w14:textId="77777777" w:rsidTr="005122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shd w:val="clear" w:color="auto" w:fill="FFFFFF" w:themeFill="background1"/>
            <w:hideMark/>
          </w:tcPr>
          <w:p w14:paraId="615ED521" w14:textId="77777777" w:rsidR="00061BCA" w:rsidRPr="00681E7D" w:rsidRDefault="00061BCA" w:rsidP="005122F7">
            <w:pPr>
              <w:pStyle w:val="a9"/>
              <w:ind w:firstLineChars="0" w:firstLine="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1E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Compounds </w:t>
            </w:r>
          </w:p>
        </w:tc>
        <w:tc>
          <w:tcPr>
            <w:tcW w:w="1749" w:type="dxa"/>
            <w:shd w:val="clear" w:color="auto" w:fill="FFFFFF" w:themeFill="background1"/>
            <w:hideMark/>
          </w:tcPr>
          <w:p w14:paraId="0E234136" w14:textId="77777777" w:rsidR="00061BCA" w:rsidRPr="00681E7D" w:rsidRDefault="00061BCA" w:rsidP="005122F7">
            <w:pPr>
              <w:pStyle w:val="a9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1E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Transition</w:t>
            </w:r>
          </w:p>
        </w:tc>
        <w:tc>
          <w:tcPr>
            <w:tcW w:w="1791" w:type="dxa"/>
            <w:shd w:val="clear" w:color="auto" w:fill="FFFFFF" w:themeFill="background1"/>
            <w:hideMark/>
          </w:tcPr>
          <w:p w14:paraId="79896F82" w14:textId="77777777" w:rsidR="00061BCA" w:rsidRPr="00681E7D" w:rsidRDefault="00061BCA" w:rsidP="005122F7">
            <w:pPr>
              <w:pStyle w:val="a9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1E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Fragmentor</w:t>
            </w:r>
          </w:p>
        </w:tc>
        <w:tc>
          <w:tcPr>
            <w:tcW w:w="1536" w:type="dxa"/>
            <w:shd w:val="clear" w:color="auto" w:fill="FFFFFF" w:themeFill="background1"/>
            <w:hideMark/>
          </w:tcPr>
          <w:p w14:paraId="2887C597" w14:textId="77777777" w:rsidR="00061BCA" w:rsidRPr="00681E7D" w:rsidRDefault="00061BCA" w:rsidP="005122F7">
            <w:pPr>
              <w:pStyle w:val="a9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1E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CE (eV)</w:t>
            </w:r>
          </w:p>
        </w:tc>
        <w:tc>
          <w:tcPr>
            <w:tcW w:w="1451" w:type="dxa"/>
            <w:shd w:val="clear" w:color="auto" w:fill="FFFFFF" w:themeFill="background1"/>
            <w:hideMark/>
          </w:tcPr>
          <w:p w14:paraId="7BB3F2F7" w14:textId="77777777" w:rsidR="00061BCA" w:rsidRPr="00681E7D" w:rsidRDefault="00061BCA" w:rsidP="005122F7">
            <w:pPr>
              <w:pStyle w:val="a9"/>
              <w:ind w:firstLineChars="0" w:firstLin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1E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Polarity</w:t>
            </w:r>
          </w:p>
        </w:tc>
      </w:tr>
      <w:tr w:rsidR="00061BCA" w:rsidRPr="00681E7D" w14:paraId="2EB4DFCB" w14:textId="77777777" w:rsidTr="00512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6FDDA5B6" w14:textId="77777777" w:rsidR="00061BCA" w:rsidRPr="00681E7D" w:rsidRDefault="00061BCA" w:rsidP="005122F7">
            <w:pPr>
              <w:pStyle w:val="a9"/>
              <w:ind w:firstLineChars="0" w:firstLine="0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681E7D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Calycosin</w:t>
            </w:r>
          </w:p>
        </w:tc>
        <w:tc>
          <w:tcPr>
            <w:tcW w:w="1749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252B232A" w14:textId="77777777" w:rsidR="00061BCA" w:rsidRPr="00681E7D" w:rsidRDefault="00061BCA" w:rsidP="005122F7">
            <w:pPr>
              <w:pStyle w:val="a9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1E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284.9</w:t>
            </w:r>
            <w:r w:rsidRPr="00681E7D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→</w:t>
            </w:r>
            <w:r w:rsidRPr="00681E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268.9</w:t>
            </w:r>
          </w:p>
        </w:tc>
        <w:tc>
          <w:tcPr>
            <w:tcW w:w="1791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02F0D967" w14:textId="77777777" w:rsidR="00061BCA" w:rsidRPr="00681E7D" w:rsidRDefault="00061BCA" w:rsidP="005122F7">
            <w:pPr>
              <w:pStyle w:val="a9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1E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110</w:t>
            </w:r>
          </w:p>
        </w:tc>
        <w:tc>
          <w:tcPr>
            <w:tcW w:w="1536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6CD10168" w14:textId="77777777" w:rsidR="00061BCA" w:rsidRPr="00681E7D" w:rsidRDefault="00061BCA" w:rsidP="005122F7">
            <w:pPr>
              <w:pStyle w:val="a9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1E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451" w:type="dxa"/>
            <w:tcBorders>
              <w:top w:val="nil"/>
              <w:bottom w:val="nil"/>
            </w:tcBorders>
            <w:shd w:val="clear" w:color="auto" w:fill="FFFFFF" w:themeFill="background1"/>
            <w:hideMark/>
          </w:tcPr>
          <w:p w14:paraId="292FED71" w14:textId="77777777" w:rsidR="00061BCA" w:rsidRPr="00681E7D" w:rsidRDefault="00061BCA" w:rsidP="005122F7">
            <w:pPr>
              <w:pStyle w:val="a9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1E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Positive</w:t>
            </w:r>
          </w:p>
        </w:tc>
      </w:tr>
      <w:tr w:rsidR="00061BCA" w:rsidRPr="00681E7D" w14:paraId="39C80D48" w14:textId="77777777" w:rsidTr="005122F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6BFA3D1E" w14:textId="77777777" w:rsidR="00061BCA" w:rsidRPr="00681E7D" w:rsidRDefault="00061BCA" w:rsidP="005122F7">
            <w:pPr>
              <w:pStyle w:val="a9"/>
              <w:ind w:firstLineChars="0" w:firstLine="0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681E7D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Formononetin</w:t>
            </w:r>
          </w:p>
        </w:tc>
        <w:tc>
          <w:tcPr>
            <w:tcW w:w="1749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7A07A7F3" w14:textId="77777777" w:rsidR="00061BCA" w:rsidRPr="00681E7D" w:rsidRDefault="00061BCA" w:rsidP="005122F7">
            <w:pPr>
              <w:pStyle w:val="a9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1E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269.1</w:t>
            </w:r>
            <w:r w:rsidRPr="00681E7D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→197</w:t>
            </w:r>
          </w:p>
        </w:tc>
        <w:tc>
          <w:tcPr>
            <w:tcW w:w="179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12C2FF74" w14:textId="77777777" w:rsidR="00061BCA" w:rsidRPr="00681E7D" w:rsidRDefault="00061BCA" w:rsidP="005122F7">
            <w:pPr>
              <w:pStyle w:val="a9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1E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135</w:t>
            </w:r>
          </w:p>
        </w:tc>
        <w:tc>
          <w:tcPr>
            <w:tcW w:w="153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5DCEC773" w14:textId="77777777" w:rsidR="00061BCA" w:rsidRPr="00681E7D" w:rsidRDefault="00061BCA" w:rsidP="005122F7">
            <w:pPr>
              <w:pStyle w:val="a9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1E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45</w:t>
            </w:r>
          </w:p>
        </w:tc>
        <w:tc>
          <w:tcPr>
            <w:tcW w:w="14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14:paraId="60C67D76" w14:textId="77777777" w:rsidR="00061BCA" w:rsidRPr="00681E7D" w:rsidRDefault="00061BCA" w:rsidP="005122F7">
            <w:pPr>
              <w:pStyle w:val="a9"/>
              <w:ind w:firstLineChars="0" w:firstLin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1E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Positive</w:t>
            </w:r>
          </w:p>
        </w:tc>
      </w:tr>
      <w:tr w:rsidR="00061BCA" w:rsidRPr="00681E7D" w14:paraId="0199EBC4" w14:textId="77777777" w:rsidTr="005122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79" w:type="dxa"/>
            <w:tcBorders>
              <w:top w:val="nil"/>
              <w:bottom w:val="single" w:sz="8" w:space="0" w:color="4F81BD" w:themeColor="accent1"/>
            </w:tcBorders>
            <w:shd w:val="clear" w:color="auto" w:fill="FFFFFF" w:themeFill="background1"/>
            <w:hideMark/>
          </w:tcPr>
          <w:p w14:paraId="4AB24ED5" w14:textId="77777777" w:rsidR="00061BCA" w:rsidRPr="00681E7D" w:rsidRDefault="00061BCA" w:rsidP="005122F7">
            <w:pPr>
              <w:pStyle w:val="a9"/>
              <w:ind w:firstLineChars="0" w:firstLine="0"/>
              <w:jc w:val="center"/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</w:pPr>
            <w:r w:rsidRPr="00681E7D">
              <w:rPr>
                <w:rFonts w:ascii="Times New Roman" w:hAnsi="Times New Roman" w:cs="Times New Roman"/>
                <w:b w:val="0"/>
                <w:color w:val="000000" w:themeColor="text1"/>
                <w:sz w:val="24"/>
                <w:szCs w:val="24"/>
              </w:rPr>
              <w:t>Erlotinib (IS)</w:t>
            </w:r>
          </w:p>
        </w:tc>
        <w:tc>
          <w:tcPr>
            <w:tcW w:w="1749" w:type="dxa"/>
            <w:tcBorders>
              <w:top w:val="nil"/>
              <w:bottom w:val="single" w:sz="8" w:space="0" w:color="4F81BD" w:themeColor="accent1"/>
            </w:tcBorders>
            <w:shd w:val="clear" w:color="auto" w:fill="FFFFFF" w:themeFill="background1"/>
            <w:hideMark/>
          </w:tcPr>
          <w:p w14:paraId="35872CC1" w14:textId="77777777" w:rsidR="00061BCA" w:rsidRPr="00681E7D" w:rsidRDefault="00061BCA" w:rsidP="005122F7">
            <w:pPr>
              <w:pStyle w:val="a9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1E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394.2</w:t>
            </w:r>
            <w:r w:rsidRPr="00681E7D">
              <w:rPr>
                <w:rFonts w:ascii="Times New Roman" w:eastAsia="宋体" w:hAnsi="Times New Roman" w:cs="Times New Roman"/>
                <w:color w:val="000000" w:themeColor="text1"/>
                <w:sz w:val="24"/>
                <w:szCs w:val="24"/>
              </w:rPr>
              <w:t>→278.1</w:t>
            </w:r>
          </w:p>
        </w:tc>
        <w:tc>
          <w:tcPr>
            <w:tcW w:w="1791" w:type="dxa"/>
            <w:tcBorders>
              <w:top w:val="nil"/>
              <w:bottom w:val="single" w:sz="8" w:space="0" w:color="4F81BD" w:themeColor="accent1"/>
            </w:tcBorders>
            <w:shd w:val="clear" w:color="auto" w:fill="FFFFFF" w:themeFill="background1"/>
            <w:hideMark/>
          </w:tcPr>
          <w:p w14:paraId="1DCCA6C1" w14:textId="77777777" w:rsidR="00061BCA" w:rsidRPr="00681E7D" w:rsidRDefault="00061BCA" w:rsidP="005122F7">
            <w:pPr>
              <w:pStyle w:val="a9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1E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135</w:t>
            </w:r>
          </w:p>
        </w:tc>
        <w:tc>
          <w:tcPr>
            <w:tcW w:w="1536" w:type="dxa"/>
            <w:tcBorders>
              <w:top w:val="nil"/>
              <w:bottom w:val="single" w:sz="8" w:space="0" w:color="4F81BD" w:themeColor="accent1"/>
            </w:tcBorders>
            <w:shd w:val="clear" w:color="auto" w:fill="FFFFFF" w:themeFill="background1"/>
            <w:hideMark/>
          </w:tcPr>
          <w:p w14:paraId="4F260E42" w14:textId="77777777" w:rsidR="00061BCA" w:rsidRPr="00681E7D" w:rsidRDefault="00061BCA" w:rsidP="005122F7">
            <w:pPr>
              <w:pStyle w:val="a9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1E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32</w:t>
            </w:r>
          </w:p>
        </w:tc>
        <w:tc>
          <w:tcPr>
            <w:tcW w:w="1451" w:type="dxa"/>
            <w:tcBorders>
              <w:top w:val="nil"/>
              <w:bottom w:val="single" w:sz="8" w:space="0" w:color="4F81BD" w:themeColor="accent1"/>
            </w:tcBorders>
            <w:shd w:val="clear" w:color="auto" w:fill="FFFFFF" w:themeFill="background1"/>
            <w:hideMark/>
          </w:tcPr>
          <w:p w14:paraId="01FDD325" w14:textId="77777777" w:rsidR="00061BCA" w:rsidRPr="00681E7D" w:rsidRDefault="00061BCA" w:rsidP="005122F7">
            <w:pPr>
              <w:pStyle w:val="a9"/>
              <w:ind w:firstLineChars="0" w:firstLin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1E7D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Positive</w:t>
            </w:r>
          </w:p>
        </w:tc>
      </w:tr>
    </w:tbl>
    <w:p w14:paraId="08B1A2D2" w14:textId="182CA885" w:rsidR="007161C6" w:rsidRDefault="007161C6" w:rsidP="00681E7D">
      <w:pPr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>
        <w:rPr>
          <w:rFonts w:ascii="Times New Roman" w:eastAsia="宋体" w:hAnsi="Times New Roman" w:cs="Times New Roman"/>
          <w:b/>
          <w:bCs/>
          <w:sz w:val="28"/>
          <w:szCs w:val="28"/>
        </w:rPr>
        <w:br w:type="page"/>
      </w:r>
    </w:p>
    <w:p w14:paraId="2CA00AC9" w14:textId="64F27B4C" w:rsidR="00735A0B" w:rsidRDefault="00735A0B" w:rsidP="00681E7D">
      <w:pPr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1A33BA">
        <w:rPr>
          <w:rFonts w:ascii="Times New Roman" w:eastAsia="宋体" w:hAnsi="Times New Roman" w:cs="Times New Roman"/>
          <w:b/>
          <w:bCs/>
          <w:sz w:val="28"/>
          <w:szCs w:val="28"/>
        </w:rPr>
        <w:lastRenderedPageBreak/>
        <w:t xml:space="preserve">Supplementary </w:t>
      </w:r>
      <w:r w:rsidR="009B714B">
        <w:rPr>
          <w:rFonts w:ascii="Times New Roman" w:eastAsia="宋体" w:hAnsi="Times New Roman" w:cs="Times New Roman"/>
          <w:b/>
          <w:bCs/>
          <w:sz w:val="28"/>
          <w:szCs w:val="28"/>
        </w:rPr>
        <w:t>F</w:t>
      </w:r>
      <w:r w:rsidRPr="001A33BA">
        <w:rPr>
          <w:rFonts w:ascii="Times New Roman" w:eastAsia="宋体" w:hAnsi="Times New Roman" w:cs="Times New Roman"/>
          <w:b/>
          <w:bCs/>
          <w:sz w:val="28"/>
          <w:szCs w:val="28"/>
        </w:rPr>
        <w:t>igure legends</w:t>
      </w:r>
    </w:p>
    <w:p w14:paraId="08D8F59F" w14:textId="77777777" w:rsidR="00B1151B" w:rsidRPr="001A33BA" w:rsidRDefault="00B1151B" w:rsidP="00681E7D">
      <w:pPr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</w:p>
    <w:p w14:paraId="3C2E45F2" w14:textId="14C6E085" w:rsidR="00735A0B" w:rsidRPr="00681E7D" w:rsidRDefault="00735A0B" w:rsidP="00681E7D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681E7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Supplementary Figure 1. </w:t>
      </w:r>
      <w:r w:rsidRPr="00681E7D">
        <w:rPr>
          <w:rFonts w:ascii="Times New Roman" w:eastAsia="宋体" w:hAnsi="Times New Roman" w:cs="Times New Roman"/>
          <w:sz w:val="24"/>
          <w:szCs w:val="24"/>
        </w:rPr>
        <w:t>Schematic drawing to illustrate the MAPK (A) and PI3K-AKT (B) signaling pathways involving FMNT and CS against colon cancer. The key targets involved in this process are colored in green.</w:t>
      </w:r>
    </w:p>
    <w:p w14:paraId="563E1CB2" w14:textId="77777777" w:rsidR="00735A0B" w:rsidRPr="00681E7D" w:rsidRDefault="00735A0B" w:rsidP="00681E7D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27DFB2F4" w14:textId="77777777" w:rsidR="00735A0B" w:rsidRPr="00681E7D" w:rsidRDefault="00735A0B" w:rsidP="00681E7D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681E7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Supplementary Figure 2. Pairwise correlation analysis. </w:t>
      </w:r>
      <w:r w:rsidRPr="00681E7D">
        <w:rPr>
          <w:rFonts w:ascii="Times New Roman" w:eastAsia="宋体" w:hAnsi="Times New Roman" w:cs="Times New Roman"/>
          <w:sz w:val="24"/>
          <w:szCs w:val="24"/>
        </w:rPr>
        <w:t xml:space="preserve">Heat map of the cell viability, proliferation, migration, apoptosis, p-ERK1/2/ERK1/2 ratio, expression of </w:t>
      </w:r>
      <w:r w:rsidRPr="00681E7D">
        <w:rPr>
          <w:rFonts w:ascii="Times New Roman" w:hAnsi="Times New Roman" w:cs="Times New Roman"/>
          <w:sz w:val="24"/>
          <w:szCs w:val="24"/>
        </w:rPr>
        <w:t>E-cadherin, N-cadherin and Vimentin</w:t>
      </w:r>
      <w:r w:rsidRPr="00681E7D">
        <w:rPr>
          <w:rFonts w:ascii="Times New Roman" w:eastAsia="宋体" w:hAnsi="Times New Roman" w:cs="Times New Roman"/>
          <w:sz w:val="24"/>
          <w:szCs w:val="24"/>
        </w:rPr>
        <w:t xml:space="preserve"> in HT29 (A) and Caco2 (B) cells after treatment with HQ (25, 50 and 100 mg/L, 48 h). Pairwise correlation between p-ERK1/2/ERK1/2 ratio and cell viability, proliferation, apoptosis, migration, expression of </w:t>
      </w:r>
      <w:r w:rsidRPr="00681E7D">
        <w:rPr>
          <w:rFonts w:ascii="Times New Roman" w:hAnsi="Times New Roman" w:cs="Times New Roman"/>
          <w:sz w:val="24"/>
          <w:szCs w:val="24"/>
        </w:rPr>
        <w:t xml:space="preserve">E-cadherin, N-cadherin and Vimentin, </w:t>
      </w:r>
      <w:r w:rsidRPr="00681E7D">
        <w:rPr>
          <w:rFonts w:ascii="Times New Roman" w:eastAsia="宋体" w:hAnsi="Times New Roman" w:cs="Times New Roman"/>
          <w:sz w:val="24"/>
          <w:szCs w:val="24"/>
        </w:rPr>
        <w:t xml:space="preserve">respectively, in HT29 (C) and Caco2 (D) cells. </w:t>
      </w:r>
    </w:p>
    <w:p w14:paraId="4BE10FC2" w14:textId="77777777" w:rsidR="00735A0B" w:rsidRPr="00681E7D" w:rsidRDefault="00735A0B" w:rsidP="00681E7D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14266C82" w14:textId="77777777" w:rsidR="00735A0B" w:rsidRPr="00681E7D" w:rsidRDefault="00735A0B" w:rsidP="00681E7D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681E7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Supplementary Figure 3. Pairwise correlation analysis. </w:t>
      </w:r>
      <w:r w:rsidRPr="00681E7D">
        <w:rPr>
          <w:rFonts w:ascii="Times New Roman" w:eastAsia="宋体" w:hAnsi="Times New Roman" w:cs="Times New Roman"/>
          <w:sz w:val="24"/>
          <w:szCs w:val="24"/>
        </w:rPr>
        <w:t xml:space="preserve">Heat map of the cell viability, proliferation, migration, apoptosis, p-ERK1/2/ERK1/2 ratio, expression of </w:t>
      </w:r>
      <w:r w:rsidRPr="00681E7D">
        <w:rPr>
          <w:rFonts w:ascii="Times New Roman" w:hAnsi="Times New Roman" w:cs="Times New Roman"/>
          <w:sz w:val="24"/>
          <w:szCs w:val="24"/>
        </w:rPr>
        <w:t>E-cadherin, N-cadherin and Vimentin</w:t>
      </w:r>
      <w:r w:rsidRPr="00681E7D">
        <w:rPr>
          <w:rFonts w:ascii="Times New Roman" w:eastAsia="宋体" w:hAnsi="Times New Roman" w:cs="Times New Roman"/>
          <w:sz w:val="24"/>
          <w:szCs w:val="24"/>
        </w:rPr>
        <w:t xml:space="preserve"> in HT29 (A) and Caco2 (B) cells after treatment with FMNT (25, 50 and 100 μM, 48 h). Pairwise correlation between p-ERK1/2/ERK1/2 ratio and cell viability, proliferation, apoptosis, migration, expression of </w:t>
      </w:r>
      <w:r w:rsidRPr="00681E7D">
        <w:rPr>
          <w:rFonts w:ascii="Times New Roman" w:hAnsi="Times New Roman" w:cs="Times New Roman"/>
          <w:sz w:val="24"/>
          <w:szCs w:val="24"/>
        </w:rPr>
        <w:t xml:space="preserve">E-cadherin, N-cadherin and Vimentin, </w:t>
      </w:r>
      <w:r w:rsidRPr="00681E7D">
        <w:rPr>
          <w:rFonts w:ascii="Times New Roman" w:eastAsia="宋体" w:hAnsi="Times New Roman" w:cs="Times New Roman"/>
          <w:sz w:val="24"/>
          <w:szCs w:val="24"/>
        </w:rPr>
        <w:t xml:space="preserve">respectively, in HT29 (C) and Caco2 (D) cells. </w:t>
      </w:r>
    </w:p>
    <w:p w14:paraId="211D6157" w14:textId="77777777" w:rsidR="00735A0B" w:rsidRPr="00681E7D" w:rsidRDefault="00735A0B" w:rsidP="00681E7D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F2BFD3A" w14:textId="77777777" w:rsidR="00735A0B" w:rsidRPr="00681E7D" w:rsidRDefault="00735A0B" w:rsidP="00681E7D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681E7D">
        <w:rPr>
          <w:rFonts w:ascii="Times New Roman" w:eastAsia="宋体" w:hAnsi="Times New Roman" w:cs="Times New Roman"/>
          <w:b/>
          <w:bCs/>
          <w:sz w:val="24"/>
          <w:szCs w:val="24"/>
        </w:rPr>
        <w:t xml:space="preserve">Supplementary Figure 4. Pairwise correlation analysis. </w:t>
      </w:r>
      <w:r w:rsidRPr="00681E7D">
        <w:rPr>
          <w:rFonts w:ascii="Times New Roman" w:eastAsia="宋体" w:hAnsi="Times New Roman" w:cs="Times New Roman"/>
          <w:sz w:val="24"/>
          <w:szCs w:val="24"/>
        </w:rPr>
        <w:t xml:space="preserve">Heat map of the cell viability, proliferation, migration, apoptosis, p-ERK1/2/ERK1/2 ratio, expression of </w:t>
      </w:r>
      <w:r w:rsidRPr="00681E7D">
        <w:rPr>
          <w:rFonts w:ascii="Times New Roman" w:hAnsi="Times New Roman" w:cs="Times New Roman"/>
          <w:sz w:val="24"/>
          <w:szCs w:val="24"/>
        </w:rPr>
        <w:t>E-cadherin, N-cadherin and Vimentin</w:t>
      </w:r>
      <w:r w:rsidRPr="00681E7D">
        <w:rPr>
          <w:rFonts w:ascii="Times New Roman" w:eastAsia="宋体" w:hAnsi="Times New Roman" w:cs="Times New Roman"/>
          <w:sz w:val="24"/>
          <w:szCs w:val="24"/>
        </w:rPr>
        <w:t xml:space="preserve"> in HT29 (A) and Caco2 (B) cells after treatment with CS </w:t>
      </w:r>
      <w:r w:rsidRPr="00681E7D">
        <w:rPr>
          <w:rFonts w:ascii="Times New Roman" w:hAnsi="Times New Roman" w:cs="Times New Roman"/>
          <w:sz w:val="24"/>
          <w:szCs w:val="24"/>
        </w:rPr>
        <w:t>(25, 50 and 100 μM, 48 h)</w:t>
      </w:r>
      <w:r w:rsidRPr="00681E7D">
        <w:rPr>
          <w:rFonts w:ascii="Times New Roman" w:eastAsia="宋体" w:hAnsi="Times New Roman" w:cs="Times New Roman"/>
          <w:sz w:val="24"/>
          <w:szCs w:val="24"/>
        </w:rPr>
        <w:t xml:space="preserve">. Pairwise correlation between p-ERK1/2/ERK1/2 ratio and cell viability, proliferation, apoptosis, migration, expression of </w:t>
      </w:r>
      <w:r w:rsidRPr="00681E7D">
        <w:rPr>
          <w:rFonts w:ascii="Times New Roman" w:hAnsi="Times New Roman" w:cs="Times New Roman"/>
          <w:sz w:val="24"/>
          <w:szCs w:val="24"/>
        </w:rPr>
        <w:t xml:space="preserve">E-cadherin, N-cadherin and Vimentin, </w:t>
      </w:r>
      <w:r w:rsidRPr="00681E7D">
        <w:rPr>
          <w:rFonts w:ascii="Times New Roman" w:eastAsia="宋体" w:hAnsi="Times New Roman" w:cs="Times New Roman"/>
          <w:sz w:val="24"/>
          <w:szCs w:val="24"/>
        </w:rPr>
        <w:t xml:space="preserve">respectively, in HT29 (C) and Caco2 (D) cells. </w:t>
      </w:r>
    </w:p>
    <w:p w14:paraId="559E83DE" w14:textId="77777777" w:rsidR="00735A0B" w:rsidRPr="00681E7D" w:rsidRDefault="00735A0B" w:rsidP="00681E7D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D35C7C5" w14:textId="77777777" w:rsidR="00735A0B" w:rsidRPr="00681E7D" w:rsidRDefault="00735A0B" w:rsidP="00681E7D">
      <w:pPr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  <w:r w:rsidRPr="00681E7D">
        <w:rPr>
          <w:rFonts w:ascii="Times New Roman" w:eastAsia="宋体" w:hAnsi="Times New Roman" w:cs="Times New Roman"/>
          <w:b/>
          <w:bCs/>
          <w:sz w:val="24"/>
          <w:szCs w:val="24"/>
        </w:rPr>
        <w:lastRenderedPageBreak/>
        <w:t xml:space="preserve">Supplementary Figure 5. </w:t>
      </w:r>
      <w:r w:rsidRPr="00681E7D">
        <w:rPr>
          <w:rFonts w:ascii="Times New Roman" w:eastAsia="宋体" w:hAnsi="Times New Roman" w:cs="Times New Roman"/>
          <w:sz w:val="24"/>
          <w:szCs w:val="24"/>
        </w:rPr>
        <w:t>Schematic drawing of inhibitors of EGFR/RAS/RAF/MEK/ERK signaling pathway.</w:t>
      </w:r>
      <w:r w:rsidRPr="00681E7D">
        <w:rPr>
          <w:rFonts w:ascii="Times New Roman" w:hAnsi="Times New Roman" w:cs="Times New Roman"/>
          <w:sz w:val="24"/>
          <w:szCs w:val="24"/>
        </w:rPr>
        <w:t xml:space="preserve"> EGFR/RAS/RAF/MEK/ERK pathway is an essential target in clinical cancer therapy. Development of inhibitors of this pathway is considered as a promising strategy for the prevention and treatment of </w:t>
      </w:r>
      <w:bookmarkStart w:id="1" w:name="_Hlk107256706"/>
      <w:r w:rsidRPr="00681E7D">
        <w:rPr>
          <w:rFonts w:ascii="Times New Roman" w:hAnsi="Times New Roman" w:cs="Times New Roman"/>
          <w:sz w:val="24"/>
          <w:szCs w:val="24"/>
        </w:rPr>
        <w:t>numerous cancers</w:t>
      </w:r>
      <w:bookmarkEnd w:id="1"/>
      <w:r w:rsidRPr="00681E7D">
        <w:rPr>
          <w:rFonts w:ascii="Times New Roman" w:hAnsi="Times New Roman" w:cs="Times New Roman"/>
          <w:sz w:val="24"/>
          <w:szCs w:val="24"/>
        </w:rPr>
        <w:t>.</w:t>
      </w:r>
    </w:p>
    <w:p w14:paraId="28A4B69E" w14:textId="77777777" w:rsidR="00FB5685" w:rsidRDefault="00FB5685" w:rsidP="00735A0B">
      <w:pPr>
        <w:spacing w:line="360" w:lineRule="auto"/>
        <w:rPr>
          <w:rFonts w:ascii="Times New Roman" w:hAnsi="Times New Roman" w:cs="Times New Roman"/>
          <w:sz w:val="24"/>
          <w:szCs w:val="24"/>
        </w:rPr>
        <w:sectPr w:rsidR="00FB5685">
          <w:footerReference w:type="default" r:id="rId7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FBEBBDD" w14:textId="4C294123" w:rsidR="00481E28" w:rsidRPr="00EA60F5" w:rsidRDefault="00FB5685" w:rsidP="00735A0B">
      <w:pPr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EA60F5">
        <w:rPr>
          <w:rFonts w:ascii="Times New Roman" w:eastAsia="宋体" w:hAnsi="Times New Roman" w:cs="Times New Roman"/>
          <w:b/>
          <w:bCs/>
          <w:sz w:val="28"/>
          <w:szCs w:val="28"/>
        </w:rPr>
        <w:lastRenderedPageBreak/>
        <w:t>Supplementary Figure 1</w:t>
      </w:r>
    </w:p>
    <w:p w14:paraId="199DA773" w14:textId="77777777" w:rsidR="00FB5685" w:rsidRDefault="00FB5685" w:rsidP="00DB59EC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FB5685" w:rsidSect="00FB5685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847E237" wp14:editId="029867D9">
            <wp:extent cx="6012873" cy="880263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409" cy="880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4AFC8" w14:textId="6E41B114" w:rsidR="00FB5685" w:rsidRPr="00EA60F5" w:rsidRDefault="00FB5685" w:rsidP="00735A0B">
      <w:pPr>
        <w:spacing w:line="360" w:lineRule="auto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EA60F5">
        <w:rPr>
          <w:rFonts w:ascii="Times New Roman" w:eastAsia="宋体" w:hAnsi="Times New Roman" w:cs="Times New Roman"/>
          <w:b/>
          <w:bCs/>
          <w:sz w:val="28"/>
          <w:szCs w:val="28"/>
        </w:rPr>
        <w:lastRenderedPageBreak/>
        <w:t>Supplementary Figure 2</w:t>
      </w:r>
    </w:p>
    <w:p w14:paraId="6643B712" w14:textId="77777777" w:rsidR="00FB5685" w:rsidRDefault="00FB5685" w:rsidP="00FB56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FB5685" w:rsidSect="00FB5685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9DCE7FE" wp14:editId="407516F9">
            <wp:extent cx="8181975" cy="5780382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6778" cy="578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334DF7" w14:textId="5C009EDF" w:rsidR="00FB5685" w:rsidRPr="00EA60F5" w:rsidRDefault="00FB5685" w:rsidP="00FB5685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EA60F5">
        <w:rPr>
          <w:rFonts w:ascii="Times New Roman" w:eastAsia="宋体" w:hAnsi="Times New Roman" w:cs="Times New Roman"/>
          <w:b/>
          <w:bCs/>
          <w:sz w:val="28"/>
          <w:szCs w:val="28"/>
        </w:rPr>
        <w:lastRenderedPageBreak/>
        <w:t>Supplementary Figure 3</w:t>
      </w:r>
    </w:p>
    <w:p w14:paraId="5836E259" w14:textId="77777777" w:rsidR="00FB5685" w:rsidRDefault="00FB5685" w:rsidP="00FB56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FB5685" w:rsidSect="00FB5685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69034E9" wp14:editId="27714561">
            <wp:extent cx="8271933" cy="582928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76422" cy="583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BBF3C" w14:textId="7F99866B" w:rsidR="00FB5685" w:rsidRPr="00EA60F5" w:rsidRDefault="00FB5685" w:rsidP="00FB5685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EA60F5">
        <w:rPr>
          <w:rFonts w:ascii="Times New Roman" w:eastAsia="宋体" w:hAnsi="Times New Roman" w:cs="Times New Roman"/>
          <w:b/>
          <w:bCs/>
          <w:sz w:val="28"/>
          <w:szCs w:val="28"/>
        </w:rPr>
        <w:lastRenderedPageBreak/>
        <w:t>Supplementary Figure 4</w:t>
      </w:r>
    </w:p>
    <w:p w14:paraId="1E0D37F1" w14:textId="77777777" w:rsidR="00FB5685" w:rsidRDefault="00FB5685" w:rsidP="00FB568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  <w:sectPr w:rsidR="00FB5685" w:rsidSect="00FB5685">
          <w:pgSz w:w="16838" w:h="11906" w:orient="landscape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D1C788C" wp14:editId="6361C5F8">
            <wp:extent cx="8365067" cy="5926837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9900" cy="593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6C277" w14:textId="6E697095" w:rsidR="00FB5685" w:rsidRPr="00EA60F5" w:rsidRDefault="00FB5685" w:rsidP="00FB5685">
      <w:pPr>
        <w:spacing w:line="360" w:lineRule="auto"/>
        <w:jc w:val="left"/>
        <w:rPr>
          <w:rFonts w:ascii="Times New Roman" w:eastAsia="宋体" w:hAnsi="Times New Roman" w:cs="Times New Roman"/>
          <w:b/>
          <w:bCs/>
          <w:sz w:val="28"/>
          <w:szCs w:val="28"/>
        </w:rPr>
      </w:pPr>
      <w:r w:rsidRPr="00EA60F5">
        <w:rPr>
          <w:rFonts w:ascii="Times New Roman" w:eastAsia="宋体" w:hAnsi="Times New Roman" w:cs="Times New Roman"/>
          <w:b/>
          <w:bCs/>
          <w:sz w:val="28"/>
          <w:szCs w:val="28"/>
        </w:rPr>
        <w:lastRenderedPageBreak/>
        <w:t>Supplementary Figure 5</w:t>
      </w:r>
    </w:p>
    <w:p w14:paraId="5E10FB30" w14:textId="15045DFB" w:rsidR="00FB5685" w:rsidRPr="00FB5685" w:rsidRDefault="00FB5685" w:rsidP="0082490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CBCB847" wp14:editId="6DBD5F78">
            <wp:extent cx="6265545" cy="684974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5545" cy="684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685" w:rsidRPr="00FB5685" w:rsidSect="00FB568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DC4FD8" w14:textId="77777777" w:rsidR="007767DF" w:rsidRDefault="007767DF" w:rsidP="00402BD2">
      <w:r>
        <w:separator/>
      </w:r>
    </w:p>
  </w:endnote>
  <w:endnote w:type="continuationSeparator" w:id="0">
    <w:p w14:paraId="2593A4DC" w14:textId="77777777" w:rsidR="007767DF" w:rsidRDefault="007767DF" w:rsidP="00402B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47505708"/>
      <w:docPartObj>
        <w:docPartGallery w:val="Page Numbers (Bottom of Page)"/>
        <w:docPartUnique/>
      </w:docPartObj>
    </w:sdtPr>
    <w:sdtEndPr/>
    <w:sdtContent>
      <w:p w14:paraId="406E13E8" w14:textId="1309962A" w:rsidR="00FB5685" w:rsidRDefault="00FB5685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BDA41B" w14:textId="77777777" w:rsidR="007767DF" w:rsidRDefault="007767DF" w:rsidP="00402BD2">
      <w:r>
        <w:separator/>
      </w:r>
    </w:p>
  </w:footnote>
  <w:footnote w:type="continuationSeparator" w:id="0">
    <w:p w14:paraId="49D0E30A" w14:textId="77777777" w:rsidR="007767DF" w:rsidRDefault="007767DF" w:rsidP="00402B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4E43F7"/>
    <w:rsid w:val="00053287"/>
    <w:rsid w:val="00061BCA"/>
    <w:rsid w:val="0013136D"/>
    <w:rsid w:val="001A33BA"/>
    <w:rsid w:val="00237FDE"/>
    <w:rsid w:val="002610CD"/>
    <w:rsid w:val="002840BF"/>
    <w:rsid w:val="00325CB5"/>
    <w:rsid w:val="00373ED2"/>
    <w:rsid w:val="00396ACE"/>
    <w:rsid w:val="003B0FBC"/>
    <w:rsid w:val="00402BD2"/>
    <w:rsid w:val="0040422E"/>
    <w:rsid w:val="0044473B"/>
    <w:rsid w:val="00481E28"/>
    <w:rsid w:val="004B357C"/>
    <w:rsid w:val="004E43F7"/>
    <w:rsid w:val="0059552C"/>
    <w:rsid w:val="005C2995"/>
    <w:rsid w:val="0062311D"/>
    <w:rsid w:val="00674741"/>
    <w:rsid w:val="00681E7D"/>
    <w:rsid w:val="006C453A"/>
    <w:rsid w:val="006D5A10"/>
    <w:rsid w:val="007161C6"/>
    <w:rsid w:val="00735A0B"/>
    <w:rsid w:val="007543BE"/>
    <w:rsid w:val="007767DF"/>
    <w:rsid w:val="00785037"/>
    <w:rsid w:val="007C457D"/>
    <w:rsid w:val="007D1597"/>
    <w:rsid w:val="00814C60"/>
    <w:rsid w:val="0082490E"/>
    <w:rsid w:val="0083448B"/>
    <w:rsid w:val="00935253"/>
    <w:rsid w:val="009B714B"/>
    <w:rsid w:val="009D0BDA"/>
    <w:rsid w:val="00A60110"/>
    <w:rsid w:val="00A76569"/>
    <w:rsid w:val="00AB3EC6"/>
    <w:rsid w:val="00AC5249"/>
    <w:rsid w:val="00B1151B"/>
    <w:rsid w:val="00B20A94"/>
    <w:rsid w:val="00B3135F"/>
    <w:rsid w:val="00B655B6"/>
    <w:rsid w:val="00B73AAA"/>
    <w:rsid w:val="00B82609"/>
    <w:rsid w:val="00BA3A7B"/>
    <w:rsid w:val="00C95EF6"/>
    <w:rsid w:val="00CA19A8"/>
    <w:rsid w:val="00CB5A50"/>
    <w:rsid w:val="00D2482F"/>
    <w:rsid w:val="00D26BA9"/>
    <w:rsid w:val="00DA4C43"/>
    <w:rsid w:val="00DB59EC"/>
    <w:rsid w:val="00DE1509"/>
    <w:rsid w:val="00E42C83"/>
    <w:rsid w:val="00E45D3E"/>
    <w:rsid w:val="00EA28F2"/>
    <w:rsid w:val="00EA60F5"/>
    <w:rsid w:val="00F256F2"/>
    <w:rsid w:val="00FB5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53648"/>
  <w15:chartTrackingRefBased/>
  <w15:docId w15:val="{857FD720-4D62-4BFE-B1BF-70090B731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2BD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2BD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02BD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02BD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02BD2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402BD2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402BD2"/>
    <w:rPr>
      <w:sz w:val="18"/>
      <w:szCs w:val="18"/>
    </w:rPr>
  </w:style>
  <w:style w:type="paragraph" w:styleId="a9">
    <w:name w:val="List Paragraph"/>
    <w:basedOn w:val="a"/>
    <w:uiPriority w:val="34"/>
    <w:qFormat/>
    <w:rsid w:val="00402BD2"/>
    <w:pPr>
      <w:ind w:firstLineChars="200" w:firstLine="420"/>
    </w:pPr>
  </w:style>
  <w:style w:type="table" w:styleId="-1">
    <w:name w:val="Light Shading Accent 1"/>
    <w:basedOn w:val="a1"/>
    <w:uiPriority w:val="60"/>
    <w:semiHidden/>
    <w:unhideWhenUsed/>
    <w:rsid w:val="00402BD2"/>
    <w:rPr>
      <w:rFonts w:eastAsia="Times New Roman"/>
      <w:color w:val="365F91" w:themeColor="accent1" w:themeShade="BF"/>
    </w:rPr>
    <w:tblPr>
      <w:tblStyleRowBandSize w:val="1"/>
      <w:tblStyleColBandSize w:val="1"/>
      <w:tblInd w:w="0" w:type="nil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tiff"/><Relationship Id="rId5" Type="http://schemas.openxmlformats.org/officeDocument/2006/relationships/footnotes" Target="footnotes.xml"/><Relationship Id="rId10" Type="http://schemas.openxmlformats.org/officeDocument/2006/relationships/image" Target="media/image3.tiff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D9C25-F6F9-462C-B6E9-695A80AFF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8</Pages>
  <Words>513</Words>
  <Characters>2930</Characters>
  <Application>Microsoft Office Word</Application>
  <DocSecurity>0</DocSecurity>
  <Lines>24</Lines>
  <Paragraphs>6</Paragraphs>
  <ScaleCrop>false</ScaleCrop>
  <Company/>
  <LinksUpToDate>false</LinksUpToDate>
  <CharactersWithSpaces>3437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吴锦俊</dc:creator>
  <cp:keywords/>
  <dc:description/>
  <cp:lastModifiedBy>吴锦俊</cp:lastModifiedBy>
  <cp:revision>61</cp:revision>
  <dcterms:created xsi:type="dcterms:W3CDTF">2022-06-21T08:03:00Z</dcterms:created>
  <dcterms:modified xsi:type="dcterms:W3CDTF">2022-11-06T12:43:00Z</dcterms:modified>
</cp:coreProperties>
</file>