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7E33B2" w14:textId="77777777" w:rsidR="00EF31BE" w:rsidRPr="00376CC5" w:rsidRDefault="00EF31BE" w:rsidP="00EF31BE">
      <w:pPr>
        <w:pStyle w:val="Titolo"/>
      </w:pPr>
      <w:r>
        <w:t>Leg restlessness and hyperparathyroidism in Parkinson’s disease, a further clue to RLS pathogenesis?</w:t>
      </w:r>
    </w:p>
    <w:p w14:paraId="04C421F4" w14:textId="77777777" w:rsidR="001F7B58" w:rsidRPr="008D0300" w:rsidRDefault="001F7B58" w:rsidP="001F7B58">
      <w:pPr>
        <w:spacing w:before="240" w:after="0"/>
        <w:rPr>
          <w:b/>
          <w:bCs/>
          <w:color w:val="000000" w:themeColor="text1"/>
          <w:vertAlign w:val="superscript"/>
          <w:lang w:val="it-IT"/>
        </w:rPr>
      </w:pPr>
      <w:r w:rsidRPr="008D0300">
        <w:rPr>
          <w:b/>
          <w:bCs/>
          <w:color w:val="000000" w:themeColor="text1"/>
          <w:lang w:val="it-IT"/>
        </w:rPr>
        <w:t>Mass</w:t>
      </w:r>
      <w:r w:rsidRPr="008D0300">
        <w:rPr>
          <w:b/>
          <w:bCs/>
          <w:color w:val="000000" w:themeColor="text1"/>
          <w:highlight w:val="white"/>
          <w:lang w:val="it-IT"/>
        </w:rPr>
        <w:t>imo Marano,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Valeria Pozzilli,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Alessandro Magliozzi,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1,3</w:t>
      </w:r>
      <w:r w:rsidRPr="008D0300">
        <w:rPr>
          <w:b/>
          <w:bCs/>
          <w:color w:val="000000" w:themeColor="text1"/>
          <w:highlight w:val="white"/>
          <w:lang w:val="it-IT"/>
        </w:rPr>
        <w:t>; Gaia Tabacco,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</w:t>
      </w:r>
      <w:r w:rsidRPr="008D0300">
        <w:rPr>
          <w:b/>
          <w:bCs/>
          <w:color w:val="000000" w:themeColor="text1"/>
          <w:highlight w:val="white"/>
          <w:lang w:val="it-IT"/>
        </w:rPr>
        <w:t xml:space="preserve">; Anda Mihaela </w:t>
      </w:r>
      <w:proofErr w:type="spellStart"/>
      <w:r w:rsidRPr="008D0300">
        <w:rPr>
          <w:b/>
          <w:bCs/>
          <w:color w:val="000000" w:themeColor="text1"/>
          <w:highlight w:val="white"/>
          <w:lang w:val="it-IT"/>
        </w:rPr>
        <w:t>Naciu</w:t>
      </w:r>
      <w:proofErr w:type="spellEnd"/>
      <w:r w:rsidRPr="008D0300">
        <w:rPr>
          <w:b/>
          <w:bCs/>
          <w:color w:val="000000" w:themeColor="text1"/>
          <w:highlight w:val="white"/>
          <w:lang w:val="it-IT"/>
        </w:rPr>
        <w:t>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Andrea Palermo, MD, PhD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2,3</w:t>
      </w:r>
      <w:r w:rsidRPr="008D0300">
        <w:rPr>
          <w:b/>
          <w:bCs/>
          <w:color w:val="000000" w:themeColor="text1"/>
          <w:highlight w:val="white"/>
          <w:lang w:val="it-IT"/>
        </w:rPr>
        <w:t>; Vincenzo Di Lazzaro, MD</w:t>
      </w: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1,</w:t>
      </w:r>
      <w:r w:rsidRPr="008D0300">
        <w:rPr>
          <w:b/>
          <w:bCs/>
          <w:color w:val="000000" w:themeColor="text1"/>
          <w:vertAlign w:val="superscript"/>
          <w:lang w:val="it-IT"/>
        </w:rPr>
        <w:t>3</w:t>
      </w:r>
    </w:p>
    <w:p w14:paraId="73573859" w14:textId="77777777" w:rsidR="001F7B58" w:rsidRPr="008D0300" w:rsidRDefault="001F7B58" w:rsidP="001F7B58">
      <w:pPr>
        <w:spacing w:before="0" w:after="0"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  <w:r w:rsidRPr="008D0300">
        <w:rPr>
          <w:rFonts w:cs="Times New Roman"/>
          <w:color w:val="000000" w:themeColor="text1"/>
          <w:szCs w:val="24"/>
          <w:vertAlign w:val="superscript"/>
          <w:lang w:val="it-IT"/>
        </w:rPr>
        <w:t>1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Unit of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Neurophysiology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Neurobiology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 and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Psichiatry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, Department of Medicine and Surgery, Università Campus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Bio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-Medico di Roma, Via Alvaro del Portillo, 21 - 00128 Rome,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Italy</w:t>
      </w:r>
      <w:proofErr w:type="spellEnd"/>
    </w:p>
    <w:p w14:paraId="74199CB3" w14:textId="77777777" w:rsidR="001F7B58" w:rsidRPr="008D0300" w:rsidRDefault="001F7B58" w:rsidP="001F7B58">
      <w:pPr>
        <w:spacing w:before="0" w:after="0"/>
        <w:rPr>
          <w:rFonts w:cs="Times New Roman"/>
          <w:b/>
          <w:color w:val="000000" w:themeColor="text1"/>
          <w:szCs w:val="24"/>
        </w:rPr>
      </w:pPr>
      <w:r w:rsidRPr="008D0300">
        <w:rPr>
          <w:color w:val="000000" w:themeColor="text1"/>
          <w:vertAlign w:val="superscript"/>
        </w:rPr>
        <w:t>2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eastAsia="it-IT"/>
        </w:rPr>
        <w:t xml:space="preserve">Department of Medicine and Surgery, </w:t>
      </w:r>
      <w:r w:rsidRPr="008D0300">
        <w:rPr>
          <w:color w:val="000000" w:themeColor="text1"/>
        </w:rPr>
        <w:t xml:space="preserve">Unit of Metabolic </w:t>
      </w:r>
      <w:proofErr w:type="gramStart"/>
      <w:r w:rsidRPr="008D0300">
        <w:rPr>
          <w:color w:val="000000" w:themeColor="text1"/>
        </w:rPr>
        <w:t>bone</w:t>
      </w:r>
      <w:proofErr w:type="gramEnd"/>
      <w:r w:rsidRPr="008D0300">
        <w:rPr>
          <w:color w:val="000000" w:themeColor="text1"/>
        </w:rPr>
        <w:t xml:space="preserve"> and thyroid disorders; Fondazione </w:t>
      </w:r>
      <w:proofErr w:type="spellStart"/>
      <w:r w:rsidRPr="008D0300">
        <w:rPr>
          <w:color w:val="000000" w:themeColor="text1"/>
        </w:rPr>
        <w:t>Policlinico</w:t>
      </w:r>
      <w:proofErr w:type="spellEnd"/>
      <w:r w:rsidRPr="008D0300">
        <w:rPr>
          <w:color w:val="000000" w:themeColor="text1"/>
        </w:rPr>
        <w:t xml:space="preserve"> Universitario Campus Bio-Medico, Rome, Italy</w:t>
      </w:r>
      <w:r w:rsidRPr="008D0300">
        <w:rPr>
          <w:rFonts w:cs="Times New Roman"/>
          <w:b/>
          <w:color w:val="000000" w:themeColor="text1"/>
          <w:szCs w:val="24"/>
        </w:rPr>
        <w:t xml:space="preserve"> </w:t>
      </w:r>
    </w:p>
    <w:p w14:paraId="159D6E4C" w14:textId="77777777" w:rsidR="001F7B58" w:rsidRPr="008D0300" w:rsidRDefault="001F7B58" w:rsidP="001F7B58">
      <w:pPr>
        <w:spacing w:before="0" w:after="0"/>
        <w:rPr>
          <w:rFonts w:eastAsia="Times New Roman" w:cs="Times New Roman"/>
          <w:color w:val="000000" w:themeColor="text1"/>
          <w:szCs w:val="24"/>
          <w:lang w:val="it-IT" w:eastAsia="it-IT"/>
        </w:rPr>
      </w:pPr>
      <w:r w:rsidRPr="008D0300">
        <w:rPr>
          <w:b/>
          <w:bCs/>
          <w:color w:val="000000" w:themeColor="text1"/>
          <w:highlight w:val="white"/>
          <w:vertAlign w:val="superscript"/>
          <w:lang w:val="it-IT"/>
        </w:rPr>
        <w:t>3</w:t>
      </w:r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Fondazione Policlinico Universitario Campus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Bio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 xml:space="preserve">-Medico, Via Alvaro del Portillo, 200 - 00128 Roma, </w:t>
      </w:r>
      <w:proofErr w:type="spellStart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Italy</w:t>
      </w:r>
      <w:proofErr w:type="spellEnd"/>
      <w:r w:rsidRPr="008D0300"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  <w:t>.</w:t>
      </w:r>
    </w:p>
    <w:p w14:paraId="217F3AE0" w14:textId="28D76E31" w:rsidR="002868E2" w:rsidRPr="00653C8A" w:rsidRDefault="002868E2" w:rsidP="00994A3D">
      <w:pPr>
        <w:spacing w:before="240" w:after="0"/>
        <w:rPr>
          <w:rFonts w:cs="Times New Roman"/>
          <w:lang w:val="it-IT"/>
        </w:rPr>
      </w:pPr>
      <w:proofErr w:type="spellStart"/>
      <w:r w:rsidRPr="0024444E">
        <w:rPr>
          <w:rFonts w:cs="Times New Roman"/>
          <w:b/>
          <w:lang w:val="it-IT"/>
        </w:rPr>
        <w:t>Correspondence</w:t>
      </w:r>
      <w:proofErr w:type="spellEnd"/>
      <w:r w:rsidRPr="0024444E">
        <w:rPr>
          <w:rFonts w:cs="Times New Roman"/>
          <w:b/>
          <w:lang w:val="it-IT"/>
        </w:rPr>
        <w:t>:</w:t>
      </w:r>
      <w:r w:rsidR="00EF31BE" w:rsidRPr="00653C8A">
        <w:rPr>
          <w:rFonts w:cs="Times New Roman"/>
          <w:lang w:val="it-IT"/>
        </w:rPr>
        <w:t xml:space="preserve"> Massimo Marano, m.marano@policlinicocampus.it</w:t>
      </w:r>
    </w:p>
    <w:p w14:paraId="0A34FFC4" w14:textId="77777777" w:rsidR="00EF31BE" w:rsidRPr="00653C8A" w:rsidRDefault="00EF31BE" w:rsidP="00EF31BE">
      <w:pPr>
        <w:rPr>
          <w:b/>
          <w:bCs/>
          <w:lang w:val="it-IT"/>
        </w:rPr>
      </w:pPr>
    </w:p>
    <w:p w14:paraId="32B6A524" w14:textId="77777777" w:rsidR="00EF31BE" w:rsidRDefault="00EF31BE" w:rsidP="00EF31BE">
      <w:pPr>
        <w:spacing w:before="240" w:line="360" w:lineRule="auto"/>
        <w:jc w:val="both"/>
        <w:rPr>
          <w:rFonts w:ascii="Arial" w:eastAsia="Arial" w:hAnsi="Arial" w:cs="Arial"/>
          <w:color w:val="000000"/>
          <w:sz w:val="22"/>
        </w:rPr>
      </w:pPr>
      <w:r w:rsidRPr="00E60B6E">
        <w:rPr>
          <w:b/>
          <w:bCs/>
          <w:color w:val="000000"/>
        </w:rPr>
        <w:t>Supplementary table 2.</w:t>
      </w:r>
      <w:r w:rsidRPr="00E60B6E">
        <w:rPr>
          <w:color w:val="000000"/>
        </w:rPr>
        <w:t xml:space="preserve"> </w:t>
      </w:r>
      <w:proofErr w:type="spellStart"/>
      <w:r w:rsidRPr="00E60B6E">
        <w:rPr>
          <w:color w:val="000000"/>
        </w:rPr>
        <w:t>Multivariated</w:t>
      </w:r>
      <w:proofErr w:type="spellEnd"/>
      <w:r w:rsidRPr="00E60B6E">
        <w:rPr>
          <w:color w:val="000000"/>
        </w:rPr>
        <w:t xml:space="preserve"> GLM of the association between </w:t>
      </w:r>
      <w:proofErr w:type="spellStart"/>
      <w:r w:rsidRPr="00E60B6E">
        <w:rPr>
          <w:color w:val="000000"/>
        </w:rPr>
        <w:t>rPD</w:t>
      </w:r>
      <w:proofErr w:type="spellEnd"/>
      <w:r w:rsidRPr="00E60B6E">
        <w:rPr>
          <w:color w:val="000000"/>
        </w:rPr>
        <w:t xml:space="preserve">, quality of life, age, </w:t>
      </w:r>
      <w:proofErr w:type="gramStart"/>
      <w:r w:rsidRPr="00E60B6E">
        <w:rPr>
          <w:color w:val="000000"/>
        </w:rPr>
        <w:t>sex</w:t>
      </w:r>
      <w:proofErr w:type="gramEnd"/>
      <w:r w:rsidRPr="00E60B6E">
        <w:rPr>
          <w:color w:val="000000"/>
        </w:rPr>
        <w:t xml:space="preserve"> and motor status.</w:t>
      </w:r>
    </w:p>
    <w:p w14:paraId="23EA328B" w14:textId="77777777" w:rsidR="00EF31BE" w:rsidRDefault="00EF31BE" w:rsidP="00EF31BE">
      <w:pPr>
        <w:jc w:val="both"/>
        <w:rPr>
          <w:rFonts w:ascii="Arial" w:eastAsia="Arial" w:hAnsi="Arial" w:cs="Arial"/>
          <w:color w:val="000000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216"/>
        <w:gridCol w:w="1843"/>
        <w:gridCol w:w="1246"/>
        <w:gridCol w:w="1022"/>
        <w:gridCol w:w="1276"/>
        <w:gridCol w:w="1405"/>
      </w:tblGrid>
      <w:tr w:rsidR="00EF31BE" w14:paraId="15C03AA0" w14:textId="77777777" w:rsidTr="004641E0">
        <w:tc>
          <w:tcPr>
            <w:tcW w:w="1696" w:type="dxa"/>
          </w:tcPr>
          <w:p w14:paraId="6AA1B784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1134" w:type="dxa"/>
          </w:tcPr>
          <w:p w14:paraId="590A258F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Estimates</w:t>
            </w:r>
          </w:p>
        </w:tc>
        <w:tc>
          <w:tcPr>
            <w:tcW w:w="1843" w:type="dxa"/>
          </w:tcPr>
          <w:p w14:paraId="754FBA49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Standard error</w:t>
            </w:r>
          </w:p>
        </w:tc>
        <w:tc>
          <w:tcPr>
            <w:tcW w:w="1246" w:type="dxa"/>
          </w:tcPr>
          <w:p w14:paraId="0EAA6C79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Chi-squared</w:t>
            </w:r>
          </w:p>
        </w:tc>
        <w:tc>
          <w:tcPr>
            <w:tcW w:w="1022" w:type="dxa"/>
          </w:tcPr>
          <w:p w14:paraId="3B100B70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p-value</w:t>
            </w:r>
          </w:p>
        </w:tc>
        <w:tc>
          <w:tcPr>
            <w:tcW w:w="1276" w:type="dxa"/>
          </w:tcPr>
          <w:p w14:paraId="7193AB57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Lower CL</w:t>
            </w:r>
          </w:p>
        </w:tc>
        <w:tc>
          <w:tcPr>
            <w:tcW w:w="1405" w:type="dxa"/>
          </w:tcPr>
          <w:p w14:paraId="492118C6" w14:textId="77777777" w:rsidR="00EF31BE" w:rsidRPr="00E60B6E" w:rsidRDefault="00EF31BE" w:rsidP="004641E0">
            <w:pPr>
              <w:spacing w:before="240" w:line="360" w:lineRule="auto"/>
              <w:jc w:val="both"/>
              <w:rPr>
                <w:b/>
                <w:bCs/>
                <w:color w:val="000000"/>
              </w:rPr>
            </w:pPr>
            <w:r w:rsidRPr="00E60B6E">
              <w:rPr>
                <w:b/>
                <w:bCs/>
                <w:color w:val="000000"/>
              </w:rPr>
              <w:t>Higher CL</w:t>
            </w:r>
          </w:p>
        </w:tc>
      </w:tr>
      <w:tr w:rsidR="00EF31BE" w14:paraId="254F21D0" w14:textId="77777777" w:rsidTr="004641E0">
        <w:tc>
          <w:tcPr>
            <w:tcW w:w="1696" w:type="dxa"/>
          </w:tcPr>
          <w:p w14:paraId="0A95C5A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134" w:type="dxa"/>
          </w:tcPr>
          <w:p w14:paraId="2ECD1E25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1.053</w:t>
            </w:r>
          </w:p>
        </w:tc>
        <w:tc>
          <w:tcPr>
            <w:tcW w:w="1843" w:type="dxa"/>
          </w:tcPr>
          <w:p w14:paraId="0E0A2FE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2.954</w:t>
            </w:r>
          </w:p>
        </w:tc>
        <w:tc>
          <w:tcPr>
            <w:tcW w:w="1246" w:type="dxa"/>
          </w:tcPr>
          <w:p w14:paraId="37DDAA08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0.129</w:t>
            </w:r>
          </w:p>
        </w:tc>
        <w:tc>
          <w:tcPr>
            <w:tcW w:w="1022" w:type="dxa"/>
          </w:tcPr>
          <w:p w14:paraId="4DD0D6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0.718</w:t>
            </w:r>
          </w:p>
        </w:tc>
        <w:tc>
          <w:tcPr>
            <w:tcW w:w="1276" w:type="dxa"/>
          </w:tcPr>
          <w:p w14:paraId="5FBA99F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-4.636</w:t>
            </w:r>
          </w:p>
        </w:tc>
        <w:tc>
          <w:tcPr>
            <w:tcW w:w="1405" w:type="dxa"/>
          </w:tcPr>
          <w:p w14:paraId="14B2AA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7.461</w:t>
            </w:r>
          </w:p>
        </w:tc>
      </w:tr>
      <w:tr w:rsidR="00EF31BE" w14:paraId="2F4D4700" w14:textId="77777777" w:rsidTr="004641E0">
        <w:tc>
          <w:tcPr>
            <w:tcW w:w="1696" w:type="dxa"/>
          </w:tcPr>
          <w:p w14:paraId="67D0E9E6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PDQ</w:t>
            </w:r>
            <w:r>
              <w:rPr>
                <w:color w:val="000000"/>
                <w:lang w:val="it-IT"/>
              </w:rPr>
              <w:t>-</w:t>
            </w:r>
            <w:r>
              <w:rPr>
                <w:color w:val="000000"/>
              </w:rPr>
              <w:t>39</w:t>
            </w:r>
          </w:p>
        </w:tc>
        <w:tc>
          <w:tcPr>
            <w:tcW w:w="1134" w:type="dxa"/>
          </w:tcPr>
          <w:p w14:paraId="54AA056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-0.103</w:t>
            </w:r>
          </w:p>
        </w:tc>
        <w:tc>
          <w:tcPr>
            <w:tcW w:w="1843" w:type="dxa"/>
          </w:tcPr>
          <w:p w14:paraId="199D388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0.037</w:t>
            </w:r>
          </w:p>
        </w:tc>
        <w:tc>
          <w:tcPr>
            <w:tcW w:w="1246" w:type="dxa"/>
          </w:tcPr>
          <w:p w14:paraId="3F8D4D4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12.235</w:t>
            </w:r>
          </w:p>
        </w:tc>
        <w:tc>
          <w:tcPr>
            <w:tcW w:w="1022" w:type="dxa"/>
          </w:tcPr>
          <w:p w14:paraId="2ADB9C21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276" w:type="dxa"/>
          </w:tcPr>
          <w:p w14:paraId="46015BF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-0.193</w:t>
            </w:r>
          </w:p>
        </w:tc>
        <w:tc>
          <w:tcPr>
            <w:tcW w:w="1405" w:type="dxa"/>
          </w:tcPr>
          <w:p w14:paraId="3D3181C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-0.040</w:t>
            </w:r>
          </w:p>
        </w:tc>
      </w:tr>
      <w:tr w:rsidR="00EF31BE" w14:paraId="2BDA4588" w14:textId="77777777" w:rsidTr="004641E0">
        <w:tc>
          <w:tcPr>
            <w:tcW w:w="1696" w:type="dxa"/>
          </w:tcPr>
          <w:p w14:paraId="42A9A750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134" w:type="dxa"/>
          </w:tcPr>
          <w:p w14:paraId="01847984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0.040</w:t>
            </w:r>
          </w:p>
        </w:tc>
        <w:tc>
          <w:tcPr>
            <w:tcW w:w="1843" w:type="dxa"/>
          </w:tcPr>
          <w:p w14:paraId="52365B13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0.047</w:t>
            </w:r>
          </w:p>
        </w:tc>
        <w:tc>
          <w:tcPr>
            <w:tcW w:w="1246" w:type="dxa"/>
          </w:tcPr>
          <w:p w14:paraId="0A50C27F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0.722</w:t>
            </w:r>
          </w:p>
        </w:tc>
        <w:tc>
          <w:tcPr>
            <w:tcW w:w="1022" w:type="dxa"/>
          </w:tcPr>
          <w:p w14:paraId="574231D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0.395</w:t>
            </w:r>
          </w:p>
        </w:tc>
        <w:tc>
          <w:tcPr>
            <w:tcW w:w="1276" w:type="dxa"/>
          </w:tcPr>
          <w:p w14:paraId="217FE02D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-0.056</w:t>
            </w:r>
          </w:p>
        </w:tc>
        <w:tc>
          <w:tcPr>
            <w:tcW w:w="1405" w:type="dxa"/>
          </w:tcPr>
          <w:p w14:paraId="41C7DF9C" w14:textId="77777777" w:rsidR="00EF31BE" w:rsidRDefault="00EF31BE" w:rsidP="004641E0">
            <w:pPr>
              <w:spacing w:before="24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0.138</w:t>
            </w:r>
          </w:p>
        </w:tc>
      </w:tr>
      <w:tr w:rsidR="00EF31BE" w:rsidRPr="004C1F57" w14:paraId="1B31DF8D" w14:textId="77777777" w:rsidTr="004641E0">
        <w:tc>
          <w:tcPr>
            <w:tcW w:w="1696" w:type="dxa"/>
          </w:tcPr>
          <w:p w14:paraId="6FAA2E6C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Sex (F)</w:t>
            </w:r>
          </w:p>
        </w:tc>
        <w:tc>
          <w:tcPr>
            <w:tcW w:w="1134" w:type="dxa"/>
          </w:tcPr>
          <w:p w14:paraId="6EC3D207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-0.329</w:t>
            </w:r>
          </w:p>
        </w:tc>
        <w:tc>
          <w:tcPr>
            <w:tcW w:w="1843" w:type="dxa"/>
          </w:tcPr>
          <w:p w14:paraId="695D4CDA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0.449</w:t>
            </w:r>
          </w:p>
        </w:tc>
        <w:tc>
          <w:tcPr>
            <w:tcW w:w="1246" w:type="dxa"/>
          </w:tcPr>
          <w:p w14:paraId="3B5A4035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0.530</w:t>
            </w:r>
          </w:p>
        </w:tc>
        <w:tc>
          <w:tcPr>
            <w:tcW w:w="1022" w:type="dxa"/>
          </w:tcPr>
          <w:p w14:paraId="105DF225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0.466</w:t>
            </w:r>
          </w:p>
        </w:tc>
        <w:tc>
          <w:tcPr>
            <w:tcW w:w="1276" w:type="dxa"/>
          </w:tcPr>
          <w:p w14:paraId="7F1F3474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-1.215</w:t>
            </w:r>
          </w:p>
        </w:tc>
        <w:tc>
          <w:tcPr>
            <w:tcW w:w="1405" w:type="dxa"/>
          </w:tcPr>
          <w:p w14:paraId="6B2C3D20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0.583</w:t>
            </w:r>
          </w:p>
        </w:tc>
      </w:tr>
      <w:tr w:rsidR="00EF31BE" w:rsidRPr="004C1F57" w14:paraId="2B03C5FC" w14:textId="77777777" w:rsidTr="004641E0">
        <w:tc>
          <w:tcPr>
            <w:tcW w:w="1696" w:type="dxa"/>
          </w:tcPr>
          <w:p w14:paraId="6359DF7D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lastRenderedPageBreak/>
              <w:t>UPDRS part 3</w:t>
            </w:r>
          </w:p>
        </w:tc>
        <w:tc>
          <w:tcPr>
            <w:tcW w:w="1134" w:type="dxa"/>
          </w:tcPr>
          <w:p w14:paraId="09DFB241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-0.021</w:t>
            </w:r>
          </w:p>
        </w:tc>
        <w:tc>
          <w:tcPr>
            <w:tcW w:w="1843" w:type="dxa"/>
          </w:tcPr>
          <w:p w14:paraId="65C6140B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0.055</w:t>
            </w:r>
          </w:p>
        </w:tc>
        <w:tc>
          <w:tcPr>
            <w:tcW w:w="1246" w:type="dxa"/>
          </w:tcPr>
          <w:p w14:paraId="7AFBDF2E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0.156</w:t>
            </w:r>
          </w:p>
        </w:tc>
        <w:tc>
          <w:tcPr>
            <w:tcW w:w="1022" w:type="dxa"/>
          </w:tcPr>
          <w:p w14:paraId="2BADEB36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0.692</w:t>
            </w:r>
          </w:p>
        </w:tc>
        <w:tc>
          <w:tcPr>
            <w:tcW w:w="1276" w:type="dxa"/>
          </w:tcPr>
          <w:p w14:paraId="4A254810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-0.137</w:t>
            </w:r>
          </w:p>
        </w:tc>
        <w:tc>
          <w:tcPr>
            <w:tcW w:w="1405" w:type="dxa"/>
          </w:tcPr>
          <w:p w14:paraId="134A78AA" w14:textId="77777777" w:rsidR="00EF31BE" w:rsidRPr="004C1F57" w:rsidRDefault="00EF31BE" w:rsidP="004641E0">
            <w:pPr>
              <w:spacing w:before="240" w:line="360" w:lineRule="auto"/>
              <w:jc w:val="both"/>
              <w:rPr>
                <w:color w:val="000000" w:themeColor="text1"/>
              </w:rPr>
            </w:pPr>
            <w:r w:rsidRPr="004C1F57">
              <w:rPr>
                <w:color w:val="000000" w:themeColor="text1"/>
              </w:rPr>
              <w:t>0.087</w:t>
            </w:r>
          </w:p>
        </w:tc>
      </w:tr>
    </w:tbl>
    <w:p w14:paraId="4ACF1F2D" w14:textId="77777777" w:rsidR="00EF31BE" w:rsidRPr="004C1F57" w:rsidRDefault="00EF31BE" w:rsidP="00EF31BE">
      <w:pPr>
        <w:jc w:val="both"/>
        <w:rPr>
          <w:rFonts w:ascii="Arial" w:eastAsia="Arial" w:hAnsi="Arial" w:cs="Arial"/>
          <w:color w:val="000000" w:themeColor="text1"/>
          <w:sz w:val="22"/>
        </w:rPr>
      </w:pPr>
    </w:p>
    <w:p w14:paraId="58F1AED1" w14:textId="2A68E94A" w:rsidR="00DE23E8" w:rsidRPr="0024444E" w:rsidRDefault="00EF31BE" w:rsidP="0024444E">
      <w:pPr>
        <w:rPr>
          <w:color w:val="000000" w:themeColor="text1"/>
        </w:rPr>
      </w:pPr>
      <w:r>
        <w:rPr>
          <w:bCs/>
          <w:color w:val="000000" w:themeColor="text1"/>
        </w:rPr>
        <w:t xml:space="preserve">GLM, generalized linear model; </w:t>
      </w:r>
      <w:r w:rsidRPr="004C1F57">
        <w:rPr>
          <w:bCs/>
          <w:color w:val="000000" w:themeColor="text1"/>
        </w:rPr>
        <w:t xml:space="preserve">PDQ-39, Parkinson’s disease questionnaire-39; UPDRS, </w:t>
      </w:r>
      <w:r w:rsidRPr="004C1F57">
        <w:rPr>
          <w:color w:val="000000" w:themeColor="text1"/>
          <w:shd w:val="clear" w:color="auto" w:fill="FFFFFF"/>
        </w:rPr>
        <w:t>Unified Parkinson's Disease Rating Scale.</w:t>
      </w:r>
    </w:p>
    <w:sectPr w:rsidR="00DE23E8" w:rsidRPr="0024444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FE69" w14:textId="77777777" w:rsidR="0081174D" w:rsidRDefault="0081174D" w:rsidP="00117666">
      <w:pPr>
        <w:spacing w:after="0"/>
      </w:pPr>
      <w:r>
        <w:separator/>
      </w:r>
    </w:p>
  </w:endnote>
  <w:endnote w:type="continuationSeparator" w:id="0">
    <w:p w14:paraId="17E772DA" w14:textId="77777777" w:rsidR="0081174D" w:rsidRDefault="0081174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789A" w14:textId="77777777" w:rsidR="0081174D" w:rsidRDefault="0081174D" w:rsidP="00117666">
      <w:pPr>
        <w:spacing w:after="0"/>
      </w:pPr>
      <w:r>
        <w:separator/>
      </w:r>
    </w:p>
  </w:footnote>
  <w:footnote w:type="continuationSeparator" w:id="0">
    <w:p w14:paraId="19D41612" w14:textId="77777777" w:rsidR="0081174D" w:rsidRDefault="0081174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371A"/>
    <w:rsid w:val="00105FD9"/>
    <w:rsid w:val="00117666"/>
    <w:rsid w:val="001549D3"/>
    <w:rsid w:val="00160065"/>
    <w:rsid w:val="00177D84"/>
    <w:rsid w:val="001F7B58"/>
    <w:rsid w:val="0024444E"/>
    <w:rsid w:val="00267D18"/>
    <w:rsid w:val="002868E2"/>
    <w:rsid w:val="002869C3"/>
    <w:rsid w:val="002936E4"/>
    <w:rsid w:val="002B4A57"/>
    <w:rsid w:val="002C74CA"/>
    <w:rsid w:val="003544FB"/>
    <w:rsid w:val="003B1F2F"/>
    <w:rsid w:val="003D2F2D"/>
    <w:rsid w:val="00401590"/>
    <w:rsid w:val="00447801"/>
    <w:rsid w:val="00452E9C"/>
    <w:rsid w:val="004735C8"/>
    <w:rsid w:val="004961FF"/>
    <w:rsid w:val="00517A89"/>
    <w:rsid w:val="005250F2"/>
    <w:rsid w:val="005614E2"/>
    <w:rsid w:val="00593EEA"/>
    <w:rsid w:val="005A5EEE"/>
    <w:rsid w:val="005C0FBC"/>
    <w:rsid w:val="006375C7"/>
    <w:rsid w:val="00653C8A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36AB"/>
    <w:rsid w:val="007C206C"/>
    <w:rsid w:val="00803D24"/>
    <w:rsid w:val="0081174D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2511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3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Marano Massimo</cp:lastModifiedBy>
  <cp:revision>4</cp:revision>
  <cp:lastPrinted>2013-10-03T12:51:00Z</cp:lastPrinted>
  <dcterms:created xsi:type="dcterms:W3CDTF">2023-02-04T17:51:00Z</dcterms:created>
  <dcterms:modified xsi:type="dcterms:W3CDTF">2023-02-04T17:55:00Z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