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4CA30A66" w14:textId="479BF710" w:rsidR="00817DD6" w:rsidRPr="006C3DEA" w:rsidRDefault="00017F82" w:rsidP="0001436A">
      <w:pPr>
        <w:pStyle w:val="Title"/>
        <w:rPr>
          <w:highlight w:val="yellow"/>
        </w:rPr>
      </w:pPr>
      <w:r>
        <w:rPr>
          <w:rFonts w:ascii="TimesNewRomanPS-BoldMT" w:hAnsi="TimesNewRomanPS-BoldMT"/>
          <w:color w:val="0000FF"/>
        </w:rPr>
        <w:t>An Electrical Nerve Stimulation Strategy to Reconstruct SensoryNeural Pathways between the Stump and Brain for Amputees</w:t>
      </w:r>
    </w:p>
    <w:p w14:paraId="3009F85D" w14:textId="77777777" w:rsidR="0046361C" w:rsidRDefault="00A72269" w:rsidP="0046361C">
      <w:pPr>
        <w:keepNext/>
        <w:rPr>
          <w:rFonts w:cs="Times New Roman"/>
          <w:szCs w:val="24"/>
        </w:rPr>
      </w:pPr>
      <w:r>
        <w:rPr>
          <w:rFonts w:cs="Times New Roman"/>
          <w:szCs w:val="24"/>
        </w:rPr>
        <w:t>I</w:t>
      </w:r>
      <w:r w:rsidR="006C3DEA" w:rsidRPr="006C3DEA">
        <w:rPr>
          <w:rFonts w:cs="Times New Roman"/>
          <w:szCs w:val="24"/>
        </w:rPr>
        <w:t>n the</w:t>
      </w:r>
      <w:r>
        <w:rPr>
          <w:rFonts w:cs="Times New Roman"/>
          <w:szCs w:val="24"/>
        </w:rPr>
        <w:t xml:space="preserve"> result</w:t>
      </w:r>
      <w:r w:rsidR="006C3DEA" w:rsidRPr="006C3DEA">
        <w:rPr>
          <w:rFonts w:cs="Times New Roman"/>
          <w:szCs w:val="24"/>
        </w:rPr>
        <w:t xml:space="preserve"> section of </w:t>
      </w:r>
      <w:r w:rsidR="006C3DEA" w:rsidRPr="006C3DEA">
        <w:rPr>
          <w:rFonts w:cs="Times New Roman"/>
          <w:b/>
          <w:szCs w:val="24"/>
        </w:rPr>
        <w:t>3.1</w:t>
      </w:r>
      <w:r w:rsidR="006C3DEA" w:rsidRPr="006C3DEA">
        <w:rPr>
          <w:rFonts w:cs="Times New Roman"/>
          <w:szCs w:val="24"/>
        </w:rPr>
        <w:t>, the total number of cells in eight experiments, which represent the PHM areas for each finger, were counted to measure the size of PHMs for different kinds of fingers.</w:t>
      </w:r>
      <w:r w:rsidR="006C3DEA" w:rsidRPr="00A72269">
        <w:rPr>
          <w:rFonts w:cs="Times New Roman"/>
          <w:b/>
          <w:szCs w:val="24"/>
        </w:rPr>
        <w:t xml:space="preserve"> Figure S1</w:t>
      </w:r>
      <w:r w:rsidR="006C3DEA" w:rsidRPr="006C3DEA">
        <w:rPr>
          <w:rFonts w:cs="Times New Roman"/>
          <w:szCs w:val="24"/>
        </w:rPr>
        <w:t xml:space="preserve"> demonstrates that the size PHM for the little finger is the largest (≈ 90), followed by the mixture of the ring and little fingers (≈ 80). Furthermore, PHMs for the thumb, index, and ring fingers, respectively had similar numbers of occurrences in the grid (≈ 20) with PHMs for three kinds of mixed fingers: thumb and index finger (I+II), middle and ring fingers (III+IV), as well as index, ringer, and little fingers (II+IV+V).</w:t>
      </w:r>
      <w:r>
        <w:rPr>
          <w:rFonts w:cs="Times New Roman"/>
          <w:szCs w:val="24"/>
        </w:rPr>
        <w:t xml:space="preserve"> </w:t>
      </w:r>
    </w:p>
    <w:p w14:paraId="06385784" w14:textId="0192EECA" w:rsidR="0046361C" w:rsidRDefault="0046361C" w:rsidP="0046361C">
      <w:pPr>
        <w:keepNext/>
        <w:jc w:val="center"/>
        <w:rPr>
          <w:rFonts w:cs="Times New Roman"/>
          <w:szCs w:val="24"/>
        </w:rPr>
      </w:pPr>
      <w:r w:rsidRPr="001C6156">
        <w:rPr>
          <w:noProof/>
          <w:lang w:eastAsia="zh-CN"/>
        </w:rPr>
        <w:drawing>
          <wp:inline distT="0" distB="0" distL="0" distR="0" wp14:anchorId="7CDF773F" wp14:editId="23EEB11D">
            <wp:extent cx="3512916" cy="292995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646" cy="298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C37CC" w14:textId="7A844BBF" w:rsidR="0046361C" w:rsidRDefault="0046361C" w:rsidP="0046361C">
      <w:pPr>
        <w:keepNext/>
        <w:rPr>
          <w:rFonts w:cs="Times New Roman"/>
          <w:szCs w:val="24"/>
        </w:rPr>
      </w:pPr>
      <w:r w:rsidRPr="0001436A">
        <w:rPr>
          <w:rFonts w:cs="Times New Roman"/>
          <w:b/>
          <w:szCs w:val="24"/>
        </w:rPr>
        <w:t xml:space="preserve">Figure </w:t>
      </w:r>
      <w:r>
        <w:rPr>
          <w:rFonts w:cs="Times New Roman"/>
          <w:b/>
          <w:szCs w:val="24"/>
        </w:rPr>
        <w:t>S</w:t>
      </w:r>
      <w:r w:rsidRPr="0001436A">
        <w:rPr>
          <w:rFonts w:cs="Times New Roman"/>
          <w:b/>
          <w:szCs w:val="24"/>
        </w:rPr>
        <w:fldChar w:fldCharType="begin"/>
      </w:r>
      <w:r w:rsidRPr="0001436A">
        <w:rPr>
          <w:rFonts w:cs="Times New Roman"/>
          <w:b/>
          <w:szCs w:val="24"/>
        </w:rPr>
        <w:instrText xml:space="preserve"> SEQ Figure \* ARABIC </w:instrText>
      </w:r>
      <w:r w:rsidRPr="0001436A">
        <w:rPr>
          <w:rFonts w:cs="Times New Roman"/>
          <w:b/>
          <w:szCs w:val="24"/>
        </w:rPr>
        <w:fldChar w:fldCharType="separate"/>
      </w:r>
      <w:r w:rsidR="00075484">
        <w:rPr>
          <w:rFonts w:cs="Times New Roman"/>
          <w:b/>
          <w:noProof/>
          <w:szCs w:val="24"/>
        </w:rPr>
        <w:t>1</w:t>
      </w:r>
      <w:r w:rsidRPr="0001436A">
        <w:rPr>
          <w:rFonts w:cs="Times New Roman"/>
          <w:b/>
          <w:szCs w:val="24"/>
        </w:rPr>
        <w:fldChar w:fldCharType="end"/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 w:rsidRPr="0046361C">
        <w:rPr>
          <w:rFonts w:cs="Times New Roman"/>
          <w:szCs w:val="24"/>
        </w:rPr>
        <w:t>The number of sensory afferent locations (PHMs) for single or mixed fingers during eight experiments (represented by eight colored lines).</w:t>
      </w:r>
    </w:p>
    <w:p w14:paraId="25DC1BBA" w14:textId="77777777" w:rsidR="0046361C" w:rsidRDefault="0046361C" w:rsidP="0046361C">
      <w:pPr>
        <w:keepNext/>
        <w:jc w:val="center"/>
        <w:rPr>
          <w:rFonts w:cs="Times New Roman"/>
          <w:szCs w:val="24"/>
        </w:rPr>
      </w:pPr>
    </w:p>
    <w:p w14:paraId="19E78F9B" w14:textId="7F44FE08" w:rsidR="0046361C" w:rsidRPr="001549D3" w:rsidRDefault="0046361C" w:rsidP="0046361C">
      <w:pPr>
        <w:keepNext/>
        <w:rPr>
          <w:rFonts w:cs="Times New Roman"/>
          <w:szCs w:val="24"/>
        </w:rPr>
      </w:pPr>
      <w:r>
        <w:rPr>
          <w:rFonts w:cs="Times New Roman"/>
          <w:szCs w:val="24"/>
        </w:rPr>
        <w:t>I</w:t>
      </w:r>
      <w:r w:rsidR="00A72269">
        <w:rPr>
          <w:rFonts w:cs="Times New Roman"/>
          <w:szCs w:val="24"/>
        </w:rPr>
        <w:t xml:space="preserve">n the result section </w:t>
      </w:r>
      <w:r w:rsidR="00A72269" w:rsidRPr="0046361C">
        <w:rPr>
          <w:rFonts w:cs="Times New Roman"/>
          <w:b/>
          <w:szCs w:val="24"/>
        </w:rPr>
        <w:t xml:space="preserve">3.2 </w:t>
      </w:r>
      <w:r w:rsidR="00A72269">
        <w:rPr>
          <w:rFonts w:cs="Times New Roman"/>
          <w:szCs w:val="24"/>
        </w:rPr>
        <w:t xml:space="preserve">of TENS parameter selection, the amplitude thresholds at six optimal stimulation positions are demonstrated in the </w:t>
      </w:r>
      <w:r w:rsidR="00A72269" w:rsidRPr="00A72269">
        <w:rPr>
          <w:rFonts w:cs="Times New Roman"/>
          <w:b/>
          <w:szCs w:val="24"/>
        </w:rPr>
        <w:t>figure S2</w:t>
      </w:r>
      <w:r w:rsidR="00A72269">
        <w:rPr>
          <w:rFonts w:cs="Times New Roman"/>
          <w:szCs w:val="24"/>
        </w:rPr>
        <w:t>, it shows the amplitude thresholds</w:t>
      </w:r>
      <w:r w:rsidR="00A72269" w:rsidRPr="00A72269">
        <w:rPr>
          <w:rFonts w:cs="Times New Roman"/>
          <w:szCs w:val="24"/>
        </w:rPr>
        <w:t xml:space="preserve"> inclu</w:t>
      </w:r>
      <w:r w:rsidR="00A72269">
        <w:rPr>
          <w:rFonts w:cs="Times New Roman"/>
          <w:szCs w:val="24"/>
        </w:rPr>
        <w:t>ding 2.0, 2.5, 3.0, and 4.0 mA.</w:t>
      </w:r>
      <w:r w:rsidR="00A72269" w:rsidRPr="00A72269">
        <w:rPr>
          <w:rFonts w:cs="Times New Roman"/>
          <w:szCs w:val="24"/>
        </w:rPr>
        <w:t xml:space="preserve"> </w:t>
      </w:r>
      <w:r w:rsidR="00A72269">
        <w:rPr>
          <w:rFonts w:cs="Times New Roman"/>
          <w:szCs w:val="24"/>
        </w:rPr>
        <w:t>A</w:t>
      </w:r>
      <w:r w:rsidR="00A72269" w:rsidRPr="00A72269">
        <w:rPr>
          <w:rFonts w:cs="Times New Roman"/>
          <w:szCs w:val="24"/>
        </w:rPr>
        <w:t>nd the appearing frequency of each threshold</w:t>
      </w:r>
      <w:r w:rsidR="00A72269">
        <w:rPr>
          <w:rFonts w:cs="Times New Roman"/>
          <w:szCs w:val="24"/>
        </w:rPr>
        <w:t xml:space="preserve"> in eight repetitive experiments were calculated by the</w:t>
      </w:r>
      <w:r w:rsidR="00A72269" w:rsidRPr="00A72269">
        <w:rPr>
          <w:rFonts w:cs="Times New Roman"/>
          <w:szCs w:val="24"/>
        </w:rPr>
        <w:t xml:space="preserve"> ratio that the number of experiments with the threshold to the </w:t>
      </w:r>
      <w:r w:rsidR="00A72269" w:rsidRPr="00A72269">
        <w:rPr>
          <w:rFonts w:cs="Times New Roman"/>
          <w:szCs w:val="24"/>
        </w:rPr>
        <w:lastRenderedPageBreak/>
        <w:t>total number of experiments. It indicated that the amplitude thresholds of 2.5 and 3.0 mA have the maximum probability of occurrence for all stimulation positions</w:t>
      </w:r>
      <w:r w:rsidR="00A72269">
        <w:rPr>
          <w:rFonts w:cs="Times New Roman"/>
          <w:szCs w:val="24"/>
        </w:rPr>
        <w:t>.</w:t>
      </w:r>
    </w:p>
    <w:p w14:paraId="6ECCEC7C" w14:textId="77777777" w:rsidR="0046361C" w:rsidRDefault="0046361C" w:rsidP="002B4A57">
      <w:pPr>
        <w:keepNext/>
        <w:rPr>
          <w:rFonts w:cs="Times New Roman"/>
          <w:b/>
          <w:szCs w:val="24"/>
        </w:rPr>
      </w:pPr>
    </w:p>
    <w:p w14:paraId="58F1AED1" w14:textId="1074A535" w:rsidR="00DE23E8" w:rsidRDefault="006C3DEA" w:rsidP="006C3DEA">
      <w:pPr>
        <w:spacing w:before="240"/>
        <w:jc w:val="center"/>
      </w:pPr>
      <w:r>
        <w:rPr>
          <w:rFonts w:cs="Times New Roman"/>
          <w:noProof/>
          <w:sz w:val="20"/>
          <w:szCs w:val="20"/>
          <w:lang w:eastAsia="zh-CN"/>
        </w:rPr>
        <w:drawing>
          <wp:inline distT="0" distB="0" distL="0" distR="0" wp14:anchorId="65F28B8A" wp14:editId="3EA8C6FD">
            <wp:extent cx="3274581" cy="1684116"/>
            <wp:effectExtent l="0" t="0" r="254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219" cy="171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44EB3A" w14:textId="1F88A571" w:rsidR="006C3DEA" w:rsidRPr="006C3DEA" w:rsidRDefault="006C3DEA" w:rsidP="006C3DEA">
      <w:pPr>
        <w:keepNext/>
        <w:rPr>
          <w:rFonts w:cs="Times New Roman"/>
          <w:szCs w:val="24"/>
        </w:rPr>
      </w:pPr>
      <w:r w:rsidRPr="0001436A">
        <w:rPr>
          <w:rFonts w:cs="Times New Roman"/>
          <w:b/>
          <w:szCs w:val="24"/>
        </w:rPr>
        <w:t xml:space="preserve">Figure </w:t>
      </w:r>
      <w:r>
        <w:rPr>
          <w:rFonts w:cs="Times New Roman"/>
          <w:b/>
          <w:szCs w:val="24"/>
        </w:rPr>
        <w:t>S</w:t>
      </w:r>
      <w:r w:rsidR="0046361C">
        <w:rPr>
          <w:rFonts w:cs="Times New Roman"/>
          <w:b/>
          <w:szCs w:val="24"/>
        </w:rPr>
        <w:t>2</w:t>
      </w:r>
      <w:r w:rsidRPr="0001436A">
        <w:rPr>
          <w:rFonts w:cs="Times New Roman"/>
          <w:b/>
          <w:szCs w:val="24"/>
        </w:rPr>
        <w:t>.</w:t>
      </w:r>
      <w:r w:rsidRPr="006C3DEA">
        <w:rPr>
          <w:rFonts w:cs="Times New Roman"/>
          <w:b/>
          <w:szCs w:val="24"/>
        </w:rPr>
        <w:t xml:space="preserve"> </w:t>
      </w:r>
      <w:r w:rsidR="0046361C" w:rsidRPr="0046361C">
        <w:rPr>
          <w:rFonts w:cs="Times New Roman"/>
          <w:szCs w:val="24"/>
        </w:rPr>
        <w:t xml:space="preserve">The stimulus amplitude thresholds were tested at determined positions of P1-P6 for </w:t>
      </w:r>
      <w:r w:rsidR="0046361C" w:rsidRPr="0046361C">
        <w:rPr>
          <w:rFonts w:cs="Times New Roman"/>
          <w:i/>
          <w:szCs w:val="24"/>
        </w:rPr>
        <w:t>subject 1</w:t>
      </w:r>
      <w:r w:rsidR="0046361C" w:rsidRPr="0046361C">
        <w:rPr>
          <w:rFonts w:cs="Times New Roman"/>
          <w:szCs w:val="24"/>
        </w:rPr>
        <w:t>.</w:t>
      </w:r>
    </w:p>
    <w:sectPr w:rsidR="006C3DEA" w:rsidRPr="006C3DEA" w:rsidSect="0093429D">
      <w:headerReference w:type="even" r:id="rId14"/>
      <w:footerReference w:type="even" r:id="rId15"/>
      <w:footerReference w:type="default" r:id="rId16"/>
      <w:headerReference w:type="first" r:id="rId17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69E30" w14:textId="77777777" w:rsidR="00626B7D" w:rsidRDefault="00626B7D" w:rsidP="00117666">
      <w:pPr>
        <w:spacing w:after="0"/>
      </w:pPr>
      <w:r>
        <w:separator/>
      </w:r>
    </w:p>
  </w:endnote>
  <w:endnote w:type="continuationSeparator" w:id="0">
    <w:p w14:paraId="40DA34C2" w14:textId="77777777" w:rsidR="00626B7D" w:rsidRDefault="00626B7D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B28" w14:textId="77777777" w:rsidR="00995F6A" w:rsidRPr="00577C4C" w:rsidRDefault="00C52A7B">
    <w:pPr>
      <w:rPr>
        <w:color w:val="C00000"/>
        <w:szCs w:val="2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075484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075484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FF27" w14:textId="77777777" w:rsidR="00995F6A" w:rsidRPr="00577C4C" w:rsidRDefault="00C52A7B">
    <w:pPr>
      <w:rPr>
        <w:b/>
        <w:sz w:val="20"/>
        <w:szCs w:val="2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46361C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46361C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9CD33" w14:textId="77777777" w:rsidR="00626B7D" w:rsidRDefault="00626B7D" w:rsidP="00117666">
      <w:pPr>
        <w:spacing w:after="0"/>
      </w:pPr>
      <w:r>
        <w:separator/>
      </w:r>
    </w:p>
  </w:footnote>
  <w:footnote w:type="continuationSeparator" w:id="0">
    <w:p w14:paraId="00650FAF" w14:textId="77777777" w:rsidR="00626B7D" w:rsidRDefault="00626B7D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DBA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A5B" w14:textId="77777777" w:rsidR="00995F6A" w:rsidRDefault="0093429D" w:rsidP="0093429D">
    <w:r w:rsidRPr="005A1D84">
      <w:rPr>
        <w:b/>
        <w:noProof/>
        <w:color w:val="A6A6A6" w:themeColor="background1" w:themeShade="A6"/>
        <w:lang w:eastAsia="zh-CN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650747973">
    <w:abstractNumId w:val="0"/>
  </w:num>
  <w:num w:numId="2" w16cid:durableId="686902590">
    <w:abstractNumId w:val="4"/>
  </w:num>
  <w:num w:numId="3" w16cid:durableId="303388233">
    <w:abstractNumId w:val="1"/>
  </w:num>
  <w:num w:numId="4" w16cid:durableId="2065058718">
    <w:abstractNumId w:val="5"/>
  </w:num>
  <w:num w:numId="5" w16cid:durableId="1475296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3452321">
    <w:abstractNumId w:val="3"/>
  </w:num>
  <w:num w:numId="7" w16cid:durableId="362899633">
    <w:abstractNumId w:val="6"/>
  </w:num>
  <w:num w:numId="8" w16cid:durableId="366951538">
    <w:abstractNumId w:val="6"/>
  </w:num>
  <w:num w:numId="9" w16cid:durableId="1856798147">
    <w:abstractNumId w:val="6"/>
  </w:num>
  <w:num w:numId="10" w16cid:durableId="2009401807">
    <w:abstractNumId w:val="6"/>
  </w:num>
  <w:num w:numId="11" w16cid:durableId="1522619988">
    <w:abstractNumId w:val="6"/>
  </w:num>
  <w:num w:numId="12" w16cid:durableId="1025713698">
    <w:abstractNumId w:val="6"/>
  </w:num>
  <w:num w:numId="13" w16cid:durableId="631983289">
    <w:abstractNumId w:val="3"/>
  </w:num>
  <w:num w:numId="14" w16cid:durableId="1672677830">
    <w:abstractNumId w:val="2"/>
  </w:num>
  <w:num w:numId="15" w16cid:durableId="1983075943">
    <w:abstractNumId w:val="2"/>
  </w:num>
  <w:num w:numId="16" w16cid:durableId="875778583">
    <w:abstractNumId w:val="2"/>
  </w:num>
  <w:num w:numId="17" w16cid:durableId="238101577">
    <w:abstractNumId w:val="2"/>
  </w:num>
  <w:num w:numId="18" w16cid:durableId="1809854581">
    <w:abstractNumId w:val="2"/>
  </w:num>
  <w:num w:numId="19" w16cid:durableId="2041053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D24"/>
    <w:rsid w:val="0001436A"/>
    <w:rsid w:val="00017F82"/>
    <w:rsid w:val="00034304"/>
    <w:rsid w:val="00035434"/>
    <w:rsid w:val="00052A14"/>
    <w:rsid w:val="0007548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38BF"/>
    <w:rsid w:val="002B4A57"/>
    <w:rsid w:val="002C74CA"/>
    <w:rsid w:val="003544FB"/>
    <w:rsid w:val="003D2F2D"/>
    <w:rsid w:val="00401590"/>
    <w:rsid w:val="00447801"/>
    <w:rsid w:val="00452E9C"/>
    <w:rsid w:val="0046361C"/>
    <w:rsid w:val="004735C8"/>
    <w:rsid w:val="004961FF"/>
    <w:rsid w:val="005158A7"/>
    <w:rsid w:val="00517A89"/>
    <w:rsid w:val="005250F2"/>
    <w:rsid w:val="00593EEA"/>
    <w:rsid w:val="005A5EEE"/>
    <w:rsid w:val="00626B7D"/>
    <w:rsid w:val="006375C7"/>
    <w:rsid w:val="00654E8F"/>
    <w:rsid w:val="00660D05"/>
    <w:rsid w:val="006820B1"/>
    <w:rsid w:val="006B7D14"/>
    <w:rsid w:val="006C3DEA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80DEE"/>
    <w:rsid w:val="00994A3D"/>
    <w:rsid w:val="009C2B12"/>
    <w:rsid w:val="009C70F3"/>
    <w:rsid w:val="00A174D9"/>
    <w:rsid w:val="00A569CD"/>
    <w:rsid w:val="00A72269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B2E9B"/>
    <w:rsid w:val="00CC0A3A"/>
    <w:rsid w:val="00CD066B"/>
    <w:rsid w:val="00CE4FEE"/>
    <w:rsid w:val="00D003EA"/>
    <w:rsid w:val="00DA0855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7DF914-C42B-42E4-8CEA-2FE8A49386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3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2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Marjory Denisard</cp:lastModifiedBy>
  <cp:revision>4</cp:revision>
  <cp:lastPrinted>2022-12-18T04:09:00Z</cp:lastPrinted>
  <dcterms:created xsi:type="dcterms:W3CDTF">2022-12-18T04:08:00Z</dcterms:created>
  <dcterms:modified xsi:type="dcterms:W3CDTF">2023-01-16T10:01:00Z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