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C359" w14:textId="77777777" w:rsidR="00964E50" w:rsidRPr="001549D3" w:rsidRDefault="00964E50" w:rsidP="00964E50">
      <w:pPr>
        <w:pStyle w:val="SupplementaryMaterial"/>
        <w:rPr>
          <w:b w:val="0"/>
        </w:rPr>
      </w:pPr>
      <w:r w:rsidRPr="001549D3">
        <w:t>Supplementary Material</w:t>
      </w:r>
    </w:p>
    <w:p w14:paraId="2CA58168" w14:textId="77777777" w:rsidR="00533CF7" w:rsidRPr="00763B83" w:rsidRDefault="00533CF7" w:rsidP="00DF6F55">
      <w:pPr>
        <w:pStyle w:val="MDPI12title"/>
        <w:jc w:val="both"/>
        <w:rPr>
          <w:rFonts w:eastAsia="Palatino Linotype"/>
        </w:rPr>
      </w:pPr>
      <w:r>
        <w:rPr>
          <w:rFonts w:eastAsia="Palatino Linotype"/>
          <w:iCs/>
        </w:rPr>
        <w:t>Immunohistochemical, pharmacovigilance and omics analyses reveal the involvement of</w:t>
      </w:r>
      <w:r w:rsidRPr="00763B83">
        <w:rPr>
          <w:rFonts w:eastAsia="Palatino Linotype"/>
        </w:rPr>
        <w:t xml:space="preserve"> ATP</w:t>
      </w:r>
      <w:r>
        <w:rPr>
          <w:rFonts w:eastAsia="Palatino Linotype"/>
        </w:rPr>
        <w:t>-</w:t>
      </w:r>
      <w:r w:rsidRPr="00763B83">
        <w:rPr>
          <w:rFonts w:eastAsia="Palatino Linotype"/>
        </w:rPr>
        <w:t>sensitive K</w:t>
      </w:r>
      <w:r w:rsidRPr="00763B83">
        <w:rPr>
          <w:rFonts w:eastAsia="Palatino Linotype"/>
          <w:vertAlign w:val="superscript"/>
        </w:rPr>
        <w:t>+</w:t>
      </w:r>
      <w:r w:rsidRPr="00763B83">
        <w:rPr>
          <w:rFonts w:eastAsia="Palatino Linotype"/>
        </w:rPr>
        <w:t xml:space="preserve"> channel </w:t>
      </w:r>
      <w:r>
        <w:rPr>
          <w:rFonts w:eastAsia="Palatino Linotype"/>
        </w:rPr>
        <w:t>s</w:t>
      </w:r>
      <w:r w:rsidRPr="00763B83">
        <w:rPr>
          <w:rFonts w:eastAsia="Palatino Linotype"/>
        </w:rPr>
        <w:t xml:space="preserve">ubunits </w:t>
      </w:r>
      <w:r w:rsidRPr="00A943C3">
        <w:rPr>
          <w:rFonts w:eastAsia="Palatino Linotype"/>
        </w:rPr>
        <w:t>in</w:t>
      </w:r>
      <w:r w:rsidRPr="00EE234B">
        <w:rPr>
          <w:rFonts w:eastAsia="Palatino Linotype"/>
          <w:color w:val="FF0000"/>
        </w:rPr>
        <w:t xml:space="preserve"> </w:t>
      </w:r>
      <w:r>
        <w:rPr>
          <w:rFonts w:eastAsia="Palatino Linotype"/>
        </w:rPr>
        <w:t>c</w:t>
      </w:r>
      <w:r w:rsidRPr="00763B83">
        <w:rPr>
          <w:rFonts w:eastAsia="Palatino Linotype"/>
        </w:rPr>
        <w:t>ancer</w:t>
      </w:r>
      <w:r>
        <w:rPr>
          <w:rFonts w:eastAsia="Palatino Linotype"/>
        </w:rPr>
        <w:t xml:space="preserve">s: role in drug-disease interactions </w:t>
      </w:r>
    </w:p>
    <w:p w14:paraId="264276E9" w14:textId="5187F7B8" w:rsidR="00E94EE7" w:rsidRPr="007A6659" w:rsidRDefault="00E94EE7" w:rsidP="00E94EE7">
      <w:pPr>
        <w:pStyle w:val="MDPI13authornames"/>
        <w:rPr>
          <w:lang w:val="it-IT"/>
        </w:rPr>
      </w:pPr>
      <w:r w:rsidRPr="001F4278">
        <w:rPr>
          <w:shd w:val="clear" w:color="auto" w:fill="FFFFFF"/>
          <w:lang w:val="it-IT"/>
        </w:rPr>
        <w:t>Fatima Maqoud</w:t>
      </w:r>
      <w:r w:rsidRPr="001F4278">
        <w:rPr>
          <w:shd w:val="clear" w:color="auto" w:fill="FFFFFF"/>
          <w:vertAlign w:val="superscript"/>
          <w:lang w:val="it-IT"/>
        </w:rPr>
        <w:t>1</w:t>
      </w:r>
      <w:r>
        <w:rPr>
          <w:shd w:val="clear" w:color="auto" w:fill="FFFFFF"/>
          <w:vertAlign w:val="superscript"/>
          <w:lang w:val="it-IT"/>
        </w:rPr>
        <w:t>,</w:t>
      </w:r>
      <w:r w:rsidRPr="00787B91">
        <w:rPr>
          <w:vertAlign w:val="superscript"/>
          <w:lang w:val="it-IT"/>
        </w:rPr>
        <w:t>†</w:t>
      </w:r>
      <w:r w:rsidRPr="001F4278">
        <w:rPr>
          <w:shd w:val="clear" w:color="auto" w:fill="FFFFFF"/>
          <w:lang w:val="it-IT"/>
        </w:rPr>
        <w:t>, Nicola Zizzo</w:t>
      </w:r>
      <w:r w:rsidRPr="001F4278">
        <w:rPr>
          <w:shd w:val="clear" w:color="auto" w:fill="FFFFFF"/>
          <w:vertAlign w:val="superscript"/>
          <w:lang w:val="it-IT"/>
        </w:rPr>
        <w:t>2</w:t>
      </w:r>
      <w:r>
        <w:rPr>
          <w:shd w:val="clear" w:color="auto" w:fill="FFFFFF"/>
          <w:vertAlign w:val="superscript"/>
          <w:lang w:val="it-IT"/>
        </w:rPr>
        <w:t>,</w:t>
      </w:r>
      <w:r w:rsidRPr="00787B91">
        <w:rPr>
          <w:vertAlign w:val="superscript"/>
          <w:lang w:val="it-IT"/>
        </w:rPr>
        <w:t>†</w:t>
      </w:r>
      <w:r w:rsidRPr="001F4278">
        <w:rPr>
          <w:shd w:val="clear" w:color="auto" w:fill="FFFFFF"/>
          <w:lang w:val="it-IT"/>
        </w:rPr>
        <w:t>, Marcella Attimonelli</w:t>
      </w:r>
      <w:r w:rsidRPr="001F4278">
        <w:rPr>
          <w:shd w:val="clear" w:color="auto" w:fill="FFFFFF"/>
          <w:vertAlign w:val="superscript"/>
          <w:lang w:val="it-IT"/>
        </w:rPr>
        <w:t>3</w:t>
      </w:r>
      <w:r w:rsidRPr="001F4278">
        <w:rPr>
          <w:shd w:val="clear" w:color="auto" w:fill="FFFFFF"/>
          <w:lang w:val="it-IT"/>
        </w:rPr>
        <w:t xml:space="preserve">, </w:t>
      </w:r>
      <w:r w:rsidR="00050DAC" w:rsidRPr="001F4278">
        <w:rPr>
          <w:shd w:val="clear" w:color="auto" w:fill="FFFFFF"/>
          <w:lang w:val="it-IT"/>
        </w:rPr>
        <w:t>Antonella Tinelli</w:t>
      </w:r>
      <w:r w:rsidR="00050DAC" w:rsidRPr="001F4278">
        <w:rPr>
          <w:shd w:val="clear" w:color="auto" w:fill="FFFFFF"/>
          <w:vertAlign w:val="superscript"/>
          <w:lang w:val="it-IT"/>
        </w:rPr>
        <w:t>2</w:t>
      </w:r>
      <w:r w:rsidR="00050DAC" w:rsidRPr="001F4278">
        <w:rPr>
          <w:shd w:val="clear" w:color="auto" w:fill="FFFFFF"/>
          <w:lang w:val="it-IT"/>
        </w:rPr>
        <w:t xml:space="preserve">, </w:t>
      </w:r>
      <w:r w:rsidRPr="001F4278">
        <w:rPr>
          <w:shd w:val="clear" w:color="auto" w:fill="FFFFFF"/>
          <w:lang w:val="it-IT"/>
        </w:rPr>
        <w:t>Giuseppe Passantino</w:t>
      </w:r>
      <w:r w:rsidRPr="001F4278">
        <w:rPr>
          <w:shd w:val="clear" w:color="auto" w:fill="FFFFFF"/>
          <w:vertAlign w:val="superscript"/>
          <w:lang w:val="it-IT"/>
        </w:rPr>
        <w:t>2</w:t>
      </w:r>
      <w:r w:rsidRPr="001F4278">
        <w:rPr>
          <w:shd w:val="clear" w:color="auto" w:fill="FFFFFF"/>
          <w:lang w:val="it-IT"/>
        </w:rPr>
        <w:t>, Marina Antonacci</w:t>
      </w:r>
      <w:r w:rsidRPr="001F4278">
        <w:rPr>
          <w:shd w:val="clear" w:color="auto" w:fill="FFFFFF"/>
          <w:vertAlign w:val="superscript"/>
          <w:lang w:val="it-IT"/>
        </w:rPr>
        <w:t>1</w:t>
      </w:r>
      <w:r w:rsidRPr="001F4278">
        <w:rPr>
          <w:shd w:val="clear" w:color="auto" w:fill="FFFFFF"/>
          <w:lang w:val="it-IT"/>
        </w:rPr>
        <w:t>, Girolamo</w:t>
      </w:r>
      <w:r w:rsidRPr="00230F5F">
        <w:rPr>
          <w:shd w:val="clear" w:color="auto" w:fill="FFFFFF"/>
          <w:lang w:val="it-IT"/>
        </w:rPr>
        <w:t xml:space="preserve"> Ranieri</w:t>
      </w:r>
      <w:r>
        <w:rPr>
          <w:shd w:val="clear" w:color="auto" w:fill="FFFFFF"/>
          <w:vertAlign w:val="superscript"/>
          <w:lang w:val="it-IT"/>
        </w:rPr>
        <w:t>4,</w:t>
      </w:r>
      <w:r w:rsidRPr="00787B91">
        <w:rPr>
          <w:shd w:val="clear" w:color="auto" w:fill="FFFFFF"/>
          <w:lang w:val="it-IT"/>
        </w:rPr>
        <w:t>*</w:t>
      </w:r>
      <w:r w:rsidRPr="00230F5F">
        <w:rPr>
          <w:shd w:val="clear" w:color="auto" w:fill="FFFFFF"/>
          <w:lang w:val="it-IT"/>
        </w:rPr>
        <w:t>,</w:t>
      </w:r>
      <w:r>
        <w:rPr>
          <w:shd w:val="clear" w:color="auto" w:fill="FFFFFF"/>
          <w:lang w:val="it-IT"/>
        </w:rPr>
        <w:t xml:space="preserve"> </w:t>
      </w:r>
      <w:r w:rsidRPr="001F4278">
        <w:rPr>
          <w:rFonts w:hint="eastAsia"/>
          <w:shd w:val="clear" w:color="auto" w:fill="FFFFFF"/>
          <w:lang w:val="it-IT"/>
        </w:rPr>
        <w:t>and</w:t>
      </w:r>
      <w:r>
        <w:rPr>
          <w:shd w:val="clear" w:color="auto" w:fill="FFFFFF"/>
          <w:lang w:val="it-IT"/>
        </w:rPr>
        <w:t xml:space="preserve"> </w:t>
      </w:r>
      <w:r w:rsidRPr="00230F5F">
        <w:rPr>
          <w:shd w:val="clear" w:color="auto" w:fill="FFFFFF"/>
          <w:lang w:val="it-IT"/>
        </w:rPr>
        <w:t>Domenico Tricarico</w:t>
      </w:r>
      <w:r w:rsidRPr="00230F5F">
        <w:rPr>
          <w:rFonts w:eastAsia="Palatino Linotype" w:cs="Palatino Linotype"/>
          <w:color w:val="212121"/>
          <w:lang w:val="it-IT"/>
        </w:rPr>
        <w:t>.</w:t>
      </w:r>
    </w:p>
    <w:p w14:paraId="34CE92E0" w14:textId="6C441235" w:rsidR="005A721B" w:rsidRDefault="00964E50" w:rsidP="00464FE4">
      <w:pPr>
        <w:spacing w:before="240"/>
        <w:rPr>
          <w:sz w:val="18"/>
          <w:shd w:val="clear" w:color="auto" w:fill="FFFFFF"/>
          <w:lang w:val="it-IT"/>
        </w:rPr>
      </w:pPr>
      <w:r w:rsidRPr="00464FE4">
        <w:rPr>
          <w:b/>
          <w:lang w:val="it-IT"/>
        </w:rPr>
        <w:t xml:space="preserve">* Correspondence: </w:t>
      </w:r>
      <w:r w:rsidR="00464FE4" w:rsidRPr="00FF103B">
        <w:rPr>
          <w:rFonts w:eastAsia="Palatino Linotype"/>
          <w:sz w:val="18"/>
          <w:lang w:val="it-IT"/>
        </w:rPr>
        <w:t xml:space="preserve">Dr. Girolamo Ranieri </w:t>
      </w:r>
      <w:r w:rsidR="00464FE4" w:rsidRPr="00FF103B">
        <w:rPr>
          <w:sz w:val="18"/>
          <w:shd w:val="clear" w:color="auto" w:fill="FFFFFF"/>
          <w:lang w:val="it-IT"/>
        </w:rPr>
        <w:t xml:space="preserve">email: </w:t>
      </w:r>
      <w:hyperlink r:id="rId5" w:history="1">
        <w:r w:rsidR="00464FE4" w:rsidRPr="0057774E">
          <w:rPr>
            <w:rStyle w:val="Hyperlink"/>
            <w:sz w:val="18"/>
            <w:shd w:val="clear" w:color="auto" w:fill="FFFFFF"/>
            <w:lang w:val="it-IT"/>
          </w:rPr>
          <w:t>giroran@tiscali.it</w:t>
        </w:r>
      </w:hyperlink>
      <w:r w:rsidR="00464FE4" w:rsidRPr="00FF103B">
        <w:rPr>
          <w:sz w:val="18"/>
          <w:shd w:val="clear" w:color="auto" w:fill="FFFFFF"/>
          <w:lang w:val="it-IT"/>
        </w:rPr>
        <w:t>;</w:t>
      </w:r>
      <w:r w:rsidR="00090A99">
        <w:rPr>
          <w:sz w:val="18"/>
          <w:shd w:val="clear" w:color="auto" w:fill="FFFFFF"/>
          <w:lang w:val="it-IT"/>
        </w:rPr>
        <w:t xml:space="preserve"> Prof. Domenico Tricarico, email: </w:t>
      </w:r>
      <w:hyperlink r:id="rId6" w:history="1">
        <w:r w:rsidR="00090A99" w:rsidRPr="0096315F">
          <w:rPr>
            <w:rStyle w:val="Hyperlink"/>
            <w:sz w:val="18"/>
            <w:shd w:val="clear" w:color="auto" w:fill="FFFFFF"/>
            <w:lang w:val="it-IT"/>
          </w:rPr>
          <w:t>domenico.tricarico@uniba.it</w:t>
        </w:r>
      </w:hyperlink>
    </w:p>
    <w:p w14:paraId="3DD968D1" w14:textId="77777777" w:rsidR="00090A99" w:rsidRDefault="00090A99" w:rsidP="00464FE4">
      <w:pPr>
        <w:spacing w:before="240"/>
        <w:rPr>
          <w:sz w:val="18"/>
          <w:shd w:val="clear" w:color="auto" w:fill="FFFFFF"/>
          <w:lang w:val="it-IT"/>
        </w:rPr>
      </w:pPr>
    </w:p>
    <w:p w14:paraId="0BDDEE7D" w14:textId="77777777" w:rsidR="005A721B" w:rsidRPr="00464FE4" w:rsidRDefault="005A721B" w:rsidP="00192F12">
      <w:pPr>
        <w:pStyle w:val="MDPI41tablecaption"/>
        <w:ind w:left="0"/>
        <w:jc w:val="both"/>
        <w:rPr>
          <w:rFonts w:eastAsia="Palatino Linotype"/>
          <w:b/>
          <w:sz w:val="20"/>
          <w:szCs w:val="20"/>
          <w:lang w:val="it-IT"/>
        </w:rPr>
      </w:pPr>
    </w:p>
    <w:p w14:paraId="10490D0A" w14:textId="075C642F" w:rsidR="00297968" w:rsidRPr="00E7111C" w:rsidRDefault="00297968" w:rsidP="00595621">
      <w:pPr>
        <w:pStyle w:val="MDPI41tablecaption"/>
        <w:ind w:left="0"/>
        <w:jc w:val="both"/>
        <w:rPr>
          <w:rFonts w:eastAsia="Palatino Linotype"/>
          <w:sz w:val="20"/>
          <w:szCs w:val="20"/>
        </w:rPr>
      </w:pPr>
      <w:r w:rsidRPr="00E7111C">
        <w:rPr>
          <w:rFonts w:eastAsia="Palatino Linotype"/>
          <w:b/>
          <w:sz w:val="20"/>
          <w:szCs w:val="20"/>
        </w:rPr>
        <w:t xml:space="preserve">Table </w:t>
      </w:r>
      <w:r w:rsidR="00C11D8E">
        <w:rPr>
          <w:rFonts w:eastAsia="Palatino Linotype"/>
          <w:b/>
          <w:sz w:val="20"/>
          <w:szCs w:val="20"/>
        </w:rPr>
        <w:t>1</w:t>
      </w:r>
      <w:r w:rsidR="006802F5" w:rsidRPr="00E7111C">
        <w:rPr>
          <w:rFonts w:eastAsia="Palatino Linotype"/>
          <w:b/>
          <w:sz w:val="20"/>
          <w:szCs w:val="20"/>
        </w:rPr>
        <w:t>S</w:t>
      </w:r>
      <w:r w:rsidRPr="00E7111C">
        <w:rPr>
          <w:rFonts w:eastAsia="Palatino Linotype"/>
          <w:b/>
          <w:sz w:val="20"/>
          <w:szCs w:val="20"/>
        </w:rPr>
        <w:t xml:space="preserve">. </w:t>
      </w:r>
      <w:r w:rsidRPr="00E7111C">
        <w:rPr>
          <w:rFonts w:eastAsia="Palatino Linotype"/>
          <w:sz w:val="20"/>
          <w:szCs w:val="20"/>
        </w:rPr>
        <w:t xml:space="preserve">Missense Pathogenic </w:t>
      </w:r>
      <w:r w:rsidR="006802F5" w:rsidRPr="00E7111C">
        <w:rPr>
          <w:rFonts w:eastAsia="Palatino Linotype"/>
          <w:sz w:val="20"/>
          <w:szCs w:val="20"/>
        </w:rPr>
        <w:t xml:space="preserve">not Cancer </w:t>
      </w:r>
      <w:r w:rsidRPr="00E7111C">
        <w:rPr>
          <w:rFonts w:eastAsia="Palatino Linotype"/>
          <w:sz w:val="20"/>
          <w:szCs w:val="20"/>
        </w:rPr>
        <w:t>Variants (mutations) annotated in ClinVar and validated as pathogenic by multiple submitters</w:t>
      </w:r>
      <w:r w:rsidR="006802F5" w:rsidRPr="00E7111C">
        <w:rPr>
          <w:rFonts w:eastAsia="Palatino Linotype"/>
          <w:sz w:val="20"/>
          <w:szCs w:val="20"/>
        </w:rPr>
        <w:t xml:space="preserve"> </w:t>
      </w:r>
    </w:p>
    <w:tbl>
      <w:tblPr>
        <w:tblStyle w:val="11"/>
        <w:tblW w:w="10465" w:type="dxa"/>
        <w:jc w:val="center"/>
        <w:tblInd w:w="0" w:type="dxa"/>
        <w:tblBorders>
          <w:top w:val="single" w:sz="8" w:space="0" w:color="auto"/>
          <w:bottom w:val="single" w:sz="8" w:space="0" w:color="auto"/>
          <w:insideH w:val="single" w:sz="4" w:space="0" w:color="auto"/>
        </w:tblBorders>
        <w:tblLayout w:type="fixed"/>
        <w:tblCellMar>
          <w:top w:w="0" w:type="dxa"/>
          <w:left w:w="0" w:type="dxa"/>
          <w:bottom w:w="0" w:type="dxa"/>
          <w:right w:w="0" w:type="dxa"/>
        </w:tblCellMar>
        <w:tblLook w:val="0600" w:firstRow="0" w:lastRow="0" w:firstColumn="0" w:lastColumn="0" w:noHBand="1" w:noVBand="1"/>
      </w:tblPr>
      <w:tblGrid>
        <w:gridCol w:w="1062"/>
        <w:gridCol w:w="1853"/>
        <w:gridCol w:w="31"/>
        <w:gridCol w:w="2961"/>
        <w:gridCol w:w="1000"/>
        <w:gridCol w:w="3558"/>
      </w:tblGrid>
      <w:tr w:rsidR="00297968" w:rsidRPr="001F4278" w14:paraId="083021CD" w14:textId="77777777" w:rsidTr="00DE5EC2">
        <w:trPr>
          <w:jc w:val="center"/>
        </w:trPr>
        <w:tc>
          <w:tcPr>
            <w:tcW w:w="798" w:type="dxa"/>
            <w:tcBorders>
              <w:top w:val="single" w:sz="8" w:space="0" w:color="auto"/>
              <w:bottom w:val="single" w:sz="4" w:space="0" w:color="auto"/>
            </w:tcBorders>
            <w:shd w:val="clear" w:color="auto" w:fill="auto"/>
            <w:tcMar>
              <w:top w:w="-36" w:type="dxa"/>
              <w:left w:w="-36" w:type="dxa"/>
              <w:bottom w:w="-36" w:type="dxa"/>
              <w:right w:w="-36" w:type="dxa"/>
            </w:tcMar>
            <w:vAlign w:val="center"/>
          </w:tcPr>
          <w:p w14:paraId="5D85F373" w14:textId="77777777" w:rsidR="00297968" w:rsidRPr="001F4278" w:rsidRDefault="00297968" w:rsidP="00DE5EC2">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napToGrid w:val="0"/>
              <w:spacing w:line="240" w:lineRule="auto"/>
              <w:jc w:val="center"/>
              <w:rPr>
                <w:rFonts w:eastAsia="Calibri" w:cs="Calibri"/>
                <w:b/>
                <w:bCs/>
              </w:rPr>
            </w:pPr>
            <w:r w:rsidRPr="001F4278">
              <w:rPr>
                <w:rFonts w:eastAsia="Calibri" w:cs="Calibri"/>
                <w:b/>
                <w:bCs/>
              </w:rPr>
              <w:t>Gene</w:t>
            </w:r>
          </w:p>
        </w:tc>
        <w:tc>
          <w:tcPr>
            <w:tcW w:w="1414" w:type="dxa"/>
            <w:gridSpan w:val="2"/>
            <w:tcBorders>
              <w:top w:val="single" w:sz="8" w:space="0" w:color="auto"/>
              <w:bottom w:val="single" w:sz="4" w:space="0" w:color="auto"/>
            </w:tcBorders>
            <w:shd w:val="clear" w:color="auto" w:fill="auto"/>
            <w:tcMar>
              <w:top w:w="-36" w:type="dxa"/>
              <w:left w:w="-36" w:type="dxa"/>
              <w:bottom w:w="-36" w:type="dxa"/>
              <w:right w:w="-36" w:type="dxa"/>
            </w:tcMar>
            <w:vAlign w:val="center"/>
          </w:tcPr>
          <w:p w14:paraId="76D9732B" w14:textId="77777777" w:rsidR="00297968" w:rsidRPr="001F4278" w:rsidRDefault="00297968" w:rsidP="00DE5EC2">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napToGrid w:val="0"/>
              <w:spacing w:line="240" w:lineRule="auto"/>
              <w:jc w:val="center"/>
              <w:rPr>
                <w:rFonts w:eastAsia="Palatino Linotype" w:cs="Palatino Linotype"/>
                <w:b/>
                <w:bCs/>
              </w:rPr>
            </w:pPr>
            <w:r w:rsidRPr="001F4278">
              <w:rPr>
                <w:rFonts w:eastAsia="Calibri" w:cs="Calibri"/>
                <w:b/>
                <w:bCs/>
              </w:rPr>
              <w:t>Variant genomic location</w:t>
            </w:r>
          </w:p>
        </w:tc>
        <w:tc>
          <w:tcPr>
            <w:tcW w:w="2223" w:type="dxa"/>
            <w:tcBorders>
              <w:top w:val="single" w:sz="8" w:space="0" w:color="auto"/>
              <w:bottom w:val="single" w:sz="4" w:space="0" w:color="auto"/>
            </w:tcBorders>
            <w:shd w:val="clear" w:color="auto" w:fill="auto"/>
            <w:tcMar>
              <w:top w:w="-36" w:type="dxa"/>
              <w:left w:w="-36" w:type="dxa"/>
              <w:bottom w:w="-36" w:type="dxa"/>
              <w:right w:w="-36" w:type="dxa"/>
            </w:tcMar>
            <w:vAlign w:val="center"/>
          </w:tcPr>
          <w:p w14:paraId="0F24242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b/>
                <w:bCs/>
              </w:rPr>
            </w:pPr>
            <w:r w:rsidRPr="001F4278">
              <w:rPr>
                <w:rFonts w:eastAsia="Calibri" w:cs="Calibri"/>
                <w:b/>
                <w:bCs/>
              </w:rPr>
              <w:t>Variant transcript location</w:t>
            </w:r>
          </w:p>
        </w:tc>
        <w:tc>
          <w:tcPr>
            <w:tcW w:w="751" w:type="dxa"/>
            <w:tcBorders>
              <w:top w:val="single" w:sz="8" w:space="0" w:color="auto"/>
              <w:bottom w:val="single" w:sz="4" w:space="0" w:color="auto"/>
            </w:tcBorders>
            <w:shd w:val="clear" w:color="auto" w:fill="auto"/>
            <w:tcMar>
              <w:top w:w="-36" w:type="dxa"/>
              <w:left w:w="-36" w:type="dxa"/>
              <w:bottom w:w="-36" w:type="dxa"/>
              <w:right w:w="-36" w:type="dxa"/>
            </w:tcMar>
            <w:vAlign w:val="center"/>
          </w:tcPr>
          <w:p w14:paraId="788B6C1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b/>
                <w:bCs/>
              </w:rPr>
            </w:pPr>
            <w:r w:rsidRPr="001F4278">
              <w:rPr>
                <w:rFonts w:eastAsia="Calibri" w:cs="Calibri"/>
                <w:b/>
                <w:bCs/>
              </w:rPr>
              <w:t>Protein change</w:t>
            </w:r>
          </w:p>
        </w:tc>
        <w:tc>
          <w:tcPr>
            <w:tcW w:w="2671" w:type="dxa"/>
            <w:tcBorders>
              <w:top w:val="single" w:sz="8" w:space="0" w:color="auto"/>
              <w:bottom w:val="single" w:sz="4" w:space="0" w:color="auto"/>
            </w:tcBorders>
            <w:shd w:val="clear" w:color="auto" w:fill="auto"/>
            <w:tcMar>
              <w:top w:w="-36" w:type="dxa"/>
              <w:left w:w="-36" w:type="dxa"/>
              <w:bottom w:w="-36" w:type="dxa"/>
              <w:right w:w="-36" w:type="dxa"/>
            </w:tcMar>
            <w:vAlign w:val="center"/>
          </w:tcPr>
          <w:p w14:paraId="17BEA79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b/>
                <w:bCs/>
              </w:rPr>
            </w:pPr>
            <w:r w:rsidRPr="001F4278">
              <w:rPr>
                <w:rFonts w:eastAsia="Calibri" w:cs="Calibri"/>
                <w:b/>
                <w:bCs/>
              </w:rPr>
              <w:t>Condition(s)</w:t>
            </w:r>
          </w:p>
        </w:tc>
      </w:tr>
      <w:tr w:rsidR="00297968" w:rsidRPr="001F4278" w14:paraId="07DCC6E6" w14:textId="77777777" w:rsidTr="00DE5EC2">
        <w:trPr>
          <w:jc w:val="center"/>
        </w:trPr>
        <w:tc>
          <w:tcPr>
            <w:tcW w:w="798" w:type="dxa"/>
            <w:tcBorders>
              <w:top w:val="single" w:sz="4" w:space="0" w:color="auto"/>
            </w:tcBorders>
            <w:shd w:val="clear" w:color="auto" w:fill="auto"/>
            <w:tcMar>
              <w:top w:w="-36" w:type="dxa"/>
              <w:left w:w="-36" w:type="dxa"/>
              <w:bottom w:w="-36" w:type="dxa"/>
              <w:right w:w="-36" w:type="dxa"/>
            </w:tcMar>
            <w:vAlign w:val="center"/>
          </w:tcPr>
          <w:p w14:paraId="398D761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KCNJ11</w:t>
            </w:r>
          </w:p>
        </w:tc>
        <w:tc>
          <w:tcPr>
            <w:tcW w:w="1391" w:type="dxa"/>
            <w:tcBorders>
              <w:top w:val="single" w:sz="4" w:space="0" w:color="auto"/>
            </w:tcBorders>
            <w:shd w:val="clear" w:color="auto" w:fill="auto"/>
            <w:tcMar>
              <w:top w:w="-36" w:type="dxa"/>
              <w:left w:w="-36" w:type="dxa"/>
              <w:bottom w:w="-36" w:type="dxa"/>
              <w:right w:w="-36" w:type="dxa"/>
            </w:tcMar>
            <w:vAlign w:val="center"/>
          </w:tcPr>
          <w:p w14:paraId="02F70D5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NC_000011.10:17387247:C:T</w:t>
            </w:r>
          </w:p>
        </w:tc>
        <w:tc>
          <w:tcPr>
            <w:tcW w:w="2246" w:type="dxa"/>
            <w:gridSpan w:val="2"/>
            <w:tcBorders>
              <w:top w:val="single" w:sz="4" w:space="0" w:color="auto"/>
            </w:tcBorders>
            <w:shd w:val="clear" w:color="auto" w:fill="auto"/>
            <w:tcMar>
              <w:top w:w="-36" w:type="dxa"/>
              <w:left w:w="-36" w:type="dxa"/>
              <w:bottom w:w="-36" w:type="dxa"/>
              <w:right w:w="-36" w:type="dxa"/>
            </w:tcMar>
            <w:vAlign w:val="center"/>
          </w:tcPr>
          <w:p w14:paraId="5AC6BD8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NM_000525.4(KCNJ11):c.844G&gt;A (p.Glu282Lys)</w:t>
            </w:r>
          </w:p>
        </w:tc>
        <w:tc>
          <w:tcPr>
            <w:tcW w:w="751" w:type="dxa"/>
            <w:tcBorders>
              <w:top w:val="single" w:sz="4" w:space="0" w:color="auto"/>
            </w:tcBorders>
            <w:shd w:val="clear" w:color="auto" w:fill="auto"/>
            <w:tcMar>
              <w:top w:w="-36" w:type="dxa"/>
              <w:left w:w="-36" w:type="dxa"/>
              <w:bottom w:w="-36" w:type="dxa"/>
              <w:right w:w="-36" w:type="dxa"/>
            </w:tcMar>
            <w:vAlign w:val="center"/>
          </w:tcPr>
          <w:p w14:paraId="1561F3D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E282K, E195K</w:t>
            </w:r>
          </w:p>
        </w:tc>
        <w:tc>
          <w:tcPr>
            <w:tcW w:w="2671" w:type="dxa"/>
            <w:tcBorders>
              <w:top w:val="single" w:sz="4" w:space="0" w:color="auto"/>
            </w:tcBorders>
            <w:shd w:val="clear" w:color="auto" w:fill="auto"/>
            <w:tcMar>
              <w:top w:w="-36" w:type="dxa"/>
              <w:left w:w="-36" w:type="dxa"/>
              <w:bottom w:w="-36" w:type="dxa"/>
              <w:right w:w="-36" w:type="dxa"/>
            </w:tcMar>
            <w:vAlign w:val="center"/>
          </w:tcPr>
          <w:p w14:paraId="69D412A9"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Maturity-onset diabetes of the young, type; Hyperinsulinemic hypoglycemia, familial; Type II diabetes mellitus; Permanent neonatal diabetes mellitus; Transient neonatal diabetes mellitus; Hyperinsulinemic hypoglycemia, familial</w:t>
            </w:r>
          </w:p>
        </w:tc>
      </w:tr>
      <w:tr w:rsidR="00297968" w:rsidRPr="001F4278" w14:paraId="435E8D63" w14:textId="77777777" w:rsidTr="00DE5EC2">
        <w:trPr>
          <w:jc w:val="center"/>
        </w:trPr>
        <w:tc>
          <w:tcPr>
            <w:tcW w:w="798" w:type="dxa"/>
            <w:shd w:val="clear" w:color="auto" w:fill="auto"/>
            <w:tcMar>
              <w:top w:w="-36" w:type="dxa"/>
              <w:left w:w="-36" w:type="dxa"/>
              <w:bottom w:w="-36" w:type="dxa"/>
              <w:right w:w="-36" w:type="dxa"/>
            </w:tcMar>
            <w:vAlign w:val="center"/>
          </w:tcPr>
          <w:p w14:paraId="3BC70F7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KCNJ11</w:t>
            </w:r>
          </w:p>
        </w:tc>
        <w:tc>
          <w:tcPr>
            <w:tcW w:w="1391" w:type="dxa"/>
            <w:shd w:val="clear" w:color="auto" w:fill="auto"/>
            <w:tcMar>
              <w:top w:w="-36" w:type="dxa"/>
              <w:left w:w="-36" w:type="dxa"/>
              <w:bottom w:w="-36" w:type="dxa"/>
              <w:right w:w="-36" w:type="dxa"/>
            </w:tcMar>
            <w:vAlign w:val="center"/>
          </w:tcPr>
          <w:p w14:paraId="5EA82A2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NC_000011.10:17387315:T:C</w:t>
            </w:r>
          </w:p>
        </w:tc>
        <w:tc>
          <w:tcPr>
            <w:tcW w:w="2246" w:type="dxa"/>
            <w:gridSpan w:val="2"/>
            <w:shd w:val="clear" w:color="auto" w:fill="auto"/>
            <w:tcMar>
              <w:top w:w="-36" w:type="dxa"/>
              <w:left w:w="-36" w:type="dxa"/>
              <w:bottom w:w="-36" w:type="dxa"/>
              <w:right w:w="-36" w:type="dxa"/>
            </w:tcMar>
            <w:vAlign w:val="center"/>
          </w:tcPr>
          <w:p w14:paraId="74652A2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NM_000525.4(KCNJ11):c.776A&gt;G (p.His259Arg)</w:t>
            </w:r>
          </w:p>
        </w:tc>
        <w:tc>
          <w:tcPr>
            <w:tcW w:w="751" w:type="dxa"/>
            <w:shd w:val="clear" w:color="auto" w:fill="auto"/>
            <w:tcMar>
              <w:top w:w="-36" w:type="dxa"/>
              <w:left w:w="-36" w:type="dxa"/>
              <w:bottom w:w="-36" w:type="dxa"/>
              <w:right w:w="-36" w:type="dxa"/>
            </w:tcMar>
            <w:vAlign w:val="center"/>
          </w:tcPr>
          <w:p w14:paraId="680EDEC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H259R, H172R</w:t>
            </w:r>
          </w:p>
        </w:tc>
        <w:tc>
          <w:tcPr>
            <w:tcW w:w="2671" w:type="dxa"/>
            <w:shd w:val="clear" w:color="auto" w:fill="auto"/>
            <w:tcMar>
              <w:top w:w="-36" w:type="dxa"/>
              <w:left w:w="-36" w:type="dxa"/>
              <w:bottom w:w="-36" w:type="dxa"/>
              <w:right w:w="-36" w:type="dxa"/>
            </w:tcMar>
            <w:vAlign w:val="center"/>
          </w:tcPr>
          <w:p w14:paraId="1D86470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Hyperinsulinemic hypoglycemia, familial</w:t>
            </w:r>
          </w:p>
        </w:tc>
      </w:tr>
      <w:tr w:rsidR="00297968" w:rsidRPr="00090A99" w14:paraId="0F9A5641" w14:textId="77777777" w:rsidTr="00DE5EC2">
        <w:trPr>
          <w:jc w:val="center"/>
        </w:trPr>
        <w:tc>
          <w:tcPr>
            <w:tcW w:w="798" w:type="dxa"/>
            <w:shd w:val="clear" w:color="auto" w:fill="auto"/>
            <w:tcMar>
              <w:top w:w="-36" w:type="dxa"/>
              <w:left w:w="-36" w:type="dxa"/>
              <w:bottom w:w="-36" w:type="dxa"/>
              <w:right w:w="-36" w:type="dxa"/>
            </w:tcMar>
            <w:vAlign w:val="center"/>
          </w:tcPr>
          <w:p w14:paraId="1D62E64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KCNJ11</w:t>
            </w:r>
          </w:p>
        </w:tc>
        <w:tc>
          <w:tcPr>
            <w:tcW w:w="1391" w:type="dxa"/>
            <w:shd w:val="clear" w:color="auto" w:fill="auto"/>
            <w:tcMar>
              <w:top w:w="-36" w:type="dxa"/>
              <w:left w:w="-36" w:type="dxa"/>
              <w:bottom w:w="-36" w:type="dxa"/>
              <w:right w:w="-36" w:type="dxa"/>
            </w:tcMar>
            <w:vAlign w:val="center"/>
          </w:tcPr>
          <w:p w14:paraId="76283CE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NC_000011.10:17387490:G:A</w:t>
            </w:r>
          </w:p>
        </w:tc>
        <w:tc>
          <w:tcPr>
            <w:tcW w:w="2246" w:type="dxa"/>
            <w:gridSpan w:val="2"/>
            <w:shd w:val="clear" w:color="auto" w:fill="auto"/>
            <w:tcMar>
              <w:top w:w="-36" w:type="dxa"/>
              <w:left w:w="-36" w:type="dxa"/>
              <w:bottom w:w="-36" w:type="dxa"/>
              <w:right w:w="-36" w:type="dxa"/>
            </w:tcMar>
            <w:vAlign w:val="center"/>
          </w:tcPr>
          <w:p w14:paraId="00B55C56" w14:textId="77777777" w:rsidR="00297968" w:rsidRPr="00CE677F" w:rsidRDefault="00297968" w:rsidP="00DE5EC2">
            <w:pPr>
              <w:autoSpaceDE w:val="0"/>
              <w:autoSpaceDN w:val="0"/>
              <w:adjustRightInd w:val="0"/>
              <w:snapToGrid w:val="0"/>
              <w:spacing w:line="240" w:lineRule="auto"/>
              <w:jc w:val="center"/>
              <w:rPr>
                <w:rFonts w:eastAsia="Palatino Linotype" w:cs="Palatino Linotype"/>
                <w:lang w:val="fr-FR"/>
              </w:rPr>
            </w:pPr>
            <w:r w:rsidRPr="00CE677F">
              <w:rPr>
                <w:rFonts w:eastAsia="Calibri" w:cs="Calibri"/>
                <w:lang w:val="fr-FR"/>
              </w:rPr>
              <w:t>NM_000525.4(KCNJ11):c.601C&gt;T (p.Arg201Cys)</w:t>
            </w:r>
          </w:p>
        </w:tc>
        <w:tc>
          <w:tcPr>
            <w:tcW w:w="751" w:type="dxa"/>
            <w:shd w:val="clear" w:color="auto" w:fill="auto"/>
            <w:tcMar>
              <w:top w:w="-36" w:type="dxa"/>
              <w:left w:w="-36" w:type="dxa"/>
              <w:bottom w:w="-36" w:type="dxa"/>
              <w:right w:w="-36" w:type="dxa"/>
            </w:tcMar>
            <w:vAlign w:val="center"/>
          </w:tcPr>
          <w:p w14:paraId="48A410C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R201C, R114C</w:t>
            </w:r>
          </w:p>
        </w:tc>
        <w:tc>
          <w:tcPr>
            <w:tcW w:w="2671" w:type="dxa"/>
            <w:shd w:val="clear" w:color="auto" w:fill="auto"/>
            <w:tcMar>
              <w:top w:w="-36" w:type="dxa"/>
              <w:left w:w="-36" w:type="dxa"/>
              <w:bottom w:w="-36" w:type="dxa"/>
              <w:right w:w="-36" w:type="dxa"/>
            </w:tcMar>
            <w:vAlign w:val="center"/>
          </w:tcPr>
          <w:p w14:paraId="59258634" w14:textId="77777777" w:rsidR="00297968" w:rsidRPr="001F4278" w:rsidRDefault="00297968" w:rsidP="00DE5EC2">
            <w:pPr>
              <w:autoSpaceDE w:val="0"/>
              <w:autoSpaceDN w:val="0"/>
              <w:adjustRightInd w:val="0"/>
              <w:snapToGrid w:val="0"/>
              <w:spacing w:line="240" w:lineRule="auto"/>
              <w:jc w:val="center"/>
              <w:rPr>
                <w:rFonts w:eastAsia="Calibri" w:cs="Calibri"/>
                <w:lang w:val="fr-FR"/>
              </w:rPr>
            </w:pPr>
            <w:r w:rsidRPr="001F4278">
              <w:rPr>
                <w:rFonts w:eastAsia="Calibri" w:cs="Calibri"/>
                <w:lang w:val="fr-FR"/>
              </w:rPr>
              <w:t xml:space="preserve">Diabetes mellitus|Permanent neonatal diabetes mellitus; Permanent neonatal diabetes mellitus; Transient neonatal diabetes mellitus </w:t>
            </w:r>
          </w:p>
        </w:tc>
      </w:tr>
      <w:tr w:rsidR="00297968" w:rsidRPr="00090A99" w14:paraId="2D1353C5" w14:textId="77777777" w:rsidTr="00DE5EC2">
        <w:trPr>
          <w:jc w:val="center"/>
        </w:trPr>
        <w:tc>
          <w:tcPr>
            <w:tcW w:w="798" w:type="dxa"/>
            <w:shd w:val="clear" w:color="auto" w:fill="auto"/>
            <w:tcMar>
              <w:top w:w="-36" w:type="dxa"/>
              <w:left w:w="-36" w:type="dxa"/>
              <w:bottom w:w="-36" w:type="dxa"/>
              <w:right w:w="-36" w:type="dxa"/>
            </w:tcMar>
            <w:vAlign w:val="center"/>
          </w:tcPr>
          <w:p w14:paraId="2EEBBB8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KCNJ11</w:t>
            </w:r>
          </w:p>
        </w:tc>
        <w:tc>
          <w:tcPr>
            <w:tcW w:w="1391" w:type="dxa"/>
            <w:shd w:val="clear" w:color="auto" w:fill="auto"/>
            <w:tcMar>
              <w:top w:w="-36" w:type="dxa"/>
              <w:left w:w="-36" w:type="dxa"/>
              <w:bottom w:w="-36" w:type="dxa"/>
              <w:right w:w="-36" w:type="dxa"/>
            </w:tcMar>
            <w:vAlign w:val="center"/>
          </w:tcPr>
          <w:p w14:paraId="2486019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NC_000011.10:17387916:C:T</w:t>
            </w:r>
          </w:p>
        </w:tc>
        <w:tc>
          <w:tcPr>
            <w:tcW w:w="2246" w:type="dxa"/>
            <w:gridSpan w:val="2"/>
            <w:shd w:val="clear" w:color="auto" w:fill="auto"/>
            <w:tcMar>
              <w:top w:w="-36" w:type="dxa"/>
              <w:left w:w="-36" w:type="dxa"/>
              <w:bottom w:w="-36" w:type="dxa"/>
              <w:right w:w="-36" w:type="dxa"/>
            </w:tcMar>
            <w:vAlign w:val="center"/>
          </w:tcPr>
          <w:p w14:paraId="43F6AAC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lang w:val="nl-NL"/>
              </w:rPr>
            </w:pPr>
            <w:r w:rsidRPr="001F4278">
              <w:rPr>
                <w:rFonts w:eastAsia="Calibri" w:cs="Calibri"/>
                <w:lang w:val="nl-NL"/>
              </w:rPr>
              <w:t>NM_000525.4(</w:t>
            </w:r>
            <w:r w:rsidRPr="001F4278">
              <w:rPr>
                <w:rFonts w:eastAsia="Calibri" w:cs="Calibri"/>
                <w:i/>
                <w:iCs/>
                <w:lang w:val="nl-NL"/>
              </w:rPr>
              <w:t>KCNJ11</w:t>
            </w:r>
            <w:r w:rsidRPr="001F4278">
              <w:rPr>
                <w:rFonts w:eastAsia="Calibri" w:cs="Calibri"/>
                <w:lang w:val="nl-NL"/>
              </w:rPr>
              <w:t>):c.175G&gt;A (p.Val59Met)</w:t>
            </w:r>
          </w:p>
        </w:tc>
        <w:tc>
          <w:tcPr>
            <w:tcW w:w="751" w:type="dxa"/>
            <w:shd w:val="clear" w:color="auto" w:fill="auto"/>
            <w:tcMar>
              <w:top w:w="-36" w:type="dxa"/>
              <w:left w:w="-36" w:type="dxa"/>
              <w:bottom w:w="-36" w:type="dxa"/>
              <w:right w:w="-36" w:type="dxa"/>
            </w:tcMar>
            <w:vAlign w:val="center"/>
          </w:tcPr>
          <w:p w14:paraId="6902A0B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V59M</w:t>
            </w:r>
          </w:p>
        </w:tc>
        <w:tc>
          <w:tcPr>
            <w:tcW w:w="2671" w:type="dxa"/>
            <w:shd w:val="clear" w:color="auto" w:fill="auto"/>
            <w:tcMar>
              <w:top w:w="-36" w:type="dxa"/>
              <w:left w:w="-36" w:type="dxa"/>
              <w:bottom w:w="-36" w:type="dxa"/>
              <w:right w:w="-36" w:type="dxa"/>
            </w:tcMar>
            <w:vAlign w:val="center"/>
          </w:tcPr>
          <w:p w14:paraId="24DC28BB" w14:textId="77777777" w:rsidR="00297968" w:rsidRPr="001F4278" w:rsidRDefault="00297968" w:rsidP="00DE5EC2">
            <w:pPr>
              <w:autoSpaceDE w:val="0"/>
              <w:autoSpaceDN w:val="0"/>
              <w:adjustRightInd w:val="0"/>
              <w:snapToGrid w:val="0"/>
              <w:spacing w:line="240" w:lineRule="auto"/>
              <w:jc w:val="center"/>
              <w:rPr>
                <w:rFonts w:eastAsia="Calibri" w:cs="Calibri"/>
                <w:lang w:val="fr-FR"/>
              </w:rPr>
            </w:pPr>
            <w:r w:rsidRPr="001F4278">
              <w:rPr>
                <w:rFonts w:eastAsia="Calibri" w:cs="Calibri"/>
                <w:lang w:val="fr-FR"/>
              </w:rPr>
              <w:t>Permanent neonatal diabetes mellitus; Permanent neonatal diabetes mellitus; Neonatal insulin-dependent diabetes mellitus</w:t>
            </w:r>
          </w:p>
        </w:tc>
      </w:tr>
      <w:tr w:rsidR="00297968" w:rsidRPr="001F4278" w14:paraId="2A42A158" w14:textId="77777777" w:rsidTr="00DE5EC2">
        <w:trPr>
          <w:jc w:val="center"/>
        </w:trPr>
        <w:tc>
          <w:tcPr>
            <w:tcW w:w="798" w:type="dxa"/>
            <w:shd w:val="clear" w:color="auto" w:fill="auto"/>
            <w:tcMar>
              <w:top w:w="-36" w:type="dxa"/>
              <w:left w:w="-36" w:type="dxa"/>
              <w:bottom w:w="-36" w:type="dxa"/>
              <w:right w:w="-36" w:type="dxa"/>
            </w:tcMar>
            <w:vAlign w:val="center"/>
          </w:tcPr>
          <w:p w14:paraId="59816B2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KCNJ11</w:t>
            </w:r>
          </w:p>
        </w:tc>
        <w:tc>
          <w:tcPr>
            <w:tcW w:w="1391" w:type="dxa"/>
            <w:shd w:val="clear" w:color="auto" w:fill="auto"/>
            <w:tcMar>
              <w:top w:w="-36" w:type="dxa"/>
              <w:left w:w="-36" w:type="dxa"/>
              <w:bottom w:w="-36" w:type="dxa"/>
              <w:right w:w="-36" w:type="dxa"/>
            </w:tcMar>
            <w:vAlign w:val="center"/>
          </w:tcPr>
          <w:p w14:paraId="54F7C48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NC_000011.10:17387210:G:A</w:t>
            </w:r>
          </w:p>
        </w:tc>
        <w:tc>
          <w:tcPr>
            <w:tcW w:w="2246" w:type="dxa"/>
            <w:gridSpan w:val="2"/>
            <w:shd w:val="clear" w:color="auto" w:fill="auto"/>
            <w:tcMar>
              <w:top w:w="-36" w:type="dxa"/>
              <w:left w:w="-36" w:type="dxa"/>
              <w:bottom w:w="-36" w:type="dxa"/>
              <w:right w:w="-36" w:type="dxa"/>
            </w:tcMar>
            <w:vAlign w:val="center"/>
          </w:tcPr>
          <w:p w14:paraId="403B4C54" w14:textId="77777777" w:rsidR="00297968" w:rsidRPr="00CE677F" w:rsidRDefault="00297968" w:rsidP="00DE5EC2">
            <w:pPr>
              <w:autoSpaceDE w:val="0"/>
              <w:autoSpaceDN w:val="0"/>
              <w:adjustRightInd w:val="0"/>
              <w:snapToGrid w:val="0"/>
              <w:spacing w:line="240" w:lineRule="auto"/>
              <w:jc w:val="center"/>
              <w:rPr>
                <w:rFonts w:eastAsia="Palatino Linotype" w:cs="Palatino Linotype"/>
                <w:lang w:val="fr-FR"/>
              </w:rPr>
            </w:pPr>
            <w:r w:rsidRPr="00CE677F">
              <w:rPr>
                <w:rFonts w:eastAsia="Calibri" w:cs="Calibri"/>
                <w:lang w:val="fr-FR"/>
              </w:rPr>
              <w:t>NM_000525.4(</w:t>
            </w:r>
            <w:r w:rsidRPr="00CE677F">
              <w:rPr>
                <w:rFonts w:eastAsia="Calibri" w:cs="Calibri"/>
                <w:i/>
                <w:iCs/>
                <w:lang w:val="fr-FR"/>
              </w:rPr>
              <w:t>KCNJ11</w:t>
            </w:r>
            <w:r w:rsidRPr="00CE677F">
              <w:rPr>
                <w:rFonts w:eastAsia="Calibri" w:cs="Calibri"/>
                <w:lang w:val="fr-FR"/>
              </w:rPr>
              <w:t>):c.881C&gt;T (p.Thr294Met)</w:t>
            </w:r>
          </w:p>
        </w:tc>
        <w:tc>
          <w:tcPr>
            <w:tcW w:w="751" w:type="dxa"/>
            <w:shd w:val="clear" w:color="auto" w:fill="auto"/>
            <w:tcMar>
              <w:top w:w="-36" w:type="dxa"/>
              <w:left w:w="-36" w:type="dxa"/>
              <w:bottom w:w="-36" w:type="dxa"/>
              <w:right w:w="-36" w:type="dxa"/>
            </w:tcMar>
            <w:vAlign w:val="center"/>
          </w:tcPr>
          <w:p w14:paraId="3DEC11D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T294M, T207M</w:t>
            </w:r>
          </w:p>
        </w:tc>
        <w:tc>
          <w:tcPr>
            <w:tcW w:w="2671" w:type="dxa"/>
            <w:shd w:val="clear" w:color="auto" w:fill="auto"/>
            <w:tcMar>
              <w:top w:w="-36" w:type="dxa"/>
              <w:left w:w="-36" w:type="dxa"/>
              <w:bottom w:w="-36" w:type="dxa"/>
              <w:right w:w="-36" w:type="dxa"/>
            </w:tcMar>
            <w:vAlign w:val="center"/>
          </w:tcPr>
          <w:p w14:paraId="2474A74B"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Transient neonatal diabetes mellitus; Hyperinsulinemic hypoglycemia, familial; Hyperinsulinemic hypoglycemia, familial; Maturity-onset diabetes of the young, type 13|Transient neonatal diabetes mellitus; Type II diabetes mellitus; Permanent neonatal diabetes mellitus</w:t>
            </w:r>
          </w:p>
        </w:tc>
      </w:tr>
      <w:tr w:rsidR="00297968" w:rsidRPr="001F4278" w14:paraId="4D0BD8E5" w14:textId="77777777" w:rsidTr="00DE5EC2">
        <w:trPr>
          <w:jc w:val="center"/>
        </w:trPr>
        <w:tc>
          <w:tcPr>
            <w:tcW w:w="798" w:type="dxa"/>
            <w:shd w:val="clear" w:color="auto" w:fill="auto"/>
            <w:tcMar>
              <w:top w:w="-36" w:type="dxa"/>
              <w:left w:w="-36" w:type="dxa"/>
              <w:bottom w:w="-36" w:type="dxa"/>
              <w:right w:w="-36" w:type="dxa"/>
            </w:tcMar>
            <w:vAlign w:val="center"/>
          </w:tcPr>
          <w:p w14:paraId="5934702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KCNJ11</w:t>
            </w:r>
          </w:p>
        </w:tc>
        <w:tc>
          <w:tcPr>
            <w:tcW w:w="1391" w:type="dxa"/>
            <w:shd w:val="clear" w:color="auto" w:fill="auto"/>
            <w:tcMar>
              <w:top w:w="-36" w:type="dxa"/>
              <w:left w:w="-36" w:type="dxa"/>
              <w:bottom w:w="-36" w:type="dxa"/>
              <w:right w:w="-36" w:type="dxa"/>
            </w:tcMar>
            <w:vAlign w:val="center"/>
          </w:tcPr>
          <w:p w14:paraId="4BC06BE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NC_000011.10:17387942:C:T</w:t>
            </w:r>
          </w:p>
        </w:tc>
        <w:tc>
          <w:tcPr>
            <w:tcW w:w="2246" w:type="dxa"/>
            <w:gridSpan w:val="2"/>
            <w:shd w:val="clear" w:color="auto" w:fill="auto"/>
            <w:tcMar>
              <w:top w:w="-36" w:type="dxa"/>
              <w:left w:w="-36" w:type="dxa"/>
              <w:bottom w:w="-36" w:type="dxa"/>
              <w:right w:w="-36" w:type="dxa"/>
            </w:tcMar>
            <w:vAlign w:val="center"/>
          </w:tcPr>
          <w:p w14:paraId="2FF94D6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NM_000525.4(</w:t>
            </w:r>
            <w:r w:rsidRPr="001F4278">
              <w:rPr>
                <w:rFonts w:eastAsia="Calibri" w:cs="Calibri"/>
                <w:i/>
                <w:iCs/>
              </w:rPr>
              <w:t>KCNJ11</w:t>
            </w:r>
            <w:r w:rsidRPr="001F4278">
              <w:rPr>
                <w:rFonts w:eastAsia="Calibri" w:cs="Calibri"/>
              </w:rPr>
              <w:t>):c.149G&gt;A (p.Arg50Gln)</w:t>
            </w:r>
          </w:p>
        </w:tc>
        <w:tc>
          <w:tcPr>
            <w:tcW w:w="751" w:type="dxa"/>
            <w:shd w:val="clear" w:color="auto" w:fill="auto"/>
            <w:tcMar>
              <w:top w:w="-36" w:type="dxa"/>
              <w:left w:w="-36" w:type="dxa"/>
              <w:bottom w:w="-36" w:type="dxa"/>
              <w:right w:w="-36" w:type="dxa"/>
            </w:tcMar>
            <w:vAlign w:val="center"/>
          </w:tcPr>
          <w:p w14:paraId="0A1BF86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R50Q</w:t>
            </w:r>
          </w:p>
        </w:tc>
        <w:tc>
          <w:tcPr>
            <w:tcW w:w="2671" w:type="dxa"/>
            <w:shd w:val="clear" w:color="auto" w:fill="auto"/>
            <w:tcMar>
              <w:top w:w="-36" w:type="dxa"/>
              <w:left w:w="-36" w:type="dxa"/>
              <w:bottom w:w="-36" w:type="dxa"/>
              <w:right w:w="-36" w:type="dxa"/>
            </w:tcMar>
            <w:vAlign w:val="center"/>
          </w:tcPr>
          <w:p w14:paraId="6E15954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Neonatal diabetes mellitus</w:t>
            </w:r>
          </w:p>
        </w:tc>
      </w:tr>
      <w:tr w:rsidR="00297968" w:rsidRPr="001F4278" w14:paraId="2A334E75" w14:textId="77777777" w:rsidTr="00DE5EC2">
        <w:trPr>
          <w:jc w:val="center"/>
        </w:trPr>
        <w:tc>
          <w:tcPr>
            <w:tcW w:w="798" w:type="dxa"/>
            <w:shd w:val="clear" w:color="auto" w:fill="auto"/>
            <w:tcMar>
              <w:top w:w="-36" w:type="dxa"/>
              <w:left w:w="-36" w:type="dxa"/>
              <w:bottom w:w="-36" w:type="dxa"/>
              <w:right w:w="-36" w:type="dxa"/>
            </w:tcMar>
            <w:vAlign w:val="center"/>
          </w:tcPr>
          <w:p w14:paraId="5A8CB3D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lastRenderedPageBreak/>
              <w:t>KCNJ11</w:t>
            </w:r>
          </w:p>
        </w:tc>
        <w:tc>
          <w:tcPr>
            <w:tcW w:w="1391" w:type="dxa"/>
            <w:shd w:val="clear" w:color="auto" w:fill="auto"/>
            <w:tcMar>
              <w:top w:w="-36" w:type="dxa"/>
              <w:left w:w="-36" w:type="dxa"/>
              <w:bottom w:w="-36" w:type="dxa"/>
              <w:right w:w="-36" w:type="dxa"/>
            </w:tcMar>
            <w:vAlign w:val="center"/>
          </w:tcPr>
          <w:p w14:paraId="62DB1E9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NC_000011.10:17387412:C:T</w:t>
            </w:r>
          </w:p>
        </w:tc>
        <w:tc>
          <w:tcPr>
            <w:tcW w:w="2246" w:type="dxa"/>
            <w:gridSpan w:val="2"/>
            <w:shd w:val="clear" w:color="auto" w:fill="auto"/>
            <w:tcMar>
              <w:top w:w="-36" w:type="dxa"/>
              <w:left w:w="-36" w:type="dxa"/>
              <w:bottom w:w="-36" w:type="dxa"/>
              <w:right w:w="-36" w:type="dxa"/>
            </w:tcMar>
            <w:vAlign w:val="center"/>
          </w:tcPr>
          <w:p w14:paraId="0B321DA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NM_000525.4(</w:t>
            </w:r>
            <w:r w:rsidRPr="001F4278">
              <w:rPr>
                <w:rFonts w:eastAsia="Calibri" w:cs="Calibri"/>
                <w:i/>
                <w:iCs/>
              </w:rPr>
              <w:t>KCNJ11</w:t>
            </w:r>
            <w:r w:rsidRPr="001F4278">
              <w:rPr>
                <w:rFonts w:eastAsia="Calibri" w:cs="Calibri"/>
              </w:rPr>
              <w:t>):c.679G&gt;A (p.Glu227Lys)</w:t>
            </w:r>
          </w:p>
        </w:tc>
        <w:tc>
          <w:tcPr>
            <w:tcW w:w="751" w:type="dxa"/>
            <w:shd w:val="clear" w:color="auto" w:fill="auto"/>
            <w:tcMar>
              <w:top w:w="-36" w:type="dxa"/>
              <w:left w:w="-36" w:type="dxa"/>
              <w:bottom w:w="-36" w:type="dxa"/>
              <w:right w:w="-36" w:type="dxa"/>
            </w:tcMar>
            <w:vAlign w:val="center"/>
          </w:tcPr>
          <w:p w14:paraId="1CA8D82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E227K, E140K</w:t>
            </w:r>
          </w:p>
        </w:tc>
        <w:tc>
          <w:tcPr>
            <w:tcW w:w="2671" w:type="dxa"/>
            <w:shd w:val="clear" w:color="auto" w:fill="auto"/>
            <w:tcMar>
              <w:top w:w="-36" w:type="dxa"/>
              <w:left w:w="-36" w:type="dxa"/>
              <w:bottom w:w="-36" w:type="dxa"/>
              <w:right w:w="-36" w:type="dxa"/>
            </w:tcMar>
            <w:vAlign w:val="center"/>
          </w:tcPr>
          <w:p w14:paraId="147A12E3" w14:textId="77777777" w:rsidR="00297968" w:rsidRPr="001F4278" w:rsidRDefault="00297968" w:rsidP="00DE5EC2">
            <w:pPr>
              <w:autoSpaceDE w:val="0"/>
              <w:autoSpaceDN w:val="0"/>
              <w:adjustRightInd w:val="0"/>
              <w:snapToGrid w:val="0"/>
              <w:spacing w:line="240" w:lineRule="auto"/>
              <w:jc w:val="center"/>
              <w:rPr>
                <w:rFonts w:eastAsia="Calibri" w:cs="Calibri"/>
                <w:highlight w:val="yellow"/>
              </w:rPr>
            </w:pPr>
            <w:r w:rsidRPr="001F4278">
              <w:rPr>
                <w:rFonts w:eastAsia="Calibri" w:cs="Calibri"/>
              </w:rPr>
              <w:t>Maturity-onset diabetes of the young, type 13||Diabetes mellitus|Transient neonatal diabetes mellitus 3</w:t>
            </w:r>
          </w:p>
        </w:tc>
      </w:tr>
      <w:tr w:rsidR="00297968" w:rsidRPr="00CE677F" w14:paraId="2BEF8F8C" w14:textId="77777777" w:rsidTr="00DE5EC2">
        <w:trPr>
          <w:jc w:val="center"/>
        </w:trPr>
        <w:tc>
          <w:tcPr>
            <w:tcW w:w="798" w:type="dxa"/>
            <w:shd w:val="clear" w:color="auto" w:fill="auto"/>
            <w:tcMar>
              <w:top w:w="-36" w:type="dxa"/>
              <w:left w:w="-36" w:type="dxa"/>
              <w:bottom w:w="-36" w:type="dxa"/>
              <w:right w:w="-36" w:type="dxa"/>
            </w:tcMar>
            <w:vAlign w:val="center"/>
          </w:tcPr>
          <w:p w14:paraId="0D5596A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KCNJ11</w:t>
            </w:r>
          </w:p>
        </w:tc>
        <w:tc>
          <w:tcPr>
            <w:tcW w:w="1391" w:type="dxa"/>
            <w:shd w:val="clear" w:color="auto" w:fill="auto"/>
            <w:tcMar>
              <w:top w:w="-36" w:type="dxa"/>
              <w:left w:w="-36" w:type="dxa"/>
              <w:bottom w:w="-36" w:type="dxa"/>
              <w:right w:w="-36" w:type="dxa"/>
            </w:tcMar>
            <w:vAlign w:val="center"/>
          </w:tcPr>
          <w:p w14:paraId="278053D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NC_000011.10:17387489:C:T</w:t>
            </w:r>
          </w:p>
        </w:tc>
        <w:tc>
          <w:tcPr>
            <w:tcW w:w="2246" w:type="dxa"/>
            <w:gridSpan w:val="2"/>
            <w:shd w:val="clear" w:color="auto" w:fill="auto"/>
            <w:tcMar>
              <w:top w:w="-36" w:type="dxa"/>
              <w:left w:w="-36" w:type="dxa"/>
              <w:bottom w:w="-36" w:type="dxa"/>
              <w:right w:w="-36" w:type="dxa"/>
            </w:tcMar>
            <w:vAlign w:val="center"/>
          </w:tcPr>
          <w:p w14:paraId="011D1F2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NM_000525.4(</w:t>
            </w:r>
            <w:r w:rsidRPr="001F4278">
              <w:rPr>
                <w:rFonts w:eastAsia="Calibri" w:cs="Calibri"/>
                <w:i/>
                <w:iCs/>
              </w:rPr>
              <w:t>KCNJ11</w:t>
            </w:r>
            <w:r w:rsidRPr="001F4278">
              <w:rPr>
                <w:rFonts w:eastAsia="Calibri" w:cs="Calibri"/>
              </w:rPr>
              <w:t>):c.602G&gt;A (p.Arg201His)</w:t>
            </w:r>
          </w:p>
        </w:tc>
        <w:tc>
          <w:tcPr>
            <w:tcW w:w="751" w:type="dxa"/>
            <w:shd w:val="clear" w:color="auto" w:fill="auto"/>
            <w:tcMar>
              <w:top w:w="-36" w:type="dxa"/>
              <w:left w:w="-36" w:type="dxa"/>
              <w:bottom w:w="-36" w:type="dxa"/>
              <w:right w:w="-36" w:type="dxa"/>
            </w:tcMar>
            <w:vAlign w:val="center"/>
          </w:tcPr>
          <w:p w14:paraId="55419A1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R201H, R114H</w:t>
            </w:r>
          </w:p>
        </w:tc>
        <w:tc>
          <w:tcPr>
            <w:tcW w:w="2671" w:type="dxa"/>
            <w:shd w:val="clear" w:color="auto" w:fill="auto"/>
            <w:tcMar>
              <w:top w:w="-36" w:type="dxa"/>
              <w:left w:w="-36" w:type="dxa"/>
              <w:bottom w:w="-36" w:type="dxa"/>
              <w:right w:w="-36" w:type="dxa"/>
            </w:tcMar>
            <w:vAlign w:val="center"/>
          </w:tcPr>
          <w:p w14:paraId="50C0A27E" w14:textId="77777777" w:rsidR="00297968" w:rsidRPr="00C11D8E" w:rsidRDefault="00297968" w:rsidP="00DE5EC2">
            <w:pPr>
              <w:autoSpaceDE w:val="0"/>
              <w:autoSpaceDN w:val="0"/>
              <w:adjustRightInd w:val="0"/>
              <w:snapToGrid w:val="0"/>
              <w:spacing w:line="240" w:lineRule="auto"/>
              <w:jc w:val="center"/>
              <w:rPr>
                <w:rFonts w:eastAsia="Calibri" w:cs="Calibri"/>
              </w:rPr>
            </w:pPr>
            <w:r w:rsidRPr="00C11D8E">
              <w:rPr>
                <w:rFonts w:eastAsia="Calibri" w:cs="Calibri"/>
              </w:rPr>
              <w:t>Permanent neonatal diabetes mellitus|Permanent</w:t>
            </w:r>
          </w:p>
          <w:p w14:paraId="0926AE0B" w14:textId="77777777" w:rsidR="00297968" w:rsidRPr="00C11D8E" w:rsidRDefault="00297968" w:rsidP="00DE5EC2">
            <w:pPr>
              <w:autoSpaceDE w:val="0"/>
              <w:autoSpaceDN w:val="0"/>
              <w:adjustRightInd w:val="0"/>
              <w:snapToGrid w:val="0"/>
              <w:spacing w:line="240" w:lineRule="auto"/>
              <w:jc w:val="center"/>
              <w:rPr>
                <w:rFonts w:eastAsia="Calibri" w:cs="Calibri"/>
              </w:rPr>
            </w:pPr>
            <w:r w:rsidRPr="00C11D8E">
              <w:rPr>
                <w:rFonts w:eastAsia="Calibri" w:cs="Calibri"/>
              </w:rPr>
              <w:t>neonatal diabetes mellitus 2||Neonatal insulin-dependent diabetes mellitus|Transient neonatal diabetes mellitus 3</w:t>
            </w:r>
          </w:p>
        </w:tc>
      </w:tr>
      <w:tr w:rsidR="00297968" w:rsidRPr="001F4278" w14:paraId="0BBC1B4B" w14:textId="77777777" w:rsidTr="00DE5EC2">
        <w:trPr>
          <w:jc w:val="center"/>
        </w:trPr>
        <w:tc>
          <w:tcPr>
            <w:tcW w:w="798" w:type="dxa"/>
            <w:shd w:val="clear" w:color="auto" w:fill="auto"/>
            <w:tcMar>
              <w:top w:w="-36" w:type="dxa"/>
              <w:left w:w="-36" w:type="dxa"/>
              <w:bottom w:w="-36" w:type="dxa"/>
              <w:right w:w="-36" w:type="dxa"/>
            </w:tcMar>
            <w:vAlign w:val="center"/>
          </w:tcPr>
          <w:p w14:paraId="2062C68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0865F1C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NC_000011.10:17395619:C:T</w:t>
            </w:r>
          </w:p>
        </w:tc>
        <w:tc>
          <w:tcPr>
            <w:tcW w:w="2246" w:type="dxa"/>
            <w:gridSpan w:val="2"/>
            <w:shd w:val="clear" w:color="auto" w:fill="auto"/>
            <w:tcMar>
              <w:top w:w="-36" w:type="dxa"/>
              <w:left w:w="-36" w:type="dxa"/>
              <w:bottom w:w="-36" w:type="dxa"/>
              <w:right w:w="-36" w:type="dxa"/>
            </w:tcMar>
            <w:vAlign w:val="center"/>
          </w:tcPr>
          <w:p w14:paraId="49F8E12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):c.4297G&gt;A (p.Gly1433Ser)</w:t>
            </w:r>
          </w:p>
        </w:tc>
        <w:tc>
          <w:tcPr>
            <w:tcW w:w="751" w:type="dxa"/>
            <w:shd w:val="clear" w:color="auto" w:fill="auto"/>
            <w:tcMar>
              <w:top w:w="-36" w:type="dxa"/>
              <w:left w:w="-36" w:type="dxa"/>
              <w:bottom w:w="-36" w:type="dxa"/>
              <w:right w:w="-36" w:type="dxa"/>
            </w:tcMar>
            <w:vAlign w:val="center"/>
          </w:tcPr>
          <w:p w14:paraId="6BE2F6D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G1432S, G1433S, G1434S, G1455S</w:t>
            </w:r>
          </w:p>
        </w:tc>
        <w:tc>
          <w:tcPr>
            <w:tcW w:w="2671" w:type="dxa"/>
            <w:shd w:val="clear" w:color="auto" w:fill="auto"/>
            <w:tcMar>
              <w:top w:w="-36" w:type="dxa"/>
              <w:left w:w="-36" w:type="dxa"/>
              <w:bottom w:w="-36" w:type="dxa"/>
              <w:right w:w="-36" w:type="dxa"/>
            </w:tcMar>
            <w:vAlign w:val="center"/>
          </w:tcPr>
          <w:p w14:paraId="7D24E6E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 xml:space="preserve"> </w:t>
            </w:r>
          </w:p>
        </w:tc>
      </w:tr>
      <w:tr w:rsidR="00297968" w:rsidRPr="001F4278" w14:paraId="7830B734" w14:textId="77777777" w:rsidTr="00DE5EC2">
        <w:trPr>
          <w:jc w:val="center"/>
        </w:trPr>
        <w:tc>
          <w:tcPr>
            <w:tcW w:w="798" w:type="dxa"/>
            <w:shd w:val="clear" w:color="auto" w:fill="auto"/>
            <w:tcMar>
              <w:top w:w="-36" w:type="dxa"/>
              <w:left w:w="-36" w:type="dxa"/>
              <w:bottom w:w="-36" w:type="dxa"/>
              <w:right w:w="-36" w:type="dxa"/>
            </w:tcMar>
            <w:vAlign w:val="center"/>
          </w:tcPr>
          <w:p w14:paraId="4A6FD63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3F79471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NC_000011.10:17395213:C:T</w:t>
            </w:r>
          </w:p>
        </w:tc>
        <w:tc>
          <w:tcPr>
            <w:tcW w:w="2246" w:type="dxa"/>
            <w:gridSpan w:val="2"/>
            <w:shd w:val="clear" w:color="auto" w:fill="auto"/>
            <w:tcMar>
              <w:top w:w="-36" w:type="dxa"/>
              <w:left w:w="-36" w:type="dxa"/>
              <w:bottom w:w="-36" w:type="dxa"/>
              <w:right w:w="-36" w:type="dxa"/>
            </w:tcMar>
            <w:vAlign w:val="center"/>
          </w:tcPr>
          <w:p w14:paraId="2AA8C154"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):c.4369G&gt;A (p.Ala1457Thr)</w:t>
            </w:r>
          </w:p>
        </w:tc>
        <w:tc>
          <w:tcPr>
            <w:tcW w:w="751" w:type="dxa"/>
            <w:shd w:val="clear" w:color="auto" w:fill="auto"/>
            <w:tcMar>
              <w:top w:w="-36" w:type="dxa"/>
              <w:left w:w="-36" w:type="dxa"/>
              <w:bottom w:w="-36" w:type="dxa"/>
              <w:right w:w="-36" w:type="dxa"/>
            </w:tcMar>
            <w:vAlign w:val="center"/>
          </w:tcPr>
          <w:p w14:paraId="270D7F0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A1456T, A1457T, A1458T, A1479T</w:t>
            </w:r>
          </w:p>
        </w:tc>
        <w:tc>
          <w:tcPr>
            <w:tcW w:w="2671" w:type="dxa"/>
            <w:shd w:val="clear" w:color="auto" w:fill="auto"/>
            <w:tcMar>
              <w:top w:w="-36" w:type="dxa"/>
              <w:left w:w="-36" w:type="dxa"/>
              <w:bottom w:w="-36" w:type="dxa"/>
              <w:right w:w="-36" w:type="dxa"/>
            </w:tcMar>
            <w:vAlign w:val="center"/>
          </w:tcPr>
          <w:p w14:paraId="4BCFA66E"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Hyperinsulinemic hypoglycemia, familial, 1</w:t>
            </w:r>
          </w:p>
        </w:tc>
      </w:tr>
      <w:tr w:rsidR="00297968" w:rsidRPr="001F4278" w14:paraId="731626D7" w14:textId="77777777" w:rsidTr="00DE5EC2">
        <w:trPr>
          <w:jc w:val="center"/>
        </w:trPr>
        <w:tc>
          <w:tcPr>
            <w:tcW w:w="798" w:type="dxa"/>
            <w:shd w:val="clear" w:color="auto" w:fill="auto"/>
            <w:tcMar>
              <w:top w:w="-36" w:type="dxa"/>
              <w:left w:w="-36" w:type="dxa"/>
              <w:bottom w:w="-36" w:type="dxa"/>
              <w:right w:w="-36" w:type="dxa"/>
            </w:tcMar>
            <w:vAlign w:val="center"/>
          </w:tcPr>
          <w:p w14:paraId="7FF13FA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6523A39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NC_000011.10:17463456:A:T</w:t>
            </w:r>
          </w:p>
        </w:tc>
        <w:tc>
          <w:tcPr>
            <w:tcW w:w="2246" w:type="dxa"/>
            <w:gridSpan w:val="2"/>
            <w:shd w:val="clear" w:color="auto" w:fill="auto"/>
            <w:tcMar>
              <w:top w:w="-36" w:type="dxa"/>
              <w:left w:w="-36" w:type="dxa"/>
              <w:bottom w:w="-36" w:type="dxa"/>
              <w:right w:w="-36" w:type="dxa"/>
            </w:tcMar>
            <w:vAlign w:val="center"/>
          </w:tcPr>
          <w:p w14:paraId="23479B1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):c.560T&gt;A (p.Val187Asp)</w:t>
            </w:r>
          </w:p>
        </w:tc>
        <w:tc>
          <w:tcPr>
            <w:tcW w:w="751" w:type="dxa"/>
            <w:shd w:val="clear" w:color="auto" w:fill="auto"/>
            <w:tcMar>
              <w:top w:w="-36" w:type="dxa"/>
              <w:left w:w="-36" w:type="dxa"/>
              <w:bottom w:w="-36" w:type="dxa"/>
              <w:right w:w="-36" w:type="dxa"/>
            </w:tcMar>
            <w:vAlign w:val="center"/>
          </w:tcPr>
          <w:p w14:paraId="0D14B26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V187D</w:t>
            </w:r>
          </w:p>
        </w:tc>
        <w:tc>
          <w:tcPr>
            <w:tcW w:w="2671" w:type="dxa"/>
            <w:shd w:val="clear" w:color="auto" w:fill="auto"/>
            <w:tcMar>
              <w:top w:w="-36" w:type="dxa"/>
              <w:left w:w="-36" w:type="dxa"/>
              <w:bottom w:w="-36" w:type="dxa"/>
              <w:right w:w="-36" w:type="dxa"/>
            </w:tcMar>
            <w:vAlign w:val="center"/>
          </w:tcPr>
          <w:p w14:paraId="6E0C90A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|Hyperinsulinemic hypoglycemia, familial, 1</w:t>
            </w:r>
          </w:p>
        </w:tc>
      </w:tr>
      <w:tr w:rsidR="00297968" w:rsidRPr="001F4278" w14:paraId="4DE9EE32" w14:textId="77777777" w:rsidTr="00DE5EC2">
        <w:trPr>
          <w:jc w:val="center"/>
        </w:trPr>
        <w:tc>
          <w:tcPr>
            <w:tcW w:w="798" w:type="dxa"/>
            <w:shd w:val="clear" w:color="auto" w:fill="auto"/>
            <w:tcMar>
              <w:top w:w="-36" w:type="dxa"/>
              <w:left w:w="-36" w:type="dxa"/>
              <w:bottom w:w="-36" w:type="dxa"/>
              <w:right w:w="-36" w:type="dxa"/>
            </w:tcMar>
            <w:vAlign w:val="center"/>
          </w:tcPr>
          <w:p w14:paraId="33DCEDB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3D9900D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NC_000011.10:17393123:C:T</w:t>
            </w:r>
          </w:p>
        </w:tc>
        <w:tc>
          <w:tcPr>
            <w:tcW w:w="2246" w:type="dxa"/>
            <w:gridSpan w:val="2"/>
            <w:shd w:val="clear" w:color="auto" w:fill="auto"/>
            <w:tcMar>
              <w:top w:w="-36" w:type="dxa"/>
              <w:left w:w="-36" w:type="dxa"/>
              <w:bottom w:w="-36" w:type="dxa"/>
              <w:right w:w="-36" w:type="dxa"/>
            </w:tcMar>
            <w:vAlign w:val="center"/>
          </w:tcPr>
          <w:p w14:paraId="31C307A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):c.4613G&gt;A (p.Arg1538Gln)</w:t>
            </w:r>
          </w:p>
        </w:tc>
        <w:tc>
          <w:tcPr>
            <w:tcW w:w="751" w:type="dxa"/>
            <w:shd w:val="clear" w:color="auto" w:fill="auto"/>
            <w:tcMar>
              <w:top w:w="-36" w:type="dxa"/>
              <w:left w:w="-36" w:type="dxa"/>
              <w:bottom w:w="-36" w:type="dxa"/>
              <w:right w:w="-36" w:type="dxa"/>
            </w:tcMar>
            <w:vAlign w:val="center"/>
          </w:tcPr>
          <w:p w14:paraId="2208BA8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R1538Q, R1539Q, R1560Q, R1537Q</w:t>
            </w:r>
          </w:p>
        </w:tc>
        <w:tc>
          <w:tcPr>
            <w:tcW w:w="2671" w:type="dxa"/>
            <w:shd w:val="clear" w:color="auto" w:fill="auto"/>
            <w:tcMar>
              <w:top w:w="-36" w:type="dxa"/>
              <w:left w:w="-36" w:type="dxa"/>
              <w:bottom w:w="-36" w:type="dxa"/>
              <w:right w:w="-36" w:type="dxa"/>
            </w:tcMar>
            <w:vAlign w:val="center"/>
          </w:tcPr>
          <w:p w14:paraId="43E89D5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 xml:space="preserve"> </w:t>
            </w:r>
          </w:p>
        </w:tc>
      </w:tr>
      <w:tr w:rsidR="00297968" w:rsidRPr="001F4278" w14:paraId="1DBED2DD" w14:textId="77777777" w:rsidTr="00DE5EC2">
        <w:trPr>
          <w:jc w:val="center"/>
        </w:trPr>
        <w:tc>
          <w:tcPr>
            <w:tcW w:w="798" w:type="dxa"/>
            <w:shd w:val="clear" w:color="auto" w:fill="auto"/>
            <w:tcMar>
              <w:top w:w="-36" w:type="dxa"/>
              <w:left w:w="-36" w:type="dxa"/>
              <w:bottom w:w="-36" w:type="dxa"/>
              <w:right w:w="-36" w:type="dxa"/>
            </w:tcMar>
            <w:vAlign w:val="center"/>
          </w:tcPr>
          <w:p w14:paraId="2263E63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6D83444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NC_000011.10:17395913:C:A</w:t>
            </w:r>
          </w:p>
        </w:tc>
        <w:tc>
          <w:tcPr>
            <w:tcW w:w="2246" w:type="dxa"/>
            <w:gridSpan w:val="2"/>
            <w:shd w:val="clear" w:color="auto" w:fill="auto"/>
            <w:tcMar>
              <w:top w:w="-36" w:type="dxa"/>
              <w:left w:w="-36" w:type="dxa"/>
              <w:bottom w:w="-36" w:type="dxa"/>
              <w:right w:w="-36" w:type="dxa"/>
            </w:tcMar>
            <w:vAlign w:val="center"/>
          </w:tcPr>
          <w:p w14:paraId="5FDEA35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lang w:val="de-DE"/>
              </w:rPr>
            </w:pPr>
            <w:r w:rsidRPr="001F4278">
              <w:rPr>
                <w:rFonts w:eastAsia="Calibri" w:cs="Calibri"/>
                <w:lang w:val="de-DE"/>
              </w:rPr>
              <w:t>NM_000352.6(</w:t>
            </w:r>
            <w:r w:rsidRPr="001F4278">
              <w:rPr>
                <w:rFonts w:eastAsia="Calibri" w:cs="Calibri"/>
                <w:i/>
                <w:iCs/>
                <w:lang w:val="de-DE"/>
              </w:rPr>
              <w:t>ABCC8</w:t>
            </w:r>
            <w:r w:rsidRPr="001F4278">
              <w:rPr>
                <w:rFonts w:eastAsia="Calibri" w:cs="Calibri"/>
                <w:lang w:val="de-DE"/>
              </w:rPr>
              <w:t>):c.4136G&gt;T (p.Arg1379Leu)</w:t>
            </w:r>
          </w:p>
        </w:tc>
        <w:tc>
          <w:tcPr>
            <w:tcW w:w="751" w:type="dxa"/>
            <w:shd w:val="clear" w:color="auto" w:fill="auto"/>
            <w:tcMar>
              <w:top w:w="-36" w:type="dxa"/>
              <w:left w:w="-36" w:type="dxa"/>
              <w:bottom w:w="-36" w:type="dxa"/>
              <w:right w:w="-36" w:type="dxa"/>
            </w:tcMar>
            <w:vAlign w:val="center"/>
          </w:tcPr>
          <w:p w14:paraId="7B2D3B1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R1379L, R1380L, R1378L, R1401L</w:t>
            </w:r>
          </w:p>
        </w:tc>
        <w:tc>
          <w:tcPr>
            <w:tcW w:w="2671" w:type="dxa"/>
            <w:shd w:val="clear" w:color="auto" w:fill="auto"/>
            <w:tcMar>
              <w:top w:w="-36" w:type="dxa"/>
              <w:left w:w="-36" w:type="dxa"/>
              <w:bottom w:w="-36" w:type="dxa"/>
              <w:right w:w="-36" w:type="dxa"/>
            </w:tcMar>
            <w:vAlign w:val="center"/>
          </w:tcPr>
          <w:p w14:paraId="1141A0B4"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Neonatal diabetes mellitus</w:t>
            </w:r>
          </w:p>
        </w:tc>
      </w:tr>
      <w:tr w:rsidR="00297968" w:rsidRPr="001F4278" w14:paraId="67BB7648" w14:textId="77777777" w:rsidTr="00DE5EC2">
        <w:trPr>
          <w:jc w:val="center"/>
        </w:trPr>
        <w:tc>
          <w:tcPr>
            <w:tcW w:w="798" w:type="dxa"/>
            <w:shd w:val="clear" w:color="auto" w:fill="auto"/>
            <w:tcMar>
              <w:top w:w="-36" w:type="dxa"/>
              <w:left w:w="-36" w:type="dxa"/>
              <w:bottom w:w="-36" w:type="dxa"/>
              <w:right w:w="-36" w:type="dxa"/>
            </w:tcMar>
            <w:vAlign w:val="center"/>
          </w:tcPr>
          <w:p w14:paraId="3CAC27F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3386646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NC_000011.10:17442773:G:A</w:t>
            </w:r>
          </w:p>
        </w:tc>
        <w:tc>
          <w:tcPr>
            <w:tcW w:w="2246" w:type="dxa"/>
            <w:gridSpan w:val="2"/>
            <w:shd w:val="clear" w:color="auto" w:fill="auto"/>
            <w:tcMar>
              <w:top w:w="-36" w:type="dxa"/>
              <w:left w:w="-36" w:type="dxa"/>
              <w:bottom w:w="-36" w:type="dxa"/>
              <w:right w:w="-36" w:type="dxa"/>
            </w:tcMar>
            <w:vAlign w:val="center"/>
          </w:tcPr>
          <w:p w14:paraId="45C7BC2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lang w:val="fr-FR"/>
              </w:rPr>
            </w:pPr>
            <w:r w:rsidRPr="001F4278">
              <w:rPr>
                <w:rFonts w:eastAsia="Calibri" w:cs="Calibri"/>
                <w:lang w:val="fr-FR"/>
              </w:rPr>
              <w:t>NM_000352.6(</w:t>
            </w:r>
            <w:r w:rsidRPr="001F4278">
              <w:rPr>
                <w:rFonts w:eastAsia="Calibri" w:cs="Calibri"/>
                <w:i/>
                <w:iCs/>
                <w:lang w:val="fr-FR"/>
              </w:rPr>
              <w:t>ABCC8</w:t>
            </w:r>
            <w:r w:rsidRPr="001F4278">
              <w:rPr>
                <w:rFonts w:eastAsia="Calibri" w:cs="Calibri"/>
                <w:lang w:val="fr-FR"/>
              </w:rPr>
              <w:t>):c.1576C&gt;T (p.Arg526Cys)</w:t>
            </w:r>
          </w:p>
        </w:tc>
        <w:tc>
          <w:tcPr>
            <w:tcW w:w="751" w:type="dxa"/>
            <w:shd w:val="clear" w:color="auto" w:fill="auto"/>
            <w:tcMar>
              <w:top w:w="-36" w:type="dxa"/>
              <w:left w:w="-36" w:type="dxa"/>
              <w:bottom w:w="-36" w:type="dxa"/>
              <w:right w:w="-36" w:type="dxa"/>
            </w:tcMar>
            <w:vAlign w:val="center"/>
          </w:tcPr>
          <w:p w14:paraId="1A8A2F7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R526C, R525C</w:t>
            </w:r>
          </w:p>
        </w:tc>
        <w:tc>
          <w:tcPr>
            <w:tcW w:w="2671" w:type="dxa"/>
            <w:shd w:val="clear" w:color="auto" w:fill="auto"/>
            <w:tcMar>
              <w:top w:w="-36" w:type="dxa"/>
              <w:left w:w="-36" w:type="dxa"/>
              <w:bottom w:w="-36" w:type="dxa"/>
              <w:right w:w="-36" w:type="dxa"/>
            </w:tcMar>
            <w:vAlign w:val="center"/>
          </w:tcPr>
          <w:p w14:paraId="424B8F0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Hyperinsulinemic hypoglycemia, familial, 1</w:t>
            </w:r>
          </w:p>
        </w:tc>
      </w:tr>
      <w:tr w:rsidR="00297968" w:rsidRPr="001F4278" w14:paraId="6957A63F" w14:textId="77777777" w:rsidTr="00DE5EC2">
        <w:trPr>
          <w:jc w:val="center"/>
        </w:trPr>
        <w:tc>
          <w:tcPr>
            <w:tcW w:w="798" w:type="dxa"/>
            <w:shd w:val="clear" w:color="auto" w:fill="auto"/>
            <w:tcMar>
              <w:top w:w="-36" w:type="dxa"/>
              <w:left w:w="-36" w:type="dxa"/>
              <w:bottom w:w="-36" w:type="dxa"/>
              <w:right w:w="-36" w:type="dxa"/>
            </w:tcMar>
            <w:vAlign w:val="center"/>
          </w:tcPr>
          <w:p w14:paraId="1DB5877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581ABBD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NC_000011.10:17395663:C:T</w:t>
            </w:r>
          </w:p>
        </w:tc>
        <w:tc>
          <w:tcPr>
            <w:tcW w:w="2246" w:type="dxa"/>
            <w:gridSpan w:val="2"/>
            <w:shd w:val="clear" w:color="auto" w:fill="auto"/>
            <w:tcMar>
              <w:top w:w="-36" w:type="dxa"/>
              <w:left w:w="-36" w:type="dxa"/>
              <w:bottom w:w="-36" w:type="dxa"/>
              <w:right w:w="-36" w:type="dxa"/>
            </w:tcMar>
            <w:vAlign w:val="center"/>
          </w:tcPr>
          <w:p w14:paraId="14A6131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):c.4253G&gt;A (p.Arg1418His)</w:t>
            </w:r>
          </w:p>
        </w:tc>
        <w:tc>
          <w:tcPr>
            <w:tcW w:w="751" w:type="dxa"/>
            <w:shd w:val="clear" w:color="auto" w:fill="auto"/>
            <w:tcMar>
              <w:top w:w="-36" w:type="dxa"/>
              <w:left w:w="-36" w:type="dxa"/>
              <w:bottom w:w="-36" w:type="dxa"/>
              <w:right w:w="-36" w:type="dxa"/>
            </w:tcMar>
            <w:vAlign w:val="center"/>
          </w:tcPr>
          <w:p w14:paraId="4237DC6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R1418H, R1419H, R1417H, R1440H</w:t>
            </w:r>
          </w:p>
        </w:tc>
        <w:tc>
          <w:tcPr>
            <w:tcW w:w="2671" w:type="dxa"/>
            <w:shd w:val="clear" w:color="auto" w:fill="auto"/>
            <w:tcMar>
              <w:top w:w="-36" w:type="dxa"/>
              <w:left w:w="-36" w:type="dxa"/>
              <w:bottom w:w="-36" w:type="dxa"/>
              <w:right w:w="-36" w:type="dxa"/>
            </w:tcMar>
            <w:vAlign w:val="center"/>
          </w:tcPr>
          <w:p w14:paraId="740E72D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Hyperinsulinemic hypoglycemia, familial, 1|</w:t>
            </w:r>
          </w:p>
        </w:tc>
      </w:tr>
      <w:tr w:rsidR="00297968" w:rsidRPr="001F4278" w14:paraId="2C1F4D46" w14:textId="77777777" w:rsidTr="00DE5EC2">
        <w:trPr>
          <w:jc w:val="center"/>
        </w:trPr>
        <w:tc>
          <w:tcPr>
            <w:tcW w:w="798" w:type="dxa"/>
            <w:shd w:val="clear" w:color="auto" w:fill="auto"/>
            <w:tcMar>
              <w:top w:w="-36" w:type="dxa"/>
              <w:left w:w="-36" w:type="dxa"/>
              <w:bottom w:w="-36" w:type="dxa"/>
              <w:right w:w="-36" w:type="dxa"/>
            </w:tcMar>
            <w:vAlign w:val="center"/>
          </w:tcPr>
          <w:p w14:paraId="6291B57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0AECB79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NC_000011.10:17395892:G:A</w:t>
            </w:r>
          </w:p>
        </w:tc>
        <w:tc>
          <w:tcPr>
            <w:tcW w:w="2246" w:type="dxa"/>
            <w:gridSpan w:val="2"/>
            <w:shd w:val="clear" w:color="auto" w:fill="auto"/>
            <w:tcMar>
              <w:top w:w="-36" w:type="dxa"/>
              <w:left w:w="-36" w:type="dxa"/>
              <w:bottom w:w="-36" w:type="dxa"/>
              <w:right w:w="-36" w:type="dxa"/>
            </w:tcMar>
            <w:vAlign w:val="center"/>
          </w:tcPr>
          <w:p w14:paraId="364B9EEE" w14:textId="77777777" w:rsidR="00297968" w:rsidRPr="00CE677F" w:rsidRDefault="00297968" w:rsidP="00DE5EC2">
            <w:pPr>
              <w:autoSpaceDE w:val="0"/>
              <w:autoSpaceDN w:val="0"/>
              <w:adjustRightInd w:val="0"/>
              <w:snapToGrid w:val="0"/>
              <w:spacing w:line="240" w:lineRule="auto"/>
              <w:jc w:val="center"/>
              <w:rPr>
                <w:rFonts w:eastAsia="Palatino Linotype" w:cs="Palatino Linotype"/>
                <w:lang w:val="fr-FR"/>
              </w:rPr>
            </w:pPr>
            <w:r w:rsidRPr="00CE677F">
              <w:rPr>
                <w:rFonts w:eastAsia="Calibri" w:cs="Calibri"/>
                <w:lang w:val="fr-FR"/>
              </w:rPr>
              <w:t>NM_000352.6(</w:t>
            </w:r>
            <w:r w:rsidRPr="00CE677F">
              <w:rPr>
                <w:rFonts w:eastAsia="Calibri" w:cs="Calibri"/>
                <w:i/>
                <w:iCs/>
                <w:lang w:val="fr-FR"/>
              </w:rPr>
              <w:t>ABCC8</w:t>
            </w:r>
            <w:r w:rsidRPr="00CE677F">
              <w:rPr>
                <w:rFonts w:eastAsia="Calibri" w:cs="Calibri"/>
                <w:lang w:val="fr-FR"/>
              </w:rPr>
              <w:t>):c.4157C&gt;T (p.Ser1386Phe)</w:t>
            </w:r>
          </w:p>
        </w:tc>
        <w:tc>
          <w:tcPr>
            <w:tcW w:w="751" w:type="dxa"/>
            <w:shd w:val="clear" w:color="auto" w:fill="auto"/>
            <w:tcMar>
              <w:top w:w="-36" w:type="dxa"/>
              <w:left w:w="-36" w:type="dxa"/>
              <w:bottom w:w="-36" w:type="dxa"/>
              <w:right w:w="-36" w:type="dxa"/>
            </w:tcMar>
            <w:vAlign w:val="center"/>
          </w:tcPr>
          <w:p w14:paraId="0E1CD51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S1386F, S1387F, S1385F, S1408F</w:t>
            </w:r>
          </w:p>
        </w:tc>
        <w:tc>
          <w:tcPr>
            <w:tcW w:w="2671" w:type="dxa"/>
            <w:shd w:val="clear" w:color="auto" w:fill="auto"/>
            <w:tcMar>
              <w:top w:w="-36" w:type="dxa"/>
              <w:left w:w="-36" w:type="dxa"/>
              <w:bottom w:w="-36" w:type="dxa"/>
              <w:right w:w="-36" w:type="dxa"/>
            </w:tcMar>
            <w:vAlign w:val="center"/>
          </w:tcPr>
          <w:p w14:paraId="0327E23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 xml:space="preserve"> </w:t>
            </w:r>
          </w:p>
        </w:tc>
      </w:tr>
      <w:tr w:rsidR="00297968" w:rsidRPr="001F4278" w14:paraId="7FE33437" w14:textId="77777777" w:rsidTr="00DE5EC2">
        <w:trPr>
          <w:jc w:val="center"/>
        </w:trPr>
        <w:tc>
          <w:tcPr>
            <w:tcW w:w="798" w:type="dxa"/>
            <w:shd w:val="clear" w:color="auto" w:fill="auto"/>
            <w:tcMar>
              <w:top w:w="-36" w:type="dxa"/>
              <w:left w:w="-36" w:type="dxa"/>
              <w:bottom w:w="-36" w:type="dxa"/>
              <w:right w:w="-36" w:type="dxa"/>
            </w:tcMar>
            <w:vAlign w:val="center"/>
          </w:tcPr>
          <w:p w14:paraId="47E44DB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1C869424"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NC_000011.10:17442848:C:T</w:t>
            </w:r>
          </w:p>
        </w:tc>
        <w:tc>
          <w:tcPr>
            <w:tcW w:w="2246" w:type="dxa"/>
            <w:gridSpan w:val="2"/>
            <w:shd w:val="clear" w:color="auto" w:fill="auto"/>
            <w:tcMar>
              <w:top w:w="-36" w:type="dxa"/>
              <w:left w:w="-36" w:type="dxa"/>
              <w:bottom w:w="-36" w:type="dxa"/>
              <w:right w:w="-36" w:type="dxa"/>
            </w:tcMar>
            <w:vAlign w:val="center"/>
          </w:tcPr>
          <w:p w14:paraId="71EDEC1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):c.1501G&gt;A (p.Glu501Lys)</w:t>
            </w:r>
          </w:p>
        </w:tc>
        <w:tc>
          <w:tcPr>
            <w:tcW w:w="751" w:type="dxa"/>
            <w:shd w:val="clear" w:color="auto" w:fill="auto"/>
            <w:tcMar>
              <w:top w:w="-36" w:type="dxa"/>
              <w:left w:w="-36" w:type="dxa"/>
              <w:bottom w:w="-36" w:type="dxa"/>
              <w:right w:w="-36" w:type="dxa"/>
            </w:tcMar>
            <w:vAlign w:val="center"/>
          </w:tcPr>
          <w:p w14:paraId="4F860A7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E501K, E500K</w:t>
            </w:r>
          </w:p>
        </w:tc>
        <w:tc>
          <w:tcPr>
            <w:tcW w:w="2671" w:type="dxa"/>
            <w:shd w:val="clear" w:color="auto" w:fill="auto"/>
            <w:tcMar>
              <w:top w:w="-36" w:type="dxa"/>
              <w:left w:w="-36" w:type="dxa"/>
              <w:bottom w:w="-36" w:type="dxa"/>
              <w:right w:w="-36" w:type="dxa"/>
            </w:tcMar>
            <w:vAlign w:val="center"/>
          </w:tcPr>
          <w:p w14:paraId="644D2DC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Hyperinsulinemic hypoglycemia, familial, 1</w:t>
            </w:r>
          </w:p>
        </w:tc>
      </w:tr>
      <w:tr w:rsidR="00297968" w:rsidRPr="001F4278" w14:paraId="5D3C30B6" w14:textId="77777777" w:rsidTr="00DE5EC2">
        <w:trPr>
          <w:jc w:val="center"/>
        </w:trPr>
        <w:tc>
          <w:tcPr>
            <w:tcW w:w="798" w:type="dxa"/>
            <w:shd w:val="clear" w:color="auto" w:fill="auto"/>
            <w:tcMar>
              <w:top w:w="-36" w:type="dxa"/>
              <w:left w:w="-36" w:type="dxa"/>
              <w:bottom w:w="-36" w:type="dxa"/>
              <w:right w:w="-36" w:type="dxa"/>
            </w:tcMar>
            <w:vAlign w:val="center"/>
          </w:tcPr>
          <w:p w14:paraId="4A570FE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0909D66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NC_000011.10:17393108:A:G</w:t>
            </w:r>
          </w:p>
        </w:tc>
        <w:tc>
          <w:tcPr>
            <w:tcW w:w="2246" w:type="dxa"/>
            <w:gridSpan w:val="2"/>
            <w:shd w:val="clear" w:color="auto" w:fill="auto"/>
            <w:tcMar>
              <w:top w:w="-36" w:type="dxa"/>
              <w:left w:w="-36" w:type="dxa"/>
              <w:bottom w:w="-36" w:type="dxa"/>
              <w:right w:w="-36" w:type="dxa"/>
            </w:tcMar>
            <w:vAlign w:val="center"/>
          </w:tcPr>
          <w:p w14:paraId="5972095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lang w:val="de-DE"/>
              </w:rPr>
            </w:pPr>
            <w:r w:rsidRPr="001F4278">
              <w:rPr>
                <w:rFonts w:eastAsia="Calibri" w:cs="Calibri"/>
                <w:lang w:val="de-DE"/>
              </w:rPr>
              <w:t>NM_000352.6(</w:t>
            </w:r>
            <w:r w:rsidRPr="001F4278">
              <w:rPr>
                <w:rFonts w:eastAsia="Calibri" w:cs="Calibri"/>
                <w:i/>
                <w:iCs/>
                <w:lang w:val="de-DE"/>
              </w:rPr>
              <w:t>ABCC8</w:t>
            </w:r>
            <w:r w:rsidRPr="001F4278">
              <w:rPr>
                <w:rFonts w:eastAsia="Calibri" w:cs="Calibri"/>
                <w:lang w:val="de-DE"/>
              </w:rPr>
              <w:t>):c.4628T&gt;C (p.Leu1543Pro)</w:t>
            </w:r>
          </w:p>
        </w:tc>
        <w:tc>
          <w:tcPr>
            <w:tcW w:w="751" w:type="dxa"/>
            <w:shd w:val="clear" w:color="auto" w:fill="auto"/>
            <w:tcMar>
              <w:top w:w="-36" w:type="dxa"/>
              <w:left w:w="-36" w:type="dxa"/>
              <w:bottom w:w="-36" w:type="dxa"/>
              <w:right w:w="-36" w:type="dxa"/>
            </w:tcMar>
            <w:vAlign w:val="center"/>
          </w:tcPr>
          <w:p w14:paraId="06DC96F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L1543P, L1544P, L1565P, L1542P</w:t>
            </w:r>
          </w:p>
        </w:tc>
        <w:tc>
          <w:tcPr>
            <w:tcW w:w="2671" w:type="dxa"/>
            <w:shd w:val="clear" w:color="auto" w:fill="auto"/>
            <w:tcMar>
              <w:top w:w="-36" w:type="dxa"/>
              <w:left w:w="-36" w:type="dxa"/>
              <w:bottom w:w="-36" w:type="dxa"/>
              <w:right w:w="-36" w:type="dxa"/>
            </w:tcMar>
            <w:vAlign w:val="center"/>
          </w:tcPr>
          <w:p w14:paraId="57972A3C"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Hereditary hyperinsulinism| Hyperinsulinemic hypoglycemia, familial, 1</w:t>
            </w:r>
          </w:p>
        </w:tc>
      </w:tr>
      <w:tr w:rsidR="00297968" w:rsidRPr="00090A99" w14:paraId="662C28BC" w14:textId="77777777" w:rsidTr="00DE5EC2">
        <w:trPr>
          <w:jc w:val="center"/>
        </w:trPr>
        <w:tc>
          <w:tcPr>
            <w:tcW w:w="798" w:type="dxa"/>
            <w:shd w:val="clear" w:color="auto" w:fill="auto"/>
            <w:tcMar>
              <w:top w:w="-36" w:type="dxa"/>
              <w:left w:w="-36" w:type="dxa"/>
              <w:bottom w:w="-36" w:type="dxa"/>
              <w:right w:w="-36" w:type="dxa"/>
            </w:tcMar>
            <w:vAlign w:val="center"/>
          </w:tcPr>
          <w:p w14:paraId="6925AC0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65466B2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NC_000011.10:17395914:G:A</w:t>
            </w:r>
          </w:p>
        </w:tc>
        <w:tc>
          <w:tcPr>
            <w:tcW w:w="2246" w:type="dxa"/>
            <w:gridSpan w:val="2"/>
            <w:shd w:val="clear" w:color="auto" w:fill="auto"/>
            <w:tcMar>
              <w:top w:w="-36" w:type="dxa"/>
              <w:left w:w="-36" w:type="dxa"/>
              <w:bottom w:w="-36" w:type="dxa"/>
              <w:right w:w="-36" w:type="dxa"/>
            </w:tcMar>
            <w:vAlign w:val="center"/>
          </w:tcPr>
          <w:p w14:paraId="598A923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lang w:val="fr-FR"/>
              </w:rPr>
            </w:pPr>
            <w:r w:rsidRPr="001F4278">
              <w:rPr>
                <w:rFonts w:eastAsia="Calibri" w:cs="Calibri"/>
                <w:lang w:val="fr-FR"/>
              </w:rPr>
              <w:t>NM_000352.6(</w:t>
            </w:r>
            <w:r w:rsidRPr="001F4278">
              <w:rPr>
                <w:rFonts w:eastAsia="Calibri" w:cs="Calibri"/>
                <w:i/>
                <w:iCs/>
                <w:lang w:val="fr-FR"/>
              </w:rPr>
              <w:t>ABCC8</w:t>
            </w:r>
            <w:r w:rsidRPr="001F4278">
              <w:rPr>
                <w:rFonts w:eastAsia="Calibri" w:cs="Calibri"/>
                <w:lang w:val="fr-FR"/>
              </w:rPr>
              <w:t>):c.4135C&gt;T (p.Arg1379Cys)</w:t>
            </w:r>
          </w:p>
        </w:tc>
        <w:tc>
          <w:tcPr>
            <w:tcW w:w="751" w:type="dxa"/>
            <w:shd w:val="clear" w:color="auto" w:fill="auto"/>
            <w:tcMar>
              <w:top w:w="-36" w:type="dxa"/>
              <w:left w:w="-36" w:type="dxa"/>
              <w:bottom w:w="-36" w:type="dxa"/>
              <w:right w:w="-36" w:type="dxa"/>
            </w:tcMar>
            <w:vAlign w:val="center"/>
          </w:tcPr>
          <w:p w14:paraId="3418EF6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R1379C, R1380C, R1378C, R1401C</w:t>
            </w:r>
          </w:p>
        </w:tc>
        <w:tc>
          <w:tcPr>
            <w:tcW w:w="2671" w:type="dxa"/>
            <w:shd w:val="clear" w:color="auto" w:fill="auto"/>
            <w:tcMar>
              <w:top w:w="-36" w:type="dxa"/>
              <w:left w:w="-36" w:type="dxa"/>
              <w:bottom w:w="-36" w:type="dxa"/>
              <w:right w:w="-36" w:type="dxa"/>
            </w:tcMar>
            <w:vAlign w:val="center"/>
          </w:tcPr>
          <w:p w14:paraId="3BA5E417" w14:textId="77777777" w:rsidR="00297968" w:rsidRPr="001F4278" w:rsidRDefault="00297968" w:rsidP="00DE5EC2">
            <w:pPr>
              <w:autoSpaceDE w:val="0"/>
              <w:autoSpaceDN w:val="0"/>
              <w:adjustRightInd w:val="0"/>
              <w:snapToGrid w:val="0"/>
              <w:spacing w:line="240" w:lineRule="auto"/>
              <w:jc w:val="center"/>
              <w:rPr>
                <w:rFonts w:eastAsia="Calibri" w:cs="Calibri"/>
                <w:lang w:val="fr-FR"/>
              </w:rPr>
            </w:pPr>
            <w:r w:rsidRPr="001F4278">
              <w:rPr>
                <w:rFonts w:eastAsia="Calibri" w:cs="Calibri"/>
                <w:lang w:val="fr-FR"/>
              </w:rPr>
              <w:t>Transient neonatal diabetes mellitus 2, Monogenic diabetes Type II diabetes mellitus Permanent neonatal diabetes mellitus</w:t>
            </w:r>
          </w:p>
        </w:tc>
      </w:tr>
      <w:tr w:rsidR="00297968" w:rsidRPr="001F4278" w14:paraId="617940BD" w14:textId="77777777" w:rsidTr="00DE5EC2">
        <w:trPr>
          <w:jc w:val="center"/>
        </w:trPr>
        <w:tc>
          <w:tcPr>
            <w:tcW w:w="798" w:type="dxa"/>
            <w:shd w:val="clear" w:color="auto" w:fill="auto"/>
            <w:tcMar>
              <w:top w:w="-36" w:type="dxa"/>
              <w:left w:w="-36" w:type="dxa"/>
              <w:bottom w:w="-36" w:type="dxa"/>
              <w:right w:w="-36" w:type="dxa"/>
            </w:tcMar>
            <w:vAlign w:val="center"/>
          </w:tcPr>
          <w:p w14:paraId="4723A11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3CE7E5A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NC_000011.10:17476714:A:T</w:t>
            </w:r>
          </w:p>
        </w:tc>
        <w:tc>
          <w:tcPr>
            <w:tcW w:w="2246" w:type="dxa"/>
            <w:gridSpan w:val="2"/>
            <w:shd w:val="clear" w:color="auto" w:fill="auto"/>
            <w:tcMar>
              <w:top w:w="-36" w:type="dxa"/>
              <w:left w:w="-36" w:type="dxa"/>
              <w:bottom w:w="-36" w:type="dxa"/>
              <w:right w:w="-36" w:type="dxa"/>
            </w:tcMar>
            <w:vAlign w:val="center"/>
          </w:tcPr>
          <w:p w14:paraId="2762A3B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):c.62T&gt;A (p.Val21Asp)</w:t>
            </w:r>
          </w:p>
        </w:tc>
        <w:tc>
          <w:tcPr>
            <w:tcW w:w="751" w:type="dxa"/>
            <w:shd w:val="clear" w:color="auto" w:fill="auto"/>
            <w:tcMar>
              <w:top w:w="-36" w:type="dxa"/>
              <w:left w:w="-36" w:type="dxa"/>
              <w:bottom w:w="-36" w:type="dxa"/>
              <w:right w:w="-36" w:type="dxa"/>
            </w:tcMar>
            <w:vAlign w:val="center"/>
          </w:tcPr>
          <w:p w14:paraId="0E2E9D9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V21D</w:t>
            </w:r>
          </w:p>
        </w:tc>
        <w:tc>
          <w:tcPr>
            <w:tcW w:w="2671" w:type="dxa"/>
            <w:shd w:val="clear" w:color="auto" w:fill="auto"/>
            <w:tcMar>
              <w:top w:w="-36" w:type="dxa"/>
              <w:left w:w="-36" w:type="dxa"/>
              <w:bottom w:w="-36" w:type="dxa"/>
              <w:right w:w="-36" w:type="dxa"/>
            </w:tcMar>
            <w:vAlign w:val="center"/>
          </w:tcPr>
          <w:p w14:paraId="2D6046A1"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Familial hyperinsulinism|Hereditary</w:t>
            </w:r>
          </w:p>
          <w:p w14:paraId="61825EB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hyperinsulinism|Hyperinsulinemic hypoglycemia, familial, 1|</w:t>
            </w:r>
          </w:p>
        </w:tc>
      </w:tr>
      <w:tr w:rsidR="00297968" w:rsidRPr="001F4278" w14:paraId="2E03F1F5" w14:textId="77777777" w:rsidTr="00DE5EC2">
        <w:trPr>
          <w:jc w:val="center"/>
        </w:trPr>
        <w:tc>
          <w:tcPr>
            <w:tcW w:w="798" w:type="dxa"/>
            <w:shd w:val="clear" w:color="auto" w:fill="auto"/>
            <w:tcMar>
              <w:top w:w="-36" w:type="dxa"/>
              <w:left w:w="-36" w:type="dxa"/>
              <w:bottom w:w="-36" w:type="dxa"/>
              <w:right w:w="-36" w:type="dxa"/>
            </w:tcMar>
            <w:vAlign w:val="center"/>
          </w:tcPr>
          <w:p w14:paraId="03B588D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664ECB4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NC_000011.10:17394332:C:T</w:t>
            </w:r>
          </w:p>
        </w:tc>
        <w:tc>
          <w:tcPr>
            <w:tcW w:w="2246" w:type="dxa"/>
            <w:gridSpan w:val="2"/>
            <w:shd w:val="clear" w:color="auto" w:fill="auto"/>
            <w:tcMar>
              <w:top w:w="-36" w:type="dxa"/>
              <w:left w:w="-36" w:type="dxa"/>
              <w:bottom w:w="-36" w:type="dxa"/>
              <w:right w:w="-36" w:type="dxa"/>
            </w:tcMar>
            <w:vAlign w:val="center"/>
          </w:tcPr>
          <w:p w14:paraId="77D9980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):c.4478G&gt;A (p.Arg1493Gln)</w:t>
            </w:r>
          </w:p>
        </w:tc>
        <w:tc>
          <w:tcPr>
            <w:tcW w:w="751" w:type="dxa"/>
            <w:shd w:val="clear" w:color="auto" w:fill="auto"/>
            <w:tcMar>
              <w:top w:w="-36" w:type="dxa"/>
              <w:left w:w="-36" w:type="dxa"/>
              <w:bottom w:w="-36" w:type="dxa"/>
              <w:right w:w="-36" w:type="dxa"/>
            </w:tcMar>
            <w:vAlign w:val="center"/>
          </w:tcPr>
          <w:p w14:paraId="71AAC6B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 xml:space="preserve">R1493Q, R1494Q, </w:t>
            </w:r>
            <w:r w:rsidRPr="001F4278">
              <w:rPr>
                <w:rFonts w:eastAsia="Calibri" w:cs="Calibri"/>
              </w:rPr>
              <w:lastRenderedPageBreak/>
              <w:t>R1492Q, R1515Q</w:t>
            </w:r>
          </w:p>
        </w:tc>
        <w:tc>
          <w:tcPr>
            <w:tcW w:w="2671" w:type="dxa"/>
            <w:shd w:val="clear" w:color="auto" w:fill="auto"/>
            <w:tcMar>
              <w:top w:w="-36" w:type="dxa"/>
              <w:left w:w="-36" w:type="dxa"/>
              <w:bottom w:w="-36" w:type="dxa"/>
              <w:right w:w="-36" w:type="dxa"/>
            </w:tcMar>
            <w:vAlign w:val="center"/>
          </w:tcPr>
          <w:p w14:paraId="3F9764D4"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lastRenderedPageBreak/>
              <w:t>Hyperinsulinemic hypoglycemia, familial, 1|</w:t>
            </w:r>
          </w:p>
        </w:tc>
      </w:tr>
      <w:tr w:rsidR="00297968" w:rsidRPr="001F4278" w14:paraId="4A55ADC7" w14:textId="77777777" w:rsidTr="00DE5EC2">
        <w:trPr>
          <w:jc w:val="center"/>
        </w:trPr>
        <w:tc>
          <w:tcPr>
            <w:tcW w:w="798" w:type="dxa"/>
            <w:shd w:val="clear" w:color="auto" w:fill="auto"/>
            <w:tcMar>
              <w:top w:w="-36" w:type="dxa"/>
              <w:left w:w="-36" w:type="dxa"/>
              <w:bottom w:w="-36" w:type="dxa"/>
              <w:right w:w="-36" w:type="dxa"/>
            </w:tcMar>
            <w:vAlign w:val="center"/>
          </w:tcPr>
          <w:p w14:paraId="68660EC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2E51F32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NC_000011.10:17461721:C:T</w:t>
            </w:r>
          </w:p>
        </w:tc>
        <w:tc>
          <w:tcPr>
            <w:tcW w:w="2246" w:type="dxa"/>
            <w:gridSpan w:val="2"/>
            <w:shd w:val="clear" w:color="auto" w:fill="auto"/>
            <w:tcMar>
              <w:top w:w="-36" w:type="dxa"/>
              <w:left w:w="-36" w:type="dxa"/>
              <w:bottom w:w="-36" w:type="dxa"/>
              <w:right w:w="-36" w:type="dxa"/>
            </w:tcMar>
            <w:vAlign w:val="center"/>
          </w:tcPr>
          <w:p w14:paraId="18E94F7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):c.683G&gt;A (p.Gly228Asp)</w:t>
            </w:r>
          </w:p>
        </w:tc>
        <w:tc>
          <w:tcPr>
            <w:tcW w:w="751" w:type="dxa"/>
            <w:shd w:val="clear" w:color="auto" w:fill="auto"/>
            <w:tcMar>
              <w:top w:w="-36" w:type="dxa"/>
              <w:left w:w="-36" w:type="dxa"/>
              <w:bottom w:w="-36" w:type="dxa"/>
              <w:right w:w="-36" w:type="dxa"/>
            </w:tcMar>
            <w:vAlign w:val="center"/>
          </w:tcPr>
          <w:p w14:paraId="4999981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G228D</w:t>
            </w:r>
          </w:p>
        </w:tc>
        <w:tc>
          <w:tcPr>
            <w:tcW w:w="2671" w:type="dxa"/>
            <w:shd w:val="clear" w:color="auto" w:fill="auto"/>
            <w:tcMar>
              <w:top w:w="-36" w:type="dxa"/>
              <w:left w:w="-36" w:type="dxa"/>
              <w:bottom w:w="-36" w:type="dxa"/>
              <w:right w:w="-36" w:type="dxa"/>
            </w:tcMar>
            <w:vAlign w:val="center"/>
          </w:tcPr>
          <w:p w14:paraId="246B7AE0"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|Hyperinsulinemic hypoglycemia, familial, 1|Familial hyperinsulinism</w:t>
            </w:r>
          </w:p>
        </w:tc>
      </w:tr>
      <w:tr w:rsidR="00297968" w:rsidRPr="001F4278" w14:paraId="2AB08258" w14:textId="77777777" w:rsidTr="00DE5EC2">
        <w:trPr>
          <w:jc w:val="center"/>
        </w:trPr>
        <w:tc>
          <w:tcPr>
            <w:tcW w:w="798" w:type="dxa"/>
            <w:shd w:val="clear" w:color="auto" w:fill="auto"/>
            <w:tcMar>
              <w:top w:w="-36" w:type="dxa"/>
              <w:left w:w="-36" w:type="dxa"/>
              <w:bottom w:w="-36" w:type="dxa"/>
              <w:right w:w="-36" w:type="dxa"/>
            </w:tcMar>
            <w:vAlign w:val="center"/>
          </w:tcPr>
          <w:p w14:paraId="53F8934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0237829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NC_000011.10:17474955:G:A</w:t>
            </w:r>
          </w:p>
        </w:tc>
        <w:tc>
          <w:tcPr>
            <w:tcW w:w="2246" w:type="dxa"/>
            <w:gridSpan w:val="2"/>
            <w:shd w:val="clear" w:color="auto" w:fill="auto"/>
            <w:tcMar>
              <w:top w:w="-36" w:type="dxa"/>
              <w:left w:w="-36" w:type="dxa"/>
              <w:bottom w:w="-36" w:type="dxa"/>
              <w:right w:w="-36" w:type="dxa"/>
            </w:tcMar>
            <w:vAlign w:val="center"/>
          </w:tcPr>
          <w:p w14:paraId="26995BE8" w14:textId="77777777" w:rsidR="00297968" w:rsidRPr="00CE677F" w:rsidRDefault="00297968" w:rsidP="00DE5EC2">
            <w:pPr>
              <w:autoSpaceDE w:val="0"/>
              <w:autoSpaceDN w:val="0"/>
              <w:adjustRightInd w:val="0"/>
              <w:snapToGrid w:val="0"/>
              <w:spacing w:line="240" w:lineRule="auto"/>
              <w:jc w:val="center"/>
              <w:rPr>
                <w:rFonts w:eastAsia="Palatino Linotype" w:cs="Palatino Linotype"/>
                <w:lang w:val="fr-FR"/>
              </w:rPr>
            </w:pPr>
            <w:r w:rsidRPr="00CE677F">
              <w:rPr>
                <w:rFonts w:eastAsia="Calibri" w:cs="Calibri"/>
                <w:lang w:val="fr-FR"/>
              </w:rPr>
              <w:t>NM_000352.6(</w:t>
            </w:r>
            <w:r w:rsidRPr="00CE677F">
              <w:rPr>
                <w:rFonts w:eastAsia="Calibri" w:cs="Calibri"/>
                <w:i/>
                <w:iCs/>
                <w:lang w:val="fr-FR"/>
              </w:rPr>
              <w:t>ABCC8</w:t>
            </w:r>
            <w:r w:rsidRPr="00CE677F">
              <w:rPr>
                <w:rFonts w:eastAsia="Calibri" w:cs="Calibri"/>
                <w:lang w:val="fr-FR"/>
              </w:rPr>
              <w:t>):c.220C&gt;T (p.Arg74Trp)</w:t>
            </w:r>
          </w:p>
        </w:tc>
        <w:tc>
          <w:tcPr>
            <w:tcW w:w="751" w:type="dxa"/>
            <w:shd w:val="clear" w:color="auto" w:fill="auto"/>
            <w:tcMar>
              <w:top w:w="-36" w:type="dxa"/>
              <w:left w:w="-36" w:type="dxa"/>
              <w:bottom w:w="-36" w:type="dxa"/>
              <w:right w:w="-36" w:type="dxa"/>
            </w:tcMar>
            <w:vAlign w:val="center"/>
          </w:tcPr>
          <w:p w14:paraId="64679B9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R74W</w:t>
            </w:r>
          </w:p>
        </w:tc>
        <w:tc>
          <w:tcPr>
            <w:tcW w:w="2671" w:type="dxa"/>
            <w:shd w:val="clear" w:color="auto" w:fill="auto"/>
            <w:tcMar>
              <w:top w:w="-36" w:type="dxa"/>
              <w:left w:w="-36" w:type="dxa"/>
              <w:bottom w:w="-36" w:type="dxa"/>
              <w:right w:w="-36" w:type="dxa"/>
            </w:tcMar>
            <w:vAlign w:val="center"/>
          </w:tcPr>
          <w:p w14:paraId="75C8C532"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|Hereditary</w:t>
            </w:r>
          </w:p>
          <w:p w14:paraId="32420B19"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hyperinsulinism|Hyperinsulinemic hypoglycemia, familial, 1</w:t>
            </w:r>
          </w:p>
        </w:tc>
      </w:tr>
      <w:tr w:rsidR="00297968" w:rsidRPr="00090A99" w14:paraId="58C571CF" w14:textId="77777777" w:rsidTr="00DE5EC2">
        <w:trPr>
          <w:jc w:val="center"/>
        </w:trPr>
        <w:tc>
          <w:tcPr>
            <w:tcW w:w="798" w:type="dxa"/>
            <w:shd w:val="clear" w:color="auto" w:fill="auto"/>
            <w:tcMar>
              <w:top w:w="-36" w:type="dxa"/>
              <w:left w:w="-36" w:type="dxa"/>
              <w:bottom w:w="-36" w:type="dxa"/>
              <w:right w:w="-36" w:type="dxa"/>
            </w:tcMar>
            <w:vAlign w:val="center"/>
          </w:tcPr>
          <w:p w14:paraId="50852FA7"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2081F0A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NC_000011.10:17404523:C:T</w:t>
            </w:r>
          </w:p>
        </w:tc>
        <w:tc>
          <w:tcPr>
            <w:tcW w:w="2246" w:type="dxa"/>
            <w:gridSpan w:val="2"/>
            <w:shd w:val="clear" w:color="auto" w:fill="auto"/>
            <w:tcMar>
              <w:top w:w="-36" w:type="dxa"/>
              <w:left w:w="-36" w:type="dxa"/>
              <w:bottom w:w="-36" w:type="dxa"/>
              <w:right w:w="-36" w:type="dxa"/>
            </w:tcMar>
            <w:vAlign w:val="center"/>
          </w:tcPr>
          <w:p w14:paraId="33FA58D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):c.3545G&gt;A (p.Arg1182Gln)</w:t>
            </w:r>
          </w:p>
        </w:tc>
        <w:tc>
          <w:tcPr>
            <w:tcW w:w="751" w:type="dxa"/>
            <w:shd w:val="clear" w:color="auto" w:fill="auto"/>
            <w:tcMar>
              <w:top w:w="-36" w:type="dxa"/>
              <w:left w:w="-36" w:type="dxa"/>
              <w:bottom w:w="-36" w:type="dxa"/>
              <w:right w:w="-36" w:type="dxa"/>
            </w:tcMar>
            <w:vAlign w:val="center"/>
          </w:tcPr>
          <w:p w14:paraId="262E001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R1182Q, R1183Q, R1181Q, R1204Q</w:t>
            </w:r>
          </w:p>
        </w:tc>
        <w:tc>
          <w:tcPr>
            <w:tcW w:w="2671" w:type="dxa"/>
            <w:shd w:val="clear" w:color="auto" w:fill="auto"/>
            <w:tcMar>
              <w:top w:w="-36" w:type="dxa"/>
              <w:left w:w="-36" w:type="dxa"/>
              <w:bottom w:w="-36" w:type="dxa"/>
              <w:right w:w="-36" w:type="dxa"/>
            </w:tcMar>
            <w:vAlign w:val="center"/>
          </w:tcPr>
          <w:p w14:paraId="4DC6A56F" w14:textId="77777777" w:rsidR="00297968" w:rsidRPr="001F4278" w:rsidRDefault="00297968" w:rsidP="00DE5EC2">
            <w:pPr>
              <w:autoSpaceDE w:val="0"/>
              <w:autoSpaceDN w:val="0"/>
              <w:adjustRightInd w:val="0"/>
              <w:snapToGrid w:val="0"/>
              <w:spacing w:line="240" w:lineRule="auto"/>
              <w:jc w:val="center"/>
              <w:rPr>
                <w:rFonts w:eastAsia="Calibri" w:cs="Calibri"/>
                <w:lang w:val="fr-FR"/>
              </w:rPr>
            </w:pPr>
            <w:r w:rsidRPr="001F4278">
              <w:rPr>
                <w:rFonts w:eastAsia="Calibri" w:cs="Calibri"/>
                <w:lang w:val="fr-FR"/>
              </w:rPr>
              <w:t>|Transient neonatal diabetes mellitus 2|Neonatal diabetes mellitus</w:t>
            </w:r>
          </w:p>
        </w:tc>
      </w:tr>
      <w:tr w:rsidR="00297968" w:rsidRPr="001F4278" w14:paraId="0B9DF929" w14:textId="77777777" w:rsidTr="00DE5EC2">
        <w:trPr>
          <w:jc w:val="center"/>
        </w:trPr>
        <w:tc>
          <w:tcPr>
            <w:tcW w:w="798" w:type="dxa"/>
            <w:shd w:val="clear" w:color="auto" w:fill="auto"/>
            <w:tcMar>
              <w:top w:w="-36" w:type="dxa"/>
              <w:left w:w="-36" w:type="dxa"/>
              <w:bottom w:w="-36" w:type="dxa"/>
              <w:right w:w="-36" w:type="dxa"/>
            </w:tcMar>
            <w:vAlign w:val="center"/>
          </w:tcPr>
          <w:p w14:paraId="29ABEDE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43D2EA1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NC_000011.10:17470181:C:T</w:t>
            </w:r>
          </w:p>
        </w:tc>
        <w:tc>
          <w:tcPr>
            <w:tcW w:w="2246" w:type="dxa"/>
            <w:gridSpan w:val="2"/>
            <w:shd w:val="clear" w:color="auto" w:fill="auto"/>
            <w:tcMar>
              <w:top w:w="-36" w:type="dxa"/>
              <w:left w:w="-36" w:type="dxa"/>
              <w:bottom w:w="-36" w:type="dxa"/>
              <w:right w:w="-36" w:type="dxa"/>
            </w:tcMar>
            <w:vAlign w:val="center"/>
          </w:tcPr>
          <w:p w14:paraId="0D6A99F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):c.331G&gt;A (p.Gly111Arg)</w:t>
            </w:r>
          </w:p>
        </w:tc>
        <w:tc>
          <w:tcPr>
            <w:tcW w:w="751" w:type="dxa"/>
            <w:shd w:val="clear" w:color="auto" w:fill="auto"/>
            <w:tcMar>
              <w:top w:w="-36" w:type="dxa"/>
              <w:left w:w="-36" w:type="dxa"/>
              <w:bottom w:w="-36" w:type="dxa"/>
              <w:right w:w="-36" w:type="dxa"/>
            </w:tcMar>
            <w:vAlign w:val="center"/>
          </w:tcPr>
          <w:p w14:paraId="4DA27CD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G111R</w:t>
            </w:r>
          </w:p>
        </w:tc>
        <w:tc>
          <w:tcPr>
            <w:tcW w:w="2671" w:type="dxa"/>
            <w:shd w:val="clear" w:color="auto" w:fill="auto"/>
            <w:tcMar>
              <w:top w:w="-36" w:type="dxa"/>
              <w:left w:w="-36" w:type="dxa"/>
              <w:bottom w:w="-36" w:type="dxa"/>
              <w:right w:w="-36" w:type="dxa"/>
            </w:tcMar>
            <w:vAlign w:val="center"/>
          </w:tcPr>
          <w:p w14:paraId="6D9D1116"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Familial</w:t>
            </w:r>
          </w:p>
          <w:p w14:paraId="3DA55AED"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hyperinsulinism||Hyperinsulinemic hypoglycemia, familial, 1</w:t>
            </w:r>
          </w:p>
        </w:tc>
      </w:tr>
      <w:tr w:rsidR="00297968" w:rsidRPr="001F4278" w14:paraId="1A4167BB" w14:textId="77777777" w:rsidTr="00DE5EC2">
        <w:trPr>
          <w:jc w:val="center"/>
        </w:trPr>
        <w:tc>
          <w:tcPr>
            <w:tcW w:w="798" w:type="dxa"/>
            <w:shd w:val="clear" w:color="auto" w:fill="auto"/>
            <w:tcMar>
              <w:top w:w="-36" w:type="dxa"/>
              <w:left w:w="-36" w:type="dxa"/>
              <w:bottom w:w="-36" w:type="dxa"/>
              <w:right w:w="-36" w:type="dxa"/>
            </w:tcMar>
            <w:vAlign w:val="center"/>
          </w:tcPr>
          <w:p w14:paraId="466C632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4725818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NC_000011.10:17394333:G:A</w:t>
            </w:r>
          </w:p>
        </w:tc>
        <w:tc>
          <w:tcPr>
            <w:tcW w:w="2246" w:type="dxa"/>
            <w:gridSpan w:val="2"/>
            <w:shd w:val="clear" w:color="auto" w:fill="auto"/>
            <w:tcMar>
              <w:top w:w="-36" w:type="dxa"/>
              <w:left w:w="-36" w:type="dxa"/>
              <w:bottom w:w="-36" w:type="dxa"/>
              <w:right w:w="-36" w:type="dxa"/>
            </w:tcMar>
            <w:vAlign w:val="center"/>
          </w:tcPr>
          <w:p w14:paraId="04E7CDA7" w14:textId="77777777" w:rsidR="00297968" w:rsidRPr="00CE677F" w:rsidRDefault="00297968" w:rsidP="00DE5EC2">
            <w:pPr>
              <w:autoSpaceDE w:val="0"/>
              <w:autoSpaceDN w:val="0"/>
              <w:adjustRightInd w:val="0"/>
              <w:snapToGrid w:val="0"/>
              <w:spacing w:line="240" w:lineRule="auto"/>
              <w:jc w:val="center"/>
              <w:rPr>
                <w:rFonts w:eastAsia="Palatino Linotype" w:cs="Palatino Linotype"/>
                <w:lang w:val="fr-FR"/>
              </w:rPr>
            </w:pPr>
            <w:r w:rsidRPr="00CE677F">
              <w:rPr>
                <w:rFonts w:eastAsia="Calibri" w:cs="Calibri"/>
                <w:lang w:val="fr-FR"/>
              </w:rPr>
              <w:t>NM_000352.6(</w:t>
            </w:r>
            <w:r w:rsidRPr="00CE677F">
              <w:rPr>
                <w:rFonts w:eastAsia="Calibri" w:cs="Calibri"/>
                <w:i/>
                <w:iCs/>
                <w:lang w:val="fr-FR"/>
              </w:rPr>
              <w:t>ABCC8</w:t>
            </w:r>
            <w:r w:rsidRPr="00CE677F">
              <w:rPr>
                <w:rFonts w:eastAsia="Calibri" w:cs="Calibri"/>
                <w:lang w:val="fr-FR"/>
              </w:rPr>
              <w:t>):c.4477C&gt;T (p.Arg1493Trp)</w:t>
            </w:r>
          </w:p>
        </w:tc>
        <w:tc>
          <w:tcPr>
            <w:tcW w:w="751" w:type="dxa"/>
            <w:shd w:val="clear" w:color="auto" w:fill="auto"/>
            <w:tcMar>
              <w:top w:w="-36" w:type="dxa"/>
              <w:left w:w="-36" w:type="dxa"/>
              <w:bottom w:w="-36" w:type="dxa"/>
              <w:right w:w="-36" w:type="dxa"/>
            </w:tcMar>
            <w:vAlign w:val="center"/>
          </w:tcPr>
          <w:p w14:paraId="4BC9217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R1494W, R1493W, R1515W, R1492W</w:t>
            </w:r>
          </w:p>
        </w:tc>
        <w:tc>
          <w:tcPr>
            <w:tcW w:w="2671" w:type="dxa"/>
            <w:shd w:val="clear" w:color="auto" w:fill="auto"/>
            <w:tcMar>
              <w:top w:w="-36" w:type="dxa"/>
              <w:left w:w="-36" w:type="dxa"/>
              <w:bottom w:w="-36" w:type="dxa"/>
              <w:right w:w="-36" w:type="dxa"/>
            </w:tcMar>
            <w:vAlign w:val="center"/>
          </w:tcPr>
          <w:p w14:paraId="7E1582A1"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|Hereditary hyperinsulinism|Hyperinsulinemic hypoglycemia, familial, 1</w:t>
            </w:r>
          </w:p>
        </w:tc>
      </w:tr>
      <w:tr w:rsidR="00297968" w:rsidRPr="001F4278" w14:paraId="705A914F" w14:textId="77777777" w:rsidTr="00DE5EC2">
        <w:trPr>
          <w:jc w:val="center"/>
        </w:trPr>
        <w:tc>
          <w:tcPr>
            <w:tcW w:w="798" w:type="dxa"/>
            <w:shd w:val="clear" w:color="auto" w:fill="auto"/>
            <w:tcMar>
              <w:top w:w="-36" w:type="dxa"/>
              <w:left w:w="-36" w:type="dxa"/>
              <w:bottom w:w="-36" w:type="dxa"/>
              <w:right w:w="-36" w:type="dxa"/>
            </w:tcMar>
            <w:vAlign w:val="center"/>
          </w:tcPr>
          <w:p w14:paraId="5A35338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460747B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NC_000011.10:17395658:G:A</w:t>
            </w:r>
          </w:p>
        </w:tc>
        <w:tc>
          <w:tcPr>
            <w:tcW w:w="2246" w:type="dxa"/>
            <w:gridSpan w:val="2"/>
            <w:shd w:val="clear" w:color="auto" w:fill="auto"/>
            <w:tcMar>
              <w:top w:w="-36" w:type="dxa"/>
              <w:left w:w="-36" w:type="dxa"/>
              <w:bottom w:w="-36" w:type="dxa"/>
              <w:right w:w="-36" w:type="dxa"/>
            </w:tcMar>
            <w:vAlign w:val="center"/>
          </w:tcPr>
          <w:p w14:paraId="2056363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lang w:val="fr-FR"/>
              </w:rPr>
            </w:pPr>
            <w:r w:rsidRPr="001F4278">
              <w:rPr>
                <w:rFonts w:eastAsia="Calibri" w:cs="Calibri"/>
                <w:lang w:val="fr-FR"/>
              </w:rPr>
              <w:t>NM_000352.6(</w:t>
            </w:r>
            <w:r w:rsidRPr="001F4278">
              <w:rPr>
                <w:rFonts w:eastAsia="Calibri" w:cs="Calibri"/>
                <w:i/>
                <w:iCs/>
                <w:lang w:val="fr-FR"/>
              </w:rPr>
              <w:t>ABCC8</w:t>
            </w:r>
            <w:r w:rsidRPr="001F4278">
              <w:rPr>
                <w:rFonts w:eastAsia="Calibri" w:cs="Calibri"/>
                <w:lang w:val="fr-FR"/>
              </w:rPr>
              <w:t>):c.4258C&gt;T (p.Arg1420Cys)</w:t>
            </w:r>
          </w:p>
        </w:tc>
        <w:tc>
          <w:tcPr>
            <w:tcW w:w="751" w:type="dxa"/>
            <w:shd w:val="clear" w:color="auto" w:fill="auto"/>
            <w:tcMar>
              <w:top w:w="-36" w:type="dxa"/>
              <w:left w:w="-36" w:type="dxa"/>
              <w:bottom w:w="-36" w:type="dxa"/>
              <w:right w:w="-36" w:type="dxa"/>
            </w:tcMar>
            <w:vAlign w:val="center"/>
          </w:tcPr>
          <w:p w14:paraId="266B429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R1421C, R1420C, R1419C, R1442C</w:t>
            </w:r>
          </w:p>
        </w:tc>
        <w:tc>
          <w:tcPr>
            <w:tcW w:w="2671" w:type="dxa"/>
            <w:shd w:val="clear" w:color="auto" w:fill="auto"/>
            <w:tcMar>
              <w:top w:w="-36" w:type="dxa"/>
              <w:left w:w="-36" w:type="dxa"/>
              <w:bottom w:w="-36" w:type="dxa"/>
              <w:right w:w="-36" w:type="dxa"/>
            </w:tcMar>
            <w:vAlign w:val="center"/>
          </w:tcPr>
          <w:p w14:paraId="7BE737F4"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|Hereditary hyperinsulinism|Hyperinsulinemic hypoglycemia, familial, 1</w:t>
            </w:r>
          </w:p>
        </w:tc>
      </w:tr>
      <w:tr w:rsidR="00297968" w:rsidRPr="001F4278" w14:paraId="3663E07E" w14:textId="77777777" w:rsidTr="00DE5EC2">
        <w:trPr>
          <w:jc w:val="center"/>
        </w:trPr>
        <w:tc>
          <w:tcPr>
            <w:tcW w:w="798" w:type="dxa"/>
            <w:shd w:val="clear" w:color="auto" w:fill="auto"/>
            <w:tcMar>
              <w:top w:w="-36" w:type="dxa"/>
              <w:left w:w="-36" w:type="dxa"/>
              <w:bottom w:w="-36" w:type="dxa"/>
              <w:right w:w="-36" w:type="dxa"/>
            </w:tcMar>
            <w:vAlign w:val="center"/>
          </w:tcPr>
          <w:p w14:paraId="5D8585B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6667038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NC_000011.10:17402669:C:T</w:t>
            </w:r>
          </w:p>
        </w:tc>
        <w:tc>
          <w:tcPr>
            <w:tcW w:w="2246" w:type="dxa"/>
            <w:gridSpan w:val="2"/>
            <w:shd w:val="clear" w:color="auto" w:fill="auto"/>
            <w:tcMar>
              <w:top w:w="-36" w:type="dxa"/>
              <w:left w:w="-36" w:type="dxa"/>
              <w:bottom w:w="-36" w:type="dxa"/>
              <w:right w:w="-36" w:type="dxa"/>
            </w:tcMar>
            <w:vAlign w:val="center"/>
          </w:tcPr>
          <w:p w14:paraId="1900757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):c.3641G&gt;A (p.Arg1214Gln)</w:t>
            </w:r>
          </w:p>
        </w:tc>
        <w:tc>
          <w:tcPr>
            <w:tcW w:w="751" w:type="dxa"/>
            <w:shd w:val="clear" w:color="auto" w:fill="auto"/>
            <w:tcMar>
              <w:top w:w="-36" w:type="dxa"/>
              <w:left w:w="-36" w:type="dxa"/>
              <w:bottom w:w="-36" w:type="dxa"/>
              <w:right w:w="-36" w:type="dxa"/>
            </w:tcMar>
            <w:vAlign w:val="center"/>
          </w:tcPr>
          <w:p w14:paraId="41A835D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R1214Q, R1215Q, R1213Q, R1236Q</w:t>
            </w:r>
          </w:p>
        </w:tc>
        <w:tc>
          <w:tcPr>
            <w:tcW w:w="2671" w:type="dxa"/>
            <w:shd w:val="clear" w:color="auto" w:fill="auto"/>
            <w:tcMar>
              <w:top w:w="-36" w:type="dxa"/>
              <w:left w:w="-36" w:type="dxa"/>
              <w:bottom w:w="-36" w:type="dxa"/>
              <w:right w:w="-36" w:type="dxa"/>
            </w:tcMar>
            <w:vAlign w:val="center"/>
          </w:tcPr>
          <w:p w14:paraId="6D277058"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Familial hyperinsulinism|Hereditary</w:t>
            </w:r>
          </w:p>
          <w:p w14:paraId="1D0DD2F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hyperinsulinism||Hyperinsulinemic hypoglycemia, familial, 1</w:t>
            </w:r>
          </w:p>
        </w:tc>
      </w:tr>
      <w:tr w:rsidR="00297968" w:rsidRPr="001F4278" w14:paraId="376790AD" w14:textId="77777777" w:rsidTr="00DE5EC2">
        <w:trPr>
          <w:jc w:val="center"/>
        </w:trPr>
        <w:tc>
          <w:tcPr>
            <w:tcW w:w="798" w:type="dxa"/>
            <w:shd w:val="clear" w:color="auto" w:fill="auto"/>
            <w:tcMar>
              <w:top w:w="-36" w:type="dxa"/>
              <w:left w:w="-36" w:type="dxa"/>
              <w:bottom w:w="-36" w:type="dxa"/>
              <w:right w:w="-36" w:type="dxa"/>
            </w:tcMar>
            <w:vAlign w:val="center"/>
          </w:tcPr>
          <w:p w14:paraId="30A81E8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3CA842A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NC_000011.10:17395609:C:T</w:t>
            </w:r>
          </w:p>
        </w:tc>
        <w:tc>
          <w:tcPr>
            <w:tcW w:w="2246" w:type="dxa"/>
            <w:gridSpan w:val="2"/>
            <w:shd w:val="clear" w:color="auto" w:fill="auto"/>
            <w:tcMar>
              <w:top w:w="-36" w:type="dxa"/>
              <w:left w:w="-36" w:type="dxa"/>
              <w:bottom w:w="-36" w:type="dxa"/>
              <w:right w:w="-36" w:type="dxa"/>
            </w:tcMar>
            <w:vAlign w:val="center"/>
          </w:tcPr>
          <w:p w14:paraId="1E1245E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NM_000352.6(ABCC8):c.4307G&gt;A (p.Arg1436Gln)</w:t>
            </w:r>
          </w:p>
        </w:tc>
        <w:tc>
          <w:tcPr>
            <w:tcW w:w="751" w:type="dxa"/>
            <w:shd w:val="clear" w:color="auto" w:fill="auto"/>
            <w:tcMar>
              <w:top w:w="-36" w:type="dxa"/>
              <w:left w:w="-36" w:type="dxa"/>
              <w:bottom w:w="-36" w:type="dxa"/>
              <w:right w:w="-36" w:type="dxa"/>
            </w:tcMar>
            <w:vAlign w:val="center"/>
          </w:tcPr>
          <w:p w14:paraId="3E0FA59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R1436Q, R1437Q, R1435Q, R1458Q</w:t>
            </w:r>
          </w:p>
        </w:tc>
        <w:tc>
          <w:tcPr>
            <w:tcW w:w="2671" w:type="dxa"/>
            <w:shd w:val="clear" w:color="auto" w:fill="auto"/>
            <w:tcMar>
              <w:top w:w="-36" w:type="dxa"/>
              <w:left w:w="-36" w:type="dxa"/>
              <w:bottom w:w="-36" w:type="dxa"/>
              <w:right w:w="-36" w:type="dxa"/>
            </w:tcMar>
            <w:vAlign w:val="center"/>
          </w:tcPr>
          <w:p w14:paraId="794FD443"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Familial hyperinsulinism|Hereditary</w:t>
            </w:r>
          </w:p>
          <w:p w14:paraId="068F02B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hyperinsulinism|Hyperinsulinemic hypoglycemia, familial, 1|</w:t>
            </w:r>
          </w:p>
        </w:tc>
      </w:tr>
      <w:tr w:rsidR="00297968" w:rsidRPr="00CE677F" w14:paraId="67550AB5" w14:textId="77777777" w:rsidTr="00DE5EC2">
        <w:trPr>
          <w:jc w:val="center"/>
        </w:trPr>
        <w:tc>
          <w:tcPr>
            <w:tcW w:w="798" w:type="dxa"/>
            <w:shd w:val="clear" w:color="auto" w:fill="auto"/>
            <w:tcMar>
              <w:top w:w="-36" w:type="dxa"/>
              <w:left w:w="-36" w:type="dxa"/>
              <w:bottom w:w="-36" w:type="dxa"/>
              <w:right w:w="-36" w:type="dxa"/>
            </w:tcMar>
            <w:vAlign w:val="center"/>
          </w:tcPr>
          <w:p w14:paraId="1B261C2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2013062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NC_000011.10:17474954:C:T</w:t>
            </w:r>
          </w:p>
        </w:tc>
        <w:tc>
          <w:tcPr>
            <w:tcW w:w="2246" w:type="dxa"/>
            <w:gridSpan w:val="2"/>
            <w:shd w:val="clear" w:color="auto" w:fill="auto"/>
            <w:tcMar>
              <w:top w:w="-36" w:type="dxa"/>
              <w:left w:w="-36" w:type="dxa"/>
              <w:bottom w:w="-36" w:type="dxa"/>
              <w:right w:w="-36" w:type="dxa"/>
            </w:tcMar>
            <w:vAlign w:val="center"/>
          </w:tcPr>
          <w:p w14:paraId="14E07F1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):c.221G&gt;A (p.Arg74Gln)</w:t>
            </w:r>
          </w:p>
        </w:tc>
        <w:tc>
          <w:tcPr>
            <w:tcW w:w="751" w:type="dxa"/>
            <w:shd w:val="clear" w:color="auto" w:fill="auto"/>
            <w:tcMar>
              <w:top w:w="-36" w:type="dxa"/>
              <w:left w:w="-36" w:type="dxa"/>
              <w:bottom w:w="-36" w:type="dxa"/>
              <w:right w:w="-36" w:type="dxa"/>
            </w:tcMar>
            <w:vAlign w:val="center"/>
          </w:tcPr>
          <w:p w14:paraId="03780BD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R74Q</w:t>
            </w:r>
          </w:p>
        </w:tc>
        <w:tc>
          <w:tcPr>
            <w:tcW w:w="2671" w:type="dxa"/>
            <w:shd w:val="clear" w:color="auto" w:fill="auto"/>
            <w:tcMar>
              <w:top w:w="-36" w:type="dxa"/>
              <w:left w:w="-36" w:type="dxa"/>
              <w:bottom w:w="-36" w:type="dxa"/>
              <w:right w:w="-36" w:type="dxa"/>
            </w:tcMar>
            <w:vAlign w:val="center"/>
          </w:tcPr>
          <w:p w14:paraId="2F6B0E53" w14:textId="77777777" w:rsidR="00297968" w:rsidRPr="00C11D8E" w:rsidRDefault="00297968" w:rsidP="00DE5EC2">
            <w:pPr>
              <w:autoSpaceDE w:val="0"/>
              <w:autoSpaceDN w:val="0"/>
              <w:adjustRightInd w:val="0"/>
              <w:snapToGrid w:val="0"/>
              <w:spacing w:line="240" w:lineRule="auto"/>
              <w:jc w:val="center"/>
              <w:rPr>
                <w:rFonts w:eastAsia="Calibri" w:cs="Calibri"/>
              </w:rPr>
            </w:pPr>
            <w:r w:rsidRPr="00C11D8E">
              <w:rPr>
                <w:rFonts w:eastAsia="Calibri" w:cs="Calibri"/>
              </w:rPr>
              <w:t>Familial hyperinsulinism|Hyperinsulinemic hypoglycemia, familial, 1||Permanent neonatal diabetes mellitus|Type II</w:t>
            </w:r>
          </w:p>
          <w:p w14:paraId="39114A1D" w14:textId="77777777" w:rsidR="00297968" w:rsidRPr="00C11D8E" w:rsidRDefault="00297968" w:rsidP="00DE5EC2">
            <w:pPr>
              <w:autoSpaceDE w:val="0"/>
              <w:autoSpaceDN w:val="0"/>
              <w:adjustRightInd w:val="0"/>
              <w:snapToGrid w:val="0"/>
              <w:spacing w:line="240" w:lineRule="auto"/>
              <w:jc w:val="center"/>
              <w:rPr>
                <w:rFonts w:eastAsia="Calibri" w:cs="Calibri"/>
              </w:rPr>
            </w:pPr>
            <w:r w:rsidRPr="00C11D8E">
              <w:rPr>
                <w:rFonts w:eastAsia="Calibri" w:cs="Calibri"/>
              </w:rPr>
              <w:t>diabetes mellitus|Leucine-induced hypoglycemia|Hyperinsulinemic hypoglycemia, familial, 1|Transient neonatal diabetes mellitus 2</w:t>
            </w:r>
          </w:p>
        </w:tc>
      </w:tr>
      <w:tr w:rsidR="00297968" w:rsidRPr="001F4278" w14:paraId="7420F16F" w14:textId="77777777" w:rsidTr="00DE5EC2">
        <w:trPr>
          <w:jc w:val="center"/>
        </w:trPr>
        <w:tc>
          <w:tcPr>
            <w:tcW w:w="798" w:type="dxa"/>
            <w:shd w:val="clear" w:color="auto" w:fill="auto"/>
            <w:tcMar>
              <w:top w:w="-36" w:type="dxa"/>
              <w:left w:w="-36" w:type="dxa"/>
              <w:bottom w:w="-36" w:type="dxa"/>
              <w:right w:w="-36" w:type="dxa"/>
            </w:tcMar>
            <w:vAlign w:val="center"/>
          </w:tcPr>
          <w:p w14:paraId="4488A93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49D1105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NC_000011.10:17463453:T:C</w:t>
            </w:r>
          </w:p>
        </w:tc>
        <w:tc>
          <w:tcPr>
            <w:tcW w:w="2246" w:type="dxa"/>
            <w:gridSpan w:val="2"/>
            <w:shd w:val="clear" w:color="auto" w:fill="auto"/>
            <w:tcMar>
              <w:top w:w="-36" w:type="dxa"/>
              <w:left w:w="-36" w:type="dxa"/>
              <w:bottom w:w="-36" w:type="dxa"/>
              <w:right w:w="-36" w:type="dxa"/>
            </w:tcMar>
            <w:vAlign w:val="center"/>
          </w:tcPr>
          <w:p w14:paraId="746D375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):c.563A&gt;G (p.Asn188Ser)</w:t>
            </w:r>
          </w:p>
        </w:tc>
        <w:tc>
          <w:tcPr>
            <w:tcW w:w="751" w:type="dxa"/>
            <w:shd w:val="clear" w:color="auto" w:fill="auto"/>
            <w:tcMar>
              <w:top w:w="-36" w:type="dxa"/>
              <w:left w:w="-36" w:type="dxa"/>
              <w:bottom w:w="-36" w:type="dxa"/>
              <w:right w:w="-36" w:type="dxa"/>
            </w:tcMar>
            <w:vAlign w:val="center"/>
          </w:tcPr>
          <w:p w14:paraId="1CF00A7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N188S</w:t>
            </w:r>
          </w:p>
        </w:tc>
        <w:tc>
          <w:tcPr>
            <w:tcW w:w="2671" w:type="dxa"/>
            <w:shd w:val="clear" w:color="auto" w:fill="auto"/>
            <w:tcMar>
              <w:top w:w="-36" w:type="dxa"/>
              <w:left w:w="-36" w:type="dxa"/>
              <w:bottom w:w="-36" w:type="dxa"/>
              <w:right w:w="-36" w:type="dxa"/>
            </w:tcMar>
            <w:vAlign w:val="center"/>
          </w:tcPr>
          <w:p w14:paraId="3FCE9B19"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Hereditary hyperinsulinism||Hyperinsulinemic hypoglycemia, familial, 1</w:t>
            </w:r>
          </w:p>
        </w:tc>
      </w:tr>
      <w:tr w:rsidR="00297968" w:rsidRPr="001F4278" w14:paraId="6301996D" w14:textId="77777777" w:rsidTr="00DE5EC2">
        <w:trPr>
          <w:jc w:val="center"/>
        </w:trPr>
        <w:tc>
          <w:tcPr>
            <w:tcW w:w="798" w:type="dxa"/>
            <w:shd w:val="clear" w:color="auto" w:fill="auto"/>
            <w:tcMar>
              <w:top w:w="-36" w:type="dxa"/>
              <w:left w:w="-36" w:type="dxa"/>
              <w:bottom w:w="-36" w:type="dxa"/>
              <w:right w:w="-36" w:type="dxa"/>
            </w:tcMar>
            <w:vAlign w:val="center"/>
          </w:tcPr>
          <w:p w14:paraId="2EDB29F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28E6695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NC_000011.10:17395851:C:T</w:t>
            </w:r>
          </w:p>
        </w:tc>
        <w:tc>
          <w:tcPr>
            <w:tcW w:w="2246" w:type="dxa"/>
            <w:gridSpan w:val="2"/>
            <w:shd w:val="clear" w:color="auto" w:fill="auto"/>
            <w:tcMar>
              <w:top w:w="-36" w:type="dxa"/>
              <w:left w:w="-36" w:type="dxa"/>
              <w:bottom w:w="-36" w:type="dxa"/>
              <w:right w:w="-36" w:type="dxa"/>
            </w:tcMar>
            <w:vAlign w:val="center"/>
          </w:tcPr>
          <w:p w14:paraId="2A64CCD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):c.4198G&gt;A (p.Gly1400Arg)</w:t>
            </w:r>
          </w:p>
        </w:tc>
        <w:tc>
          <w:tcPr>
            <w:tcW w:w="751" w:type="dxa"/>
            <w:shd w:val="clear" w:color="auto" w:fill="auto"/>
            <w:tcMar>
              <w:top w:w="-36" w:type="dxa"/>
              <w:left w:w="-36" w:type="dxa"/>
              <w:bottom w:w="-36" w:type="dxa"/>
              <w:right w:w="-36" w:type="dxa"/>
            </w:tcMar>
            <w:vAlign w:val="center"/>
          </w:tcPr>
          <w:p w14:paraId="7812DC1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G1400R, G1401R, G1399R, G1422R</w:t>
            </w:r>
          </w:p>
        </w:tc>
        <w:tc>
          <w:tcPr>
            <w:tcW w:w="2671" w:type="dxa"/>
            <w:shd w:val="clear" w:color="auto" w:fill="auto"/>
            <w:tcMar>
              <w:top w:w="-36" w:type="dxa"/>
              <w:left w:w="-36" w:type="dxa"/>
              <w:bottom w:w="-36" w:type="dxa"/>
              <w:right w:w="-36" w:type="dxa"/>
            </w:tcMar>
            <w:vAlign w:val="center"/>
          </w:tcPr>
          <w:p w14:paraId="06937BD0"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|Familial hyperinsulinism|Hyperinsulinemic hypoglycemia, familial, 1|Hereditary hyperinsulinism|Permanent neonatal diabetes mellitus 3</w:t>
            </w:r>
          </w:p>
        </w:tc>
      </w:tr>
      <w:tr w:rsidR="00297968" w:rsidRPr="001F4278" w14:paraId="71E8FE91" w14:textId="77777777" w:rsidTr="00DE5EC2">
        <w:trPr>
          <w:jc w:val="center"/>
        </w:trPr>
        <w:tc>
          <w:tcPr>
            <w:tcW w:w="798" w:type="dxa"/>
            <w:shd w:val="clear" w:color="auto" w:fill="auto"/>
            <w:tcMar>
              <w:top w:w="-36" w:type="dxa"/>
              <w:left w:w="-36" w:type="dxa"/>
              <w:bottom w:w="-36" w:type="dxa"/>
              <w:right w:w="-36" w:type="dxa"/>
            </w:tcMar>
            <w:vAlign w:val="center"/>
          </w:tcPr>
          <w:p w14:paraId="4F67D3A6"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5D2F541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NC_000011.10:17394294:C:T</w:t>
            </w:r>
          </w:p>
        </w:tc>
        <w:tc>
          <w:tcPr>
            <w:tcW w:w="2246" w:type="dxa"/>
            <w:gridSpan w:val="2"/>
            <w:shd w:val="clear" w:color="auto" w:fill="auto"/>
            <w:tcMar>
              <w:top w:w="-36" w:type="dxa"/>
              <w:left w:w="-36" w:type="dxa"/>
              <w:bottom w:w="-36" w:type="dxa"/>
              <w:right w:w="-36" w:type="dxa"/>
            </w:tcMar>
            <w:vAlign w:val="center"/>
          </w:tcPr>
          <w:p w14:paraId="7BBA709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):c.4516G&gt;A (p.Glu1506Lys)</w:t>
            </w:r>
          </w:p>
        </w:tc>
        <w:tc>
          <w:tcPr>
            <w:tcW w:w="751" w:type="dxa"/>
            <w:shd w:val="clear" w:color="auto" w:fill="auto"/>
            <w:tcMar>
              <w:top w:w="-36" w:type="dxa"/>
              <w:left w:w="-36" w:type="dxa"/>
              <w:bottom w:w="-36" w:type="dxa"/>
              <w:right w:w="-36" w:type="dxa"/>
            </w:tcMar>
            <w:vAlign w:val="center"/>
          </w:tcPr>
          <w:p w14:paraId="3A7F2AF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E1506K, E1507K, E1505K, E1528K</w:t>
            </w:r>
          </w:p>
        </w:tc>
        <w:tc>
          <w:tcPr>
            <w:tcW w:w="2671" w:type="dxa"/>
            <w:shd w:val="clear" w:color="auto" w:fill="auto"/>
            <w:tcMar>
              <w:top w:w="-36" w:type="dxa"/>
              <w:left w:w="-36" w:type="dxa"/>
              <w:bottom w:w="-36" w:type="dxa"/>
              <w:right w:w="-36" w:type="dxa"/>
            </w:tcMar>
            <w:vAlign w:val="center"/>
          </w:tcPr>
          <w:p w14:paraId="3B9F861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|Hyperinsulinemic hypoglycemia, familial, 1</w:t>
            </w:r>
          </w:p>
        </w:tc>
      </w:tr>
      <w:tr w:rsidR="00297968" w:rsidRPr="001F4278" w14:paraId="5C0A4762" w14:textId="77777777" w:rsidTr="00DE5EC2">
        <w:trPr>
          <w:jc w:val="center"/>
        </w:trPr>
        <w:tc>
          <w:tcPr>
            <w:tcW w:w="798" w:type="dxa"/>
            <w:shd w:val="clear" w:color="auto" w:fill="auto"/>
            <w:tcMar>
              <w:top w:w="-36" w:type="dxa"/>
              <w:left w:w="-36" w:type="dxa"/>
              <w:bottom w:w="-36" w:type="dxa"/>
              <w:right w:w="-36" w:type="dxa"/>
            </w:tcMar>
            <w:vAlign w:val="center"/>
          </w:tcPr>
          <w:p w14:paraId="127B006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ABCC8</w:t>
            </w:r>
          </w:p>
        </w:tc>
        <w:tc>
          <w:tcPr>
            <w:tcW w:w="1391" w:type="dxa"/>
            <w:shd w:val="clear" w:color="auto" w:fill="auto"/>
            <w:tcMar>
              <w:top w:w="-36" w:type="dxa"/>
              <w:left w:w="-36" w:type="dxa"/>
              <w:bottom w:w="-36" w:type="dxa"/>
              <w:right w:w="-36" w:type="dxa"/>
            </w:tcMar>
            <w:vAlign w:val="center"/>
          </w:tcPr>
          <w:p w14:paraId="13CC4A44"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NC_000011.10:17394378:C:T</w:t>
            </w:r>
          </w:p>
        </w:tc>
        <w:tc>
          <w:tcPr>
            <w:tcW w:w="2246" w:type="dxa"/>
            <w:gridSpan w:val="2"/>
            <w:shd w:val="clear" w:color="auto" w:fill="auto"/>
            <w:tcMar>
              <w:top w:w="-36" w:type="dxa"/>
              <w:left w:w="-36" w:type="dxa"/>
              <w:bottom w:w="-36" w:type="dxa"/>
              <w:right w:w="-36" w:type="dxa"/>
            </w:tcMar>
            <w:vAlign w:val="center"/>
          </w:tcPr>
          <w:p w14:paraId="1F49BF1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NM_000352.6(</w:t>
            </w:r>
            <w:r w:rsidRPr="001F4278">
              <w:rPr>
                <w:rFonts w:eastAsia="Calibri" w:cs="Calibri"/>
                <w:i/>
                <w:iCs/>
              </w:rPr>
              <w:t>ABCC8</w:t>
            </w:r>
            <w:r w:rsidRPr="001F4278">
              <w:rPr>
                <w:rFonts w:eastAsia="Calibri" w:cs="Calibri"/>
              </w:rPr>
              <w:t>):c.4432G&gt;A (p.Gly1478Arg)</w:t>
            </w:r>
          </w:p>
        </w:tc>
        <w:tc>
          <w:tcPr>
            <w:tcW w:w="751" w:type="dxa"/>
            <w:shd w:val="clear" w:color="auto" w:fill="auto"/>
            <w:tcMar>
              <w:top w:w="-36" w:type="dxa"/>
              <w:left w:w="-36" w:type="dxa"/>
              <w:bottom w:w="-36" w:type="dxa"/>
              <w:right w:w="-36" w:type="dxa"/>
            </w:tcMar>
            <w:vAlign w:val="center"/>
          </w:tcPr>
          <w:p w14:paraId="6B3390A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 xml:space="preserve">G1478R, G1479R, </w:t>
            </w:r>
            <w:r w:rsidRPr="001F4278">
              <w:rPr>
                <w:rFonts w:eastAsia="Calibri" w:cs="Calibri"/>
              </w:rPr>
              <w:lastRenderedPageBreak/>
              <w:t>G1477R, G1500R</w:t>
            </w:r>
          </w:p>
        </w:tc>
        <w:tc>
          <w:tcPr>
            <w:tcW w:w="2671" w:type="dxa"/>
            <w:shd w:val="clear" w:color="auto" w:fill="auto"/>
            <w:tcMar>
              <w:top w:w="-36" w:type="dxa"/>
              <w:left w:w="-36" w:type="dxa"/>
              <w:bottom w:w="-36" w:type="dxa"/>
              <w:right w:w="-36" w:type="dxa"/>
            </w:tcMar>
            <w:vAlign w:val="center"/>
          </w:tcPr>
          <w:p w14:paraId="3441D161"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lastRenderedPageBreak/>
              <w:t xml:space="preserve">Hyperinsulinemic hypoglycemia, familial, 1||Transient neonatal diabetes mellitus 2|Type II diabetes </w:t>
            </w:r>
            <w:r w:rsidRPr="001F4278">
              <w:rPr>
                <w:rFonts w:eastAsia="Calibri" w:cs="Calibri"/>
              </w:rPr>
              <w:lastRenderedPageBreak/>
              <w:t>mellitus|Leucine-induced hypoglycemia|Permanent neonatal diabetes mellitus|Hyperinsulinemic hypoglycemia, familial, 1</w:t>
            </w:r>
          </w:p>
        </w:tc>
      </w:tr>
      <w:tr w:rsidR="00297968" w:rsidRPr="001F4278" w14:paraId="50648FF7" w14:textId="77777777" w:rsidTr="00DE5EC2">
        <w:trPr>
          <w:jc w:val="center"/>
        </w:trPr>
        <w:tc>
          <w:tcPr>
            <w:tcW w:w="798" w:type="dxa"/>
            <w:shd w:val="clear" w:color="auto" w:fill="auto"/>
            <w:tcMar>
              <w:top w:w="-36" w:type="dxa"/>
              <w:left w:w="-36" w:type="dxa"/>
              <w:bottom w:w="-36" w:type="dxa"/>
              <w:right w:w="-36" w:type="dxa"/>
            </w:tcMar>
            <w:vAlign w:val="center"/>
          </w:tcPr>
          <w:p w14:paraId="11616FF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lastRenderedPageBreak/>
              <w:t>ABCC8</w:t>
            </w:r>
          </w:p>
        </w:tc>
        <w:tc>
          <w:tcPr>
            <w:tcW w:w="1391" w:type="dxa"/>
            <w:shd w:val="clear" w:color="auto" w:fill="auto"/>
            <w:tcMar>
              <w:top w:w="-36" w:type="dxa"/>
              <w:left w:w="-36" w:type="dxa"/>
              <w:bottom w:w="-36" w:type="dxa"/>
              <w:right w:w="-36" w:type="dxa"/>
            </w:tcMar>
            <w:vAlign w:val="center"/>
          </w:tcPr>
          <w:p w14:paraId="6210354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NC_000011.10:17402670:G:A</w:t>
            </w:r>
          </w:p>
        </w:tc>
        <w:tc>
          <w:tcPr>
            <w:tcW w:w="2246" w:type="dxa"/>
            <w:gridSpan w:val="2"/>
            <w:shd w:val="clear" w:color="auto" w:fill="auto"/>
            <w:tcMar>
              <w:top w:w="-36" w:type="dxa"/>
              <w:left w:w="-36" w:type="dxa"/>
              <w:bottom w:w="-36" w:type="dxa"/>
              <w:right w:w="-36" w:type="dxa"/>
            </w:tcMar>
            <w:vAlign w:val="center"/>
          </w:tcPr>
          <w:p w14:paraId="22D81479" w14:textId="77777777" w:rsidR="00297968" w:rsidRPr="00CE677F" w:rsidRDefault="00297968" w:rsidP="00DE5EC2">
            <w:pPr>
              <w:autoSpaceDE w:val="0"/>
              <w:autoSpaceDN w:val="0"/>
              <w:adjustRightInd w:val="0"/>
              <w:snapToGrid w:val="0"/>
              <w:spacing w:line="240" w:lineRule="auto"/>
              <w:jc w:val="center"/>
              <w:rPr>
                <w:rFonts w:eastAsia="Palatino Linotype" w:cs="Palatino Linotype"/>
                <w:lang w:val="fr-FR"/>
              </w:rPr>
            </w:pPr>
            <w:r w:rsidRPr="00CE677F">
              <w:rPr>
                <w:rFonts w:eastAsia="Calibri" w:cs="Calibri"/>
                <w:lang w:val="fr-FR"/>
              </w:rPr>
              <w:t>NM_000352.6(</w:t>
            </w:r>
            <w:r w:rsidRPr="00CE677F">
              <w:rPr>
                <w:rFonts w:eastAsia="Calibri" w:cs="Calibri"/>
                <w:i/>
                <w:iCs/>
                <w:lang w:val="fr-FR"/>
              </w:rPr>
              <w:t>ABCC8</w:t>
            </w:r>
            <w:r w:rsidRPr="00CE677F">
              <w:rPr>
                <w:rFonts w:eastAsia="Calibri" w:cs="Calibri"/>
                <w:lang w:val="fr-FR"/>
              </w:rPr>
              <w:t>):c.3640C&gt;T (p.Arg1214Trp)</w:t>
            </w:r>
          </w:p>
        </w:tc>
        <w:tc>
          <w:tcPr>
            <w:tcW w:w="751" w:type="dxa"/>
            <w:shd w:val="clear" w:color="auto" w:fill="auto"/>
            <w:tcMar>
              <w:top w:w="-36" w:type="dxa"/>
              <w:left w:w="-36" w:type="dxa"/>
              <w:bottom w:w="-36" w:type="dxa"/>
              <w:right w:w="-36" w:type="dxa"/>
            </w:tcMar>
            <w:vAlign w:val="center"/>
          </w:tcPr>
          <w:p w14:paraId="5696243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R1214W, R1215W, R1213W, R1236W</w:t>
            </w:r>
          </w:p>
        </w:tc>
        <w:tc>
          <w:tcPr>
            <w:tcW w:w="2671" w:type="dxa"/>
            <w:shd w:val="clear" w:color="auto" w:fill="auto"/>
            <w:tcMar>
              <w:top w:w="-36" w:type="dxa"/>
              <w:left w:w="-36" w:type="dxa"/>
              <w:bottom w:w="-36" w:type="dxa"/>
              <w:right w:w="-36" w:type="dxa"/>
            </w:tcMar>
            <w:vAlign w:val="center"/>
          </w:tcPr>
          <w:p w14:paraId="58F8765F"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Familial hyperinsulinism|Hereditary</w:t>
            </w:r>
          </w:p>
          <w:p w14:paraId="4EE20848"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hyperinsulinism|Hyperinsulinemic hypoglycemia, familial, 1|</w:t>
            </w:r>
          </w:p>
        </w:tc>
      </w:tr>
      <w:tr w:rsidR="00297968" w:rsidRPr="001F4278" w14:paraId="4BB7C136" w14:textId="77777777" w:rsidTr="00DE5EC2">
        <w:trPr>
          <w:jc w:val="center"/>
        </w:trPr>
        <w:tc>
          <w:tcPr>
            <w:tcW w:w="798" w:type="dxa"/>
            <w:shd w:val="clear" w:color="auto" w:fill="auto"/>
            <w:tcMar>
              <w:top w:w="-36" w:type="dxa"/>
              <w:left w:w="-36" w:type="dxa"/>
              <w:bottom w:w="-36" w:type="dxa"/>
              <w:right w:w="-36" w:type="dxa"/>
            </w:tcMar>
            <w:vAlign w:val="center"/>
          </w:tcPr>
          <w:p w14:paraId="3CF3E074"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i/>
                <w:iCs/>
              </w:rPr>
            </w:pPr>
            <w:r w:rsidRPr="001F4278">
              <w:rPr>
                <w:rFonts w:eastAsia="Calibri" w:cs="Calibri"/>
                <w:i/>
                <w:iCs/>
              </w:rPr>
              <w:t>ABCC9</w:t>
            </w:r>
          </w:p>
        </w:tc>
        <w:tc>
          <w:tcPr>
            <w:tcW w:w="1391" w:type="dxa"/>
            <w:shd w:val="clear" w:color="auto" w:fill="auto"/>
            <w:tcMar>
              <w:top w:w="-36" w:type="dxa"/>
              <w:left w:w="-36" w:type="dxa"/>
              <w:bottom w:w="-36" w:type="dxa"/>
              <w:right w:w="-36" w:type="dxa"/>
            </w:tcMar>
            <w:vAlign w:val="center"/>
          </w:tcPr>
          <w:p w14:paraId="72F6A74B"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NC_000012.12:21842439:C:T</w:t>
            </w:r>
          </w:p>
        </w:tc>
        <w:tc>
          <w:tcPr>
            <w:tcW w:w="2246" w:type="dxa"/>
            <w:gridSpan w:val="2"/>
            <w:shd w:val="clear" w:color="auto" w:fill="auto"/>
            <w:tcMar>
              <w:top w:w="-36" w:type="dxa"/>
              <w:left w:w="-36" w:type="dxa"/>
              <w:bottom w:w="-36" w:type="dxa"/>
              <w:right w:w="-36" w:type="dxa"/>
            </w:tcMar>
            <w:vAlign w:val="center"/>
          </w:tcPr>
          <w:p w14:paraId="7B7CCA53"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NM_020297.4(</w:t>
            </w:r>
            <w:r w:rsidRPr="001F4278">
              <w:rPr>
                <w:rFonts w:eastAsia="Calibri" w:cs="Calibri"/>
                <w:i/>
                <w:iCs/>
              </w:rPr>
              <w:t>ABCC9</w:t>
            </w:r>
            <w:r w:rsidRPr="001F4278">
              <w:rPr>
                <w:rFonts w:eastAsia="Calibri" w:cs="Calibri"/>
              </w:rPr>
              <w:t>):c.3347G&gt;A (p.Arg1116His)</w:t>
            </w:r>
          </w:p>
        </w:tc>
        <w:tc>
          <w:tcPr>
            <w:tcW w:w="751" w:type="dxa"/>
            <w:shd w:val="clear" w:color="auto" w:fill="auto"/>
            <w:tcMar>
              <w:top w:w="-36" w:type="dxa"/>
              <w:left w:w="-36" w:type="dxa"/>
              <w:bottom w:w="-36" w:type="dxa"/>
              <w:right w:w="-36" w:type="dxa"/>
            </w:tcMar>
            <w:vAlign w:val="center"/>
          </w:tcPr>
          <w:p w14:paraId="7D6AC98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R1116H, R827H</w:t>
            </w:r>
          </w:p>
        </w:tc>
        <w:tc>
          <w:tcPr>
            <w:tcW w:w="2671" w:type="dxa"/>
            <w:shd w:val="clear" w:color="auto" w:fill="auto"/>
            <w:tcMar>
              <w:top w:w="-36" w:type="dxa"/>
              <w:left w:w="-36" w:type="dxa"/>
              <w:bottom w:w="-36" w:type="dxa"/>
              <w:right w:w="-36" w:type="dxa"/>
            </w:tcMar>
            <w:vAlign w:val="center"/>
          </w:tcPr>
          <w:p w14:paraId="04C18E12"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Dilated cardiomyopathy 1O||Hypertrichotic</w:t>
            </w:r>
          </w:p>
          <w:p w14:paraId="1073F62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osteochondrodysplasia Cantu type</w:t>
            </w:r>
          </w:p>
        </w:tc>
      </w:tr>
      <w:tr w:rsidR="00297968" w:rsidRPr="001F4278" w14:paraId="457265BB" w14:textId="77777777" w:rsidTr="00DE5EC2">
        <w:trPr>
          <w:jc w:val="center"/>
        </w:trPr>
        <w:tc>
          <w:tcPr>
            <w:tcW w:w="798" w:type="dxa"/>
            <w:shd w:val="clear" w:color="auto" w:fill="auto"/>
            <w:tcMar>
              <w:top w:w="-36" w:type="dxa"/>
              <w:left w:w="-36" w:type="dxa"/>
              <w:bottom w:w="-36" w:type="dxa"/>
              <w:right w:w="-36" w:type="dxa"/>
            </w:tcMar>
            <w:vAlign w:val="center"/>
          </w:tcPr>
          <w:p w14:paraId="637C1C8A"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ABCC9</w:t>
            </w:r>
          </w:p>
        </w:tc>
        <w:tc>
          <w:tcPr>
            <w:tcW w:w="1391" w:type="dxa"/>
            <w:shd w:val="clear" w:color="auto" w:fill="auto"/>
            <w:tcMar>
              <w:top w:w="-36" w:type="dxa"/>
              <w:left w:w="-36" w:type="dxa"/>
              <w:bottom w:w="-36" w:type="dxa"/>
              <w:right w:w="-36" w:type="dxa"/>
            </w:tcMar>
            <w:vAlign w:val="center"/>
          </w:tcPr>
          <w:p w14:paraId="2B5FD7DD"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NC_000012.12:21842440:G:A</w:t>
            </w:r>
          </w:p>
        </w:tc>
        <w:tc>
          <w:tcPr>
            <w:tcW w:w="2246" w:type="dxa"/>
            <w:gridSpan w:val="2"/>
            <w:shd w:val="clear" w:color="auto" w:fill="auto"/>
            <w:tcMar>
              <w:top w:w="-36" w:type="dxa"/>
              <w:left w:w="-36" w:type="dxa"/>
              <w:bottom w:w="-36" w:type="dxa"/>
              <w:right w:w="-36" w:type="dxa"/>
            </w:tcMar>
            <w:vAlign w:val="center"/>
          </w:tcPr>
          <w:p w14:paraId="16E90B2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lang w:val="fr-FR"/>
              </w:rPr>
            </w:pPr>
            <w:r w:rsidRPr="001F4278">
              <w:rPr>
                <w:rFonts w:eastAsia="Calibri" w:cs="Calibri"/>
                <w:lang w:val="fr-FR"/>
              </w:rPr>
              <w:t>NM_020297.4(</w:t>
            </w:r>
            <w:r w:rsidRPr="001F4278">
              <w:rPr>
                <w:rFonts w:eastAsia="Calibri" w:cs="Calibri"/>
                <w:i/>
                <w:iCs/>
                <w:lang w:val="fr-FR"/>
              </w:rPr>
              <w:t>ABCC9</w:t>
            </w:r>
            <w:r w:rsidRPr="001F4278">
              <w:rPr>
                <w:rFonts w:eastAsia="Calibri" w:cs="Calibri"/>
                <w:lang w:val="fr-FR"/>
              </w:rPr>
              <w:t>):c.3346C&gt;T (p.Arg1116Cys)</w:t>
            </w:r>
          </w:p>
        </w:tc>
        <w:tc>
          <w:tcPr>
            <w:tcW w:w="751" w:type="dxa"/>
            <w:shd w:val="clear" w:color="auto" w:fill="auto"/>
            <w:tcMar>
              <w:top w:w="-36" w:type="dxa"/>
              <w:left w:w="-36" w:type="dxa"/>
              <w:bottom w:w="-36" w:type="dxa"/>
              <w:right w:w="-36" w:type="dxa"/>
            </w:tcMar>
            <w:vAlign w:val="center"/>
          </w:tcPr>
          <w:p w14:paraId="055ED202"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R1116C, R827C</w:t>
            </w:r>
          </w:p>
        </w:tc>
        <w:tc>
          <w:tcPr>
            <w:tcW w:w="2671" w:type="dxa"/>
            <w:shd w:val="clear" w:color="auto" w:fill="auto"/>
            <w:tcMar>
              <w:top w:w="-36" w:type="dxa"/>
              <w:left w:w="-36" w:type="dxa"/>
              <w:bottom w:w="-36" w:type="dxa"/>
              <w:right w:w="-36" w:type="dxa"/>
            </w:tcMar>
            <w:vAlign w:val="center"/>
          </w:tcPr>
          <w:p w14:paraId="21AB5897"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Dilated cardiomyopathy 1O|Kleefstra syndrome 1||Hypertrichotic osteochondrodysplasia Cantu type</w:t>
            </w:r>
          </w:p>
        </w:tc>
      </w:tr>
      <w:tr w:rsidR="00297968" w:rsidRPr="001F4278" w14:paraId="7F20A84F" w14:textId="77777777" w:rsidTr="00DE5EC2">
        <w:trPr>
          <w:jc w:val="center"/>
        </w:trPr>
        <w:tc>
          <w:tcPr>
            <w:tcW w:w="798" w:type="dxa"/>
            <w:shd w:val="clear" w:color="auto" w:fill="auto"/>
            <w:tcMar>
              <w:top w:w="-36" w:type="dxa"/>
              <w:left w:w="-36" w:type="dxa"/>
              <w:bottom w:w="-36" w:type="dxa"/>
              <w:right w:w="-36" w:type="dxa"/>
            </w:tcMar>
            <w:vAlign w:val="center"/>
          </w:tcPr>
          <w:p w14:paraId="50B59EB5"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ABCC9</w:t>
            </w:r>
          </w:p>
        </w:tc>
        <w:tc>
          <w:tcPr>
            <w:tcW w:w="1391" w:type="dxa"/>
            <w:shd w:val="clear" w:color="auto" w:fill="auto"/>
            <w:tcMar>
              <w:top w:w="-36" w:type="dxa"/>
              <w:left w:w="-36" w:type="dxa"/>
              <w:bottom w:w="-36" w:type="dxa"/>
              <w:right w:w="-36" w:type="dxa"/>
            </w:tcMar>
            <w:vAlign w:val="center"/>
          </w:tcPr>
          <w:p w14:paraId="6296758C"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NC_000012.12:21842325:C:T</w:t>
            </w:r>
          </w:p>
        </w:tc>
        <w:tc>
          <w:tcPr>
            <w:tcW w:w="2246" w:type="dxa"/>
            <w:gridSpan w:val="2"/>
            <w:shd w:val="clear" w:color="auto" w:fill="auto"/>
            <w:tcMar>
              <w:top w:w="-36" w:type="dxa"/>
              <w:left w:w="-36" w:type="dxa"/>
              <w:bottom w:w="-36" w:type="dxa"/>
              <w:right w:w="-36" w:type="dxa"/>
            </w:tcMar>
            <w:vAlign w:val="center"/>
          </w:tcPr>
          <w:p w14:paraId="41285600"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NM_020297.4(</w:t>
            </w:r>
            <w:r w:rsidRPr="001F4278">
              <w:rPr>
                <w:rFonts w:eastAsia="Calibri" w:cs="Calibri"/>
                <w:i/>
                <w:iCs/>
              </w:rPr>
              <w:t>ABCC9</w:t>
            </w:r>
            <w:r w:rsidRPr="001F4278">
              <w:rPr>
                <w:rFonts w:eastAsia="Calibri" w:cs="Calibri"/>
              </w:rPr>
              <w:t>):c.3461G&gt;A (p.Arg1154Gln)</w:t>
            </w:r>
          </w:p>
        </w:tc>
        <w:tc>
          <w:tcPr>
            <w:tcW w:w="751" w:type="dxa"/>
            <w:shd w:val="clear" w:color="auto" w:fill="auto"/>
            <w:tcMar>
              <w:top w:w="-36" w:type="dxa"/>
              <w:left w:w="-36" w:type="dxa"/>
              <w:bottom w:w="-36" w:type="dxa"/>
              <w:right w:w="-36" w:type="dxa"/>
            </w:tcMar>
            <w:vAlign w:val="center"/>
          </w:tcPr>
          <w:p w14:paraId="4378052F"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R1154Q, R865Q</w:t>
            </w:r>
          </w:p>
        </w:tc>
        <w:tc>
          <w:tcPr>
            <w:tcW w:w="2671" w:type="dxa"/>
            <w:shd w:val="clear" w:color="auto" w:fill="auto"/>
            <w:tcMar>
              <w:top w:w="-36" w:type="dxa"/>
              <w:left w:w="-36" w:type="dxa"/>
              <w:bottom w:w="-36" w:type="dxa"/>
              <w:right w:w="-36" w:type="dxa"/>
            </w:tcMar>
            <w:vAlign w:val="center"/>
          </w:tcPr>
          <w:p w14:paraId="6E6BA4FA"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Dilated cardiomyopathy 1O|Hypertrichotic</w:t>
            </w:r>
          </w:p>
          <w:p w14:paraId="32A500E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osteochondrodysplasia Cantu type|</w:t>
            </w:r>
          </w:p>
        </w:tc>
      </w:tr>
      <w:tr w:rsidR="00297968" w:rsidRPr="001F4278" w14:paraId="0684A6FC" w14:textId="77777777" w:rsidTr="00DE5EC2">
        <w:trPr>
          <w:jc w:val="center"/>
        </w:trPr>
        <w:tc>
          <w:tcPr>
            <w:tcW w:w="798" w:type="dxa"/>
            <w:shd w:val="clear" w:color="auto" w:fill="auto"/>
            <w:tcMar>
              <w:top w:w="-36" w:type="dxa"/>
              <w:left w:w="-36" w:type="dxa"/>
              <w:bottom w:w="-36" w:type="dxa"/>
              <w:right w:w="-36" w:type="dxa"/>
            </w:tcMar>
            <w:vAlign w:val="center"/>
          </w:tcPr>
          <w:p w14:paraId="22E5CB5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i/>
                <w:iCs/>
              </w:rPr>
              <w:t>ABCC9</w:t>
            </w:r>
          </w:p>
        </w:tc>
        <w:tc>
          <w:tcPr>
            <w:tcW w:w="1391" w:type="dxa"/>
            <w:shd w:val="clear" w:color="auto" w:fill="auto"/>
            <w:tcMar>
              <w:top w:w="-36" w:type="dxa"/>
              <w:left w:w="-36" w:type="dxa"/>
              <w:bottom w:w="-36" w:type="dxa"/>
              <w:right w:w="-36" w:type="dxa"/>
            </w:tcMar>
            <w:vAlign w:val="center"/>
          </w:tcPr>
          <w:p w14:paraId="64B6D77E"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NC_000012.12:21842326:G:A</w:t>
            </w:r>
          </w:p>
        </w:tc>
        <w:tc>
          <w:tcPr>
            <w:tcW w:w="2246" w:type="dxa"/>
            <w:gridSpan w:val="2"/>
            <w:shd w:val="clear" w:color="auto" w:fill="auto"/>
            <w:tcMar>
              <w:top w:w="-36" w:type="dxa"/>
              <w:left w:w="-36" w:type="dxa"/>
              <w:bottom w:w="-36" w:type="dxa"/>
              <w:right w:w="-36" w:type="dxa"/>
            </w:tcMar>
            <w:vAlign w:val="center"/>
          </w:tcPr>
          <w:p w14:paraId="5575E586" w14:textId="77777777" w:rsidR="00297968" w:rsidRPr="00CE677F" w:rsidRDefault="00297968" w:rsidP="00DE5EC2">
            <w:pPr>
              <w:autoSpaceDE w:val="0"/>
              <w:autoSpaceDN w:val="0"/>
              <w:adjustRightInd w:val="0"/>
              <w:snapToGrid w:val="0"/>
              <w:spacing w:line="240" w:lineRule="auto"/>
              <w:jc w:val="center"/>
              <w:rPr>
                <w:rFonts w:eastAsia="Palatino Linotype" w:cs="Palatino Linotype"/>
                <w:lang w:val="fr-FR"/>
              </w:rPr>
            </w:pPr>
            <w:r w:rsidRPr="00CE677F">
              <w:rPr>
                <w:rFonts w:eastAsia="Calibri" w:cs="Calibri"/>
                <w:lang w:val="fr-FR"/>
              </w:rPr>
              <w:t>NM_020297.4(</w:t>
            </w:r>
            <w:r w:rsidRPr="00CE677F">
              <w:rPr>
                <w:rFonts w:eastAsia="Calibri" w:cs="Calibri"/>
                <w:i/>
                <w:iCs/>
                <w:lang w:val="fr-FR"/>
              </w:rPr>
              <w:t>ABCC9</w:t>
            </w:r>
            <w:r w:rsidRPr="00CE677F">
              <w:rPr>
                <w:rFonts w:eastAsia="Calibri" w:cs="Calibri"/>
                <w:lang w:val="fr-FR"/>
              </w:rPr>
              <w:t>):c.3460C&gt;T (p.Arg1154Trp)</w:t>
            </w:r>
          </w:p>
        </w:tc>
        <w:tc>
          <w:tcPr>
            <w:tcW w:w="751" w:type="dxa"/>
            <w:shd w:val="clear" w:color="auto" w:fill="auto"/>
            <w:tcMar>
              <w:top w:w="-36" w:type="dxa"/>
              <w:left w:w="-36" w:type="dxa"/>
              <w:bottom w:w="-36" w:type="dxa"/>
              <w:right w:w="-36" w:type="dxa"/>
            </w:tcMar>
            <w:vAlign w:val="center"/>
          </w:tcPr>
          <w:p w14:paraId="26F31CF9"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R1154W, R865W</w:t>
            </w:r>
          </w:p>
        </w:tc>
        <w:tc>
          <w:tcPr>
            <w:tcW w:w="2671" w:type="dxa"/>
            <w:shd w:val="clear" w:color="auto" w:fill="auto"/>
            <w:tcMar>
              <w:top w:w="-36" w:type="dxa"/>
              <w:left w:w="-36" w:type="dxa"/>
              <w:bottom w:w="-36" w:type="dxa"/>
              <w:right w:w="-36" w:type="dxa"/>
            </w:tcMar>
            <w:vAlign w:val="center"/>
          </w:tcPr>
          <w:p w14:paraId="57AB4762"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|Hypertrichotic osteochondrodysplasia Cantu</w:t>
            </w:r>
          </w:p>
          <w:p w14:paraId="60DE6D04"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type|Dilated cardiomyopathy 1O|Tapered finger|Coarse facial features|Joint</w:t>
            </w:r>
          </w:p>
          <w:p w14:paraId="50091A4E"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hypermobility|Abnormal facial shape|Patent ductus arteriosus|Bulbous</w:t>
            </w:r>
          </w:p>
          <w:p w14:paraId="0842F2BD" w14:textId="77777777" w:rsidR="00297968" w:rsidRPr="001F4278" w:rsidRDefault="00297968" w:rsidP="00DE5EC2">
            <w:pPr>
              <w:autoSpaceDE w:val="0"/>
              <w:autoSpaceDN w:val="0"/>
              <w:adjustRightInd w:val="0"/>
              <w:snapToGrid w:val="0"/>
              <w:spacing w:line="240" w:lineRule="auto"/>
              <w:jc w:val="center"/>
              <w:rPr>
                <w:rFonts w:eastAsia="Calibri" w:cs="Calibri"/>
              </w:rPr>
            </w:pPr>
            <w:r w:rsidRPr="001F4278">
              <w:rPr>
                <w:rFonts w:eastAsia="Calibri" w:cs="Calibri"/>
              </w:rPr>
              <w:t xml:space="preserve"> nose|Micrognathia|Depressed nasal-bridge|Macrocephalus|Left ventricular hypertrophy|Large hands|Abnormality of the face|Low anterior hairline|Thick upper lip vermilion|Epicanthus</w:t>
            </w:r>
          </w:p>
          <w:p w14:paraId="0B66EC51" w14:textId="77777777" w:rsidR="00297968" w:rsidRPr="001F4278" w:rsidRDefault="00297968" w:rsidP="00DE5EC2">
            <w:pPr>
              <w:autoSpaceDE w:val="0"/>
              <w:autoSpaceDN w:val="0"/>
              <w:adjustRightInd w:val="0"/>
              <w:snapToGrid w:val="0"/>
              <w:spacing w:line="240" w:lineRule="auto"/>
              <w:jc w:val="center"/>
              <w:rPr>
                <w:rFonts w:eastAsia="Palatino Linotype" w:cs="Palatino Linotype"/>
              </w:rPr>
            </w:pPr>
            <w:r w:rsidRPr="001F4278">
              <w:rPr>
                <w:rFonts w:eastAsia="Calibri" w:cs="Calibri"/>
              </w:rPr>
              <w:t xml:space="preserve"> </w:t>
            </w:r>
          </w:p>
        </w:tc>
      </w:tr>
    </w:tbl>
    <w:p w14:paraId="2A06D6EF" w14:textId="77777777" w:rsidR="00297968" w:rsidRDefault="00297968" w:rsidP="00297968"/>
    <w:p w14:paraId="3556BA88" w14:textId="77777777" w:rsidR="00297968" w:rsidRDefault="00297968" w:rsidP="000B2301">
      <w:pPr>
        <w:pStyle w:val="MDPI41tablecaption"/>
        <w:jc w:val="both"/>
        <w:rPr>
          <w:rFonts w:eastAsia="Palatino Linotype"/>
          <w:b/>
          <w:sz w:val="20"/>
          <w:szCs w:val="20"/>
        </w:rPr>
      </w:pPr>
    </w:p>
    <w:p w14:paraId="0F7DA7CB" w14:textId="77777777" w:rsidR="00297968" w:rsidRDefault="00297968" w:rsidP="000B2301">
      <w:pPr>
        <w:pStyle w:val="MDPI41tablecaption"/>
        <w:jc w:val="both"/>
        <w:rPr>
          <w:rFonts w:eastAsia="Palatino Linotype"/>
          <w:b/>
          <w:sz w:val="20"/>
          <w:szCs w:val="20"/>
        </w:rPr>
      </w:pPr>
    </w:p>
    <w:p w14:paraId="65BA507C" w14:textId="166EFEEA" w:rsidR="00297968" w:rsidRDefault="00297968" w:rsidP="000B2301">
      <w:pPr>
        <w:pStyle w:val="MDPI41tablecaption"/>
        <w:jc w:val="both"/>
        <w:rPr>
          <w:rFonts w:eastAsia="Palatino Linotype"/>
          <w:b/>
          <w:sz w:val="20"/>
          <w:szCs w:val="20"/>
        </w:rPr>
      </w:pPr>
    </w:p>
    <w:p w14:paraId="3B362229" w14:textId="26C95FDB" w:rsidR="00C11D8E" w:rsidRDefault="00C11D8E" w:rsidP="000B2301">
      <w:pPr>
        <w:pStyle w:val="MDPI41tablecaption"/>
        <w:jc w:val="both"/>
        <w:rPr>
          <w:rFonts w:eastAsia="Palatino Linotype"/>
          <w:b/>
          <w:sz w:val="20"/>
          <w:szCs w:val="20"/>
        </w:rPr>
      </w:pPr>
    </w:p>
    <w:p w14:paraId="166F09B0" w14:textId="3CD35019" w:rsidR="00C11D8E" w:rsidRDefault="00C11D8E" w:rsidP="000B2301">
      <w:pPr>
        <w:pStyle w:val="MDPI41tablecaption"/>
        <w:jc w:val="both"/>
        <w:rPr>
          <w:rFonts w:eastAsia="Palatino Linotype"/>
          <w:b/>
          <w:sz w:val="20"/>
          <w:szCs w:val="20"/>
        </w:rPr>
      </w:pPr>
    </w:p>
    <w:p w14:paraId="11B49A8A" w14:textId="5899503C" w:rsidR="00C11D8E" w:rsidRDefault="00C11D8E" w:rsidP="000B2301">
      <w:pPr>
        <w:pStyle w:val="MDPI41tablecaption"/>
        <w:jc w:val="both"/>
        <w:rPr>
          <w:rFonts w:eastAsia="Palatino Linotype"/>
          <w:b/>
          <w:sz w:val="20"/>
          <w:szCs w:val="20"/>
        </w:rPr>
      </w:pPr>
    </w:p>
    <w:p w14:paraId="0CA7FF2B" w14:textId="23F4C148" w:rsidR="00C11D8E" w:rsidRDefault="00C11D8E" w:rsidP="000B2301">
      <w:pPr>
        <w:pStyle w:val="MDPI41tablecaption"/>
        <w:jc w:val="both"/>
        <w:rPr>
          <w:rFonts w:eastAsia="Palatino Linotype"/>
          <w:b/>
          <w:sz w:val="20"/>
          <w:szCs w:val="20"/>
        </w:rPr>
      </w:pPr>
    </w:p>
    <w:p w14:paraId="7FA7A485" w14:textId="5D5F7973" w:rsidR="00C11D8E" w:rsidRDefault="00C11D8E" w:rsidP="000B2301">
      <w:pPr>
        <w:pStyle w:val="MDPI41tablecaption"/>
        <w:jc w:val="both"/>
        <w:rPr>
          <w:rFonts w:eastAsia="Palatino Linotype"/>
          <w:b/>
          <w:sz w:val="20"/>
          <w:szCs w:val="20"/>
        </w:rPr>
      </w:pPr>
    </w:p>
    <w:p w14:paraId="32C329CA" w14:textId="0426EB46" w:rsidR="00C11D8E" w:rsidRDefault="00C11D8E" w:rsidP="000B2301">
      <w:pPr>
        <w:pStyle w:val="MDPI41tablecaption"/>
        <w:jc w:val="both"/>
        <w:rPr>
          <w:rFonts w:eastAsia="Palatino Linotype"/>
          <w:b/>
          <w:sz w:val="20"/>
          <w:szCs w:val="20"/>
        </w:rPr>
      </w:pPr>
    </w:p>
    <w:p w14:paraId="641C9B71" w14:textId="3884350A" w:rsidR="00C11D8E" w:rsidRDefault="00C11D8E" w:rsidP="000B2301">
      <w:pPr>
        <w:pStyle w:val="MDPI41tablecaption"/>
        <w:jc w:val="both"/>
        <w:rPr>
          <w:rFonts w:eastAsia="Palatino Linotype"/>
          <w:b/>
          <w:sz w:val="20"/>
          <w:szCs w:val="20"/>
        </w:rPr>
      </w:pPr>
    </w:p>
    <w:p w14:paraId="42F38531" w14:textId="13498A5C" w:rsidR="00C11D8E" w:rsidRDefault="00C11D8E" w:rsidP="000B2301">
      <w:pPr>
        <w:pStyle w:val="MDPI41tablecaption"/>
        <w:jc w:val="both"/>
        <w:rPr>
          <w:rFonts w:eastAsia="Palatino Linotype"/>
          <w:b/>
          <w:sz w:val="20"/>
          <w:szCs w:val="20"/>
        </w:rPr>
      </w:pPr>
    </w:p>
    <w:p w14:paraId="074DB1EF" w14:textId="4AAFCE61" w:rsidR="00C11D8E" w:rsidRDefault="00C11D8E" w:rsidP="000B2301">
      <w:pPr>
        <w:pStyle w:val="MDPI41tablecaption"/>
        <w:jc w:val="both"/>
        <w:rPr>
          <w:rFonts w:eastAsia="Palatino Linotype"/>
          <w:b/>
          <w:sz w:val="20"/>
          <w:szCs w:val="20"/>
        </w:rPr>
      </w:pPr>
    </w:p>
    <w:p w14:paraId="558D2DB0" w14:textId="241E9999" w:rsidR="00C11D8E" w:rsidRDefault="00C11D8E" w:rsidP="000B2301">
      <w:pPr>
        <w:pStyle w:val="MDPI41tablecaption"/>
        <w:jc w:val="both"/>
        <w:rPr>
          <w:rFonts w:eastAsia="Palatino Linotype"/>
          <w:b/>
          <w:sz w:val="20"/>
          <w:szCs w:val="20"/>
        </w:rPr>
      </w:pPr>
    </w:p>
    <w:p w14:paraId="6EBF06FB" w14:textId="317BC5EB" w:rsidR="00C11D8E" w:rsidRDefault="00C11D8E" w:rsidP="000B2301">
      <w:pPr>
        <w:pStyle w:val="MDPI41tablecaption"/>
        <w:jc w:val="both"/>
        <w:rPr>
          <w:rFonts w:eastAsia="Palatino Linotype"/>
          <w:b/>
          <w:sz w:val="20"/>
          <w:szCs w:val="20"/>
        </w:rPr>
      </w:pPr>
    </w:p>
    <w:p w14:paraId="74649039" w14:textId="77777777" w:rsidR="00C11D8E" w:rsidRDefault="00C11D8E" w:rsidP="000B2301">
      <w:pPr>
        <w:pStyle w:val="MDPI41tablecaption"/>
        <w:jc w:val="both"/>
        <w:rPr>
          <w:rFonts w:eastAsia="Palatino Linotype"/>
          <w:b/>
          <w:sz w:val="20"/>
          <w:szCs w:val="20"/>
        </w:rPr>
      </w:pPr>
    </w:p>
    <w:p w14:paraId="40EDA5E2" w14:textId="11F34B73" w:rsidR="000B2301" w:rsidRPr="00F25A40" w:rsidRDefault="000B2301" w:rsidP="00595621">
      <w:pPr>
        <w:pStyle w:val="MDPI41tablecaption"/>
        <w:ind w:left="0"/>
        <w:jc w:val="both"/>
        <w:rPr>
          <w:rFonts w:eastAsia="Palatino Linotype"/>
          <w:sz w:val="20"/>
          <w:szCs w:val="20"/>
        </w:rPr>
      </w:pPr>
      <w:r w:rsidRPr="00F25A40">
        <w:rPr>
          <w:rFonts w:eastAsia="Palatino Linotype"/>
          <w:b/>
          <w:sz w:val="20"/>
          <w:szCs w:val="20"/>
        </w:rPr>
        <w:t xml:space="preserve">Table </w:t>
      </w:r>
      <w:r w:rsidR="00C11D8E">
        <w:rPr>
          <w:rFonts w:eastAsia="Palatino Linotype"/>
          <w:b/>
          <w:sz w:val="20"/>
          <w:szCs w:val="20"/>
        </w:rPr>
        <w:t>2</w:t>
      </w:r>
      <w:r>
        <w:rPr>
          <w:rFonts w:eastAsia="Palatino Linotype"/>
          <w:b/>
          <w:sz w:val="20"/>
          <w:szCs w:val="20"/>
        </w:rPr>
        <w:t>S</w:t>
      </w:r>
      <w:r w:rsidRPr="00F25A40">
        <w:rPr>
          <w:rFonts w:eastAsia="Palatino Linotype"/>
          <w:b/>
          <w:sz w:val="20"/>
          <w:szCs w:val="20"/>
        </w:rPr>
        <w:t xml:space="preserve">. </w:t>
      </w:r>
      <w:r w:rsidRPr="00F25A40">
        <w:rPr>
          <w:rFonts w:eastAsia="Palatino Linotype"/>
          <w:sz w:val="20"/>
          <w:szCs w:val="20"/>
        </w:rPr>
        <w:t xml:space="preserve">- Data for genes </w:t>
      </w:r>
      <w:bookmarkStart w:id="0" w:name="_Hlk97401783"/>
      <w:r w:rsidRPr="00F25A40">
        <w:rPr>
          <w:rFonts w:eastAsia="Palatino Linotype"/>
          <w:i/>
          <w:iCs/>
          <w:sz w:val="20"/>
          <w:szCs w:val="20"/>
        </w:rPr>
        <w:t>ABCC8</w:t>
      </w:r>
      <w:r w:rsidRPr="00F25A40">
        <w:rPr>
          <w:rFonts w:eastAsia="Palatino Linotype"/>
          <w:sz w:val="20"/>
          <w:szCs w:val="20"/>
        </w:rPr>
        <w:t xml:space="preserve">/Sur1, </w:t>
      </w:r>
      <w:r w:rsidRPr="00F25A40">
        <w:rPr>
          <w:rFonts w:eastAsia="Palatino Linotype"/>
          <w:i/>
          <w:iCs/>
          <w:sz w:val="20"/>
          <w:szCs w:val="20"/>
        </w:rPr>
        <w:t>ABCC9</w:t>
      </w:r>
      <w:r w:rsidRPr="00F25A40">
        <w:rPr>
          <w:rFonts w:eastAsia="Palatino Linotype"/>
          <w:sz w:val="20"/>
          <w:szCs w:val="20"/>
        </w:rPr>
        <w:t xml:space="preserve">/Sur2, </w:t>
      </w:r>
      <w:r w:rsidRPr="00F25A40">
        <w:rPr>
          <w:rFonts w:eastAsia="Palatino Linotype"/>
          <w:i/>
          <w:iCs/>
          <w:sz w:val="20"/>
          <w:szCs w:val="20"/>
        </w:rPr>
        <w:t>KCNJ8</w:t>
      </w:r>
      <w:r w:rsidRPr="00F25A40">
        <w:rPr>
          <w:rFonts w:eastAsia="Palatino Linotype"/>
          <w:sz w:val="20"/>
          <w:szCs w:val="20"/>
        </w:rPr>
        <w:t xml:space="preserve">/Kir6.1, and </w:t>
      </w:r>
      <w:r w:rsidRPr="00F25A40">
        <w:rPr>
          <w:rFonts w:eastAsia="Palatino Linotype"/>
          <w:i/>
          <w:iCs/>
          <w:sz w:val="20"/>
          <w:szCs w:val="20"/>
        </w:rPr>
        <w:t>KCNJ11</w:t>
      </w:r>
      <w:r w:rsidRPr="00F25A40">
        <w:rPr>
          <w:rFonts w:eastAsia="Palatino Linotype"/>
          <w:sz w:val="20"/>
          <w:szCs w:val="20"/>
        </w:rPr>
        <w:t xml:space="preserve">/Kir6.2 </w:t>
      </w:r>
      <w:bookmarkEnd w:id="0"/>
      <w:r w:rsidRPr="00F25A40">
        <w:rPr>
          <w:rFonts w:eastAsia="Palatino Linotype"/>
          <w:sz w:val="20"/>
          <w:szCs w:val="20"/>
        </w:rPr>
        <w:t>was retrieved by browsing scientific literature extracted from PubMed through Gene and OMIM databases.</w:t>
      </w:r>
    </w:p>
    <w:tbl>
      <w:tblPr>
        <w:tblW w:w="10465" w:type="dxa"/>
        <w:jc w:val="center"/>
        <w:tblBorders>
          <w:top w:val="single" w:sz="8" w:space="0" w:color="auto"/>
          <w:bottom w:val="single" w:sz="8" w:space="0" w:color="auto"/>
          <w:insideH w:val="single" w:sz="4" w:space="0" w:color="auto"/>
        </w:tblBorders>
        <w:tblLayout w:type="fixed"/>
        <w:tblCellMar>
          <w:left w:w="0" w:type="dxa"/>
          <w:right w:w="0" w:type="dxa"/>
        </w:tblCellMar>
        <w:tblLook w:val="0000" w:firstRow="0" w:lastRow="0" w:firstColumn="0" w:lastColumn="0" w:noHBand="0" w:noVBand="0"/>
      </w:tblPr>
      <w:tblGrid>
        <w:gridCol w:w="2088"/>
        <w:gridCol w:w="1772"/>
        <w:gridCol w:w="2256"/>
        <w:gridCol w:w="2899"/>
        <w:gridCol w:w="1450"/>
      </w:tblGrid>
      <w:tr w:rsidR="00CE677F" w:rsidRPr="00F25A40" w14:paraId="639A4F5C" w14:textId="77777777" w:rsidTr="00C40F02">
        <w:trPr>
          <w:jc w:val="center"/>
        </w:trPr>
        <w:tc>
          <w:tcPr>
            <w:tcW w:w="1838" w:type="dxa"/>
            <w:tcBorders>
              <w:top w:val="single" w:sz="8" w:space="0" w:color="auto"/>
              <w:bottom w:val="single" w:sz="4" w:space="0" w:color="auto"/>
            </w:tcBorders>
            <w:shd w:val="clear" w:color="auto" w:fill="auto"/>
            <w:vAlign w:val="center"/>
          </w:tcPr>
          <w:p w14:paraId="655DED0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b/>
                <w:lang w:eastAsia="it-IT"/>
              </w:rPr>
            </w:pPr>
            <w:r w:rsidRPr="00F25A40">
              <w:rPr>
                <w:rFonts w:eastAsia="Palatino Linotype" w:cs="Palatino Linotype"/>
                <w:b/>
                <w:lang w:eastAsia="it-IT"/>
              </w:rPr>
              <w:t>Differential expression/ Mutation</w:t>
            </w:r>
          </w:p>
        </w:tc>
        <w:tc>
          <w:tcPr>
            <w:tcW w:w="1559" w:type="dxa"/>
            <w:tcBorders>
              <w:top w:val="single" w:sz="8" w:space="0" w:color="auto"/>
              <w:bottom w:val="single" w:sz="4" w:space="0" w:color="auto"/>
            </w:tcBorders>
            <w:shd w:val="clear" w:color="auto" w:fill="auto"/>
            <w:vAlign w:val="center"/>
          </w:tcPr>
          <w:p w14:paraId="5F5B407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b/>
                <w:lang w:eastAsia="it-IT"/>
              </w:rPr>
            </w:pPr>
            <w:r w:rsidRPr="00F25A40">
              <w:rPr>
                <w:rFonts w:eastAsia="Palatino Linotype" w:cs="Palatino Linotype"/>
                <w:b/>
                <w:lang w:eastAsia="it-IT"/>
              </w:rPr>
              <w:t>Cancers type</w:t>
            </w:r>
          </w:p>
        </w:tc>
        <w:tc>
          <w:tcPr>
            <w:tcW w:w="1985" w:type="dxa"/>
            <w:tcBorders>
              <w:top w:val="single" w:sz="8" w:space="0" w:color="auto"/>
              <w:bottom w:val="single" w:sz="4" w:space="0" w:color="auto"/>
            </w:tcBorders>
            <w:shd w:val="clear" w:color="auto" w:fill="auto"/>
            <w:vAlign w:val="center"/>
          </w:tcPr>
          <w:p w14:paraId="4AC613E4"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b/>
                <w:lang w:eastAsia="it-IT"/>
              </w:rPr>
            </w:pPr>
            <w:r w:rsidRPr="00F25A40">
              <w:rPr>
                <w:rFonts w:eastAsia="Palatino Linotype" w:cs="Palatino Linotype"/>
                <w:b/>
                <w:lang w:eastAsia="it-IT"/>
              </w:rPr>
              <w:t>Information on analyzed samples</w:t>
            </w:r>
          </w:p>
        </w:tc>
        <w:tc>
          <w:tcPr>
            <w:tcW w:w="2551" w:type="dxa"/>
            <w:tcBorders>
              <w:top w:val="single" w:sz="8" w:space="0" w:color="auto"/>
              <w:bottom w:val="single" w:sz="4" w:space="0" w:color="auto"/>
            </w:tcBorders>
            <w:shd w:val="clear" w:color="auto" w:fill="auto"/>
            <w:vAlign w:val="center"/>
          </w:tcPr>
          <w:p w14:paraId="2BF5DDC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b/>
                <w:lang w:eastAsia="it-IT"/>
              </w:rPr>
            </w:pPr>
            <w:r w:rsidRPr="00F25A40">
              <w:rPr>
                <w:rFonts w:eastAsia="Palatino Linotype" w:cs="Palatino Linotype"/>
                <w:b/>
                <w:lang w:eastAsia="it-IT"/>
              </w:rPr>
              <w:t>Consequences</w:t>
            </w:r>
          </w:p>
        </w:tc>
        <w:tc>
          <w:tcPr>
            <w:tcW w:w="1276" w:type="dxa"/>
            <w:tcBorders>
              <w:top w:val="single" w:sz="8" w:space="0" w:color="auto"/>
              <w:bottom w:val="single" w:sz="4" w:space="0" w:color="auto"/>
            </w:tcBorders>
            <w:shd w:val="clear" w:color="auto" w:fill="auto"/>
            <w:vAlign w:val="center"/>
          </w:tcPr>
          <w:p w14:paraId="124B08B9"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b/>
                <w:bCs/>
                <w:lang w:eastAsia="it-IT"/>
              </w:rPr>
            </w:pPr>
            <w:r w:rsidRPr="00F25A40">
              <w:rPr>
                <w:rFonts w:eastAsia="Arial" w:cs="Arial"/>
                <w:b/>
                <w:bCs/>
                <w:lang w:val="it-IT" w:eastAsia="it-IT"/>
              </w:rPr>
              <w:t xml:space="preserve">PubMed </w:t>
            </w:r>
            <w:r w:rsidRPr="00F25A40">
              <w:rPr>
                <w:rFonts w:eastAsia="Times New Roman"/>
                <w:b/>
                <w:bCs/>
                <w:lang w:eastAsia="it-IT"/>
              </w:rPr>
              <w:t>code</w:t>
            </w:r>
          </w:p>
        </w:tc>
      </w:tr>
      <w:tr w:rsidR="00CE677F" w:rsidRPr="00F25A40" w14:paraId="09267C22" w14:textId="77777777" w:rsidTr="00C40F02">
        <w:trPr>
          <w:jc w:val="center"/>
        </w:trPr>
        <w:tc>
          <w:tcPr>
            <w:tcW w:w="1838" w:type="dxa"/>
            <w:tcBorders>
              <w:top w:val="single" w:sz="4" w:space="0" w:color="auto"/>
            </w:tcBorders>
            <w:shd w:val="clear" w:color="auto" w:fill="auto"/>
            <w:vAlign w:val="center"/>
          </w:tcPr>
          <w:p w14:paraId="31E3786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of </w:t>
            </w:r>
            <w:r w:rsidRPr="00F25A40">
              <w:rPr>
                <w:rFonts w:eastAsia="Palatino Linotype" w:cs="Palatino Linotype"/>
                <w:i/>
                <w:lang w:eastAsia="it-IT"/>
              </w:rPr>
              <w:t>ABCC8</w:t>
            </w:r>
          </w:p>
        </w:tc>
        <w:tc>
          <w:tcPr>
            <w:tcW w:w="1559" w:type="dxa"/>
            <w:tcBorders>
              <w:top w:val="single" w:sz="4" w:space="0" w:color="auto"/>
            </w:tcBorders>
            <w:shd w:val="clear" w:color="auto" w:fill="auto"/>
            <w:vAlign w:val="center"/>
          </w:tcPr>
          <w:p w14:paraId="7E8FDF09"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Glioma</w:t>
            </w:r>
          </w:p>
        </w:tc>
        <w:tc>
          <w:tcPr>
            <w:tcW w:w="1985" w:type="dxa"/>
            <w:tcBorders>
              <w:top w:val="single" w:sz="4" w:space="0" w:color="auto"/>
            </w:tcBorders>
            <w:shd w:val="clear" w:color="auto" w:fill="auto"/>
            <w:vAlign w:val="center"/>
          </w:tcPr>
          <w:p w14:paraId="706C5C9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The information is based on the analysis of 1893 human glioma samples from four independent databases</w:t>
            </w:r>
          </w:p>
        </w:tc>
        <w:tc>
          <w:tcPr>
            <w:tcW w:w="2551" w:type="dxa"/>
            <w:tcBorders>
              <w:top w:val="single" w:sz="4" w:space="0" w:color="auto"/>
            </w:tcBorders>
            <w:shd w:val="clear" w:color="auto" w:fill="auto"/>
            <w:vAlign w:val="center"/>
          </w:tcPr>
          <w:p w14:paraId="082A1F7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High </w:t>
            </w:r>
            <w:r w:rsidRPr="00F25A40">
              <w:rPr>
                <w:rFonts w:eastAsia="Palatino Linotype" w:cs="Palatino Linotype"/>
                <w:i/>
                <w:iCs/>
                <w:lang w:eastAsia="it-IT"/>
              </w:rPr>
              <w:t>ABCC8</w:t>
            </w:r>
            <w:r w:rsidRPr="00F25A40">
              <w:rPr>
                <w:rFonts w:eastAsia="Palatino Linotype" w:cs="Palatino Linotype"/>
                <w:lang w:eastAsia="it-IT"/>
              </w:rPr>
              <w:t xml:space="preserve"> mRNA expression can be used to predict glioma chemosensitivity, while low </w:t>
            </w:r>
            <w:r w:rsidRPr="00F25A40">
              <w:rPr>
                <w:rFonts w:eastAsia="Palatino Linotype" w:cs="Palatino Linotype"/>
                <w:i/>
                <w:iCs/>
                <w:lang w:eastAsia="it-IT"/>
              </w:rPr>
              <w:t>ABCC8</w:t>
            </w:r>
            <w:r w:rsidRPr="00F25A40">
              <w:rPr>
                <w:rFonts w:eastAsia="Palatino Linotype" w:cs="Palatino Linotype"/>
                <w:lang w:eastAsia="it-IT"/>
              </w:rPr>
              <w:t xml:space="preserve"> mRNA expression can be used to predict glioma sensitivity to radiotherapy.</w:t>
            </w:r>
          </w:p>
        </w:tc>
        <w:tc>
          <w:tcPr>
            <w:tcW w:w="1276" w:type="dxa"/>
            <w:tcBorders>
              <w:top w:val="single" w:sz="4" w:space="0" w:color="auto"/>
            </w:tcBorders>
            <w:shd w:val="clear" w:color="auto" w:fill="auto"/>
            <w:vAlign w:val="center"/>
          </w:tcPr>
          <w:p w14:paraId="5305309B"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{"citationItems":[{"id":"ITEM-1","itemData":{"DOI":"10.1038/s41598-020-69676-7","ISSN":"2045-2322","abstract":"Glioma is the most common primary intracranial tumor and is associated with very low survival rates. The development of reliable biomarkers can help to elucidate the molecular mechanisms involved in glioma development. Here the expression of ABCC8 mRNA, clinical characteristics, and survival information based on 1893 glioma samples from four independent databases were analyzed. The expression patterns of ABCC8 mRNA were compared by a Chi square test. The overall survival rate of gliomas was evaluated according to the expression level of ABCC8 mRNA. The prognostic value of this marker in gliomas was tested using Cox single factor and multi factor regression analyses. We found patients with low WHO grade, oligodendrocytoma, low molecular grade, IDH mutation, and 1p19q combined deletion had high ABCC8 mRNA expression. The patients with high expression of ABCC8 mRNA had longer survival. ABCC8 mRNA expression was a new independent prognostic index for glioma. Temozolomide chemotherapy was an independent index to prolong overall survival in high ABCC8 mRNA expression glioma patients, whereas in patients with low expression, there was no significant difference. So ABCC8 mRNA expression could be an independent prognostic indicator for glioma patients and could predict the sensitivity of glioma to temozolomide.","author":[{"dropping-particle":"","family":"Zhou","given":"Kaijia","non-dropping-particle":"","parse-names":false,"suffix":""},{"dropping-particle":"","family":"Liu","given":"Yanwei","non-dropping-particle":"","parse-names":false,"suffix":""},{"dropping-particle":"","family":"Zhao","given":"Zheng","non-dropping-particle":"","parse-names":false,"suffix":""},{"dropping-particle":"","family":"Wang","given":"Yinyuan","non-dropping-particle":"","parse-names":false,"suffix":""},{"dropping-particle":"","family":"Huang","given":"Lijie","non-dropping-particle":"","parse-names":false,"suffix":""},{"dropping-particle":"","family":"Chai","given":"Ruichao","non-dropping-particle":"","parse-names":false,"suffix":""},{"dropping-particle":"","family":"Li","given":"Guanzhang","non-dropping-particle":"","parse-names":false,"suffix":""},{"dropping-particle":"","family":"Jiang","given":"Tao","non-dropping-particle":"","parse-names":false,"suffix":""}],"container-title":"Scientific Reports","id":"ITEM-1","issue":"1","issued":{"date-parts":[["2020"]]},"page":"12682","title":"ABCC8 mRNA expression is an independent prognostic factor for glioma and can predict chemosensitivity","type":"article-journal","volume":"10"},"uris":["http://www.mendeley.com/documents/?uuid=a5759890-9495-47c7-b30b-9c4c2cd04c21"]}],"mendeley":{"formattedCitation":"(Zhou et al., 2020)","plainTextFormattedCitation":"(Zhou et al., 2020)","previouslyFormattedCitation":"[44]"},"properties":{"noteIndex":0},"schema":"https://github.com/citation-style-language/schema/raw/master/csl-citation.json"}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(Zhou et al., 2020)</w:t>
            </w:r>
            <w:r w:rsidRPr="00F25A40">
              <w:rPr>
                <w:rFonts w:eastAsia="Palatino Linotype" w:cs="Palatino Linotype"/>
                <w:lang w:eastAsia="it-IT"/>
              </w:rPr>
              <w:fldChar w:fldCharType="end"/>
            </w:r>
          </w:p>
        </w:tc>
      </w:tr>
      <w:tr w:rsidR="00CE677F" w:rsidRPr="00F25A40" w14:paraId="5A067F81" w14:textId="77777777" w:rsidTr="00C40F02">
        <w:trPr>
          <w:jc w:val="center"/>
        </w:trPr>
        <w:tc>
          <w:tcPr>
            <w:tcW w:w="1838" w:type="dxa"/>
            <w:shd w:val="clear" w:color="auto" w:fill="auto"/>
            <w:vAlign w:val="center"/>
          </w:tcPr>
          <w:p w14:paraId="2474E551"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Down-regulation of </w:t>
            </w:r>
            <w:r w:rsidRPr="00F25A40">
              <w:rPr>
                <w:rFonts w:eastAsia="Palatino Linotype" w:cs="Palatino Linotype"/>
                <w:i/>
                <w:lang w:eastAsia="it-IT"/>
              </w:rPr>
              <w:t>ABCC8</w:t>
            </w:r>
          </w:p>
        </w:tc>
        <w:tc>
          <w:tcPr>
            <w:tcW w:w="1559" w:type="dxa"/>
            <w:shd w:val="clear" w:color="auto" w:fill="auto"/>
            <w:vAlign w:val="center"/>
          </w:tcPr>
          <w:p w14:paraId="338E1A69"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Pancreatic ductal adenocarcinoma (PDAC)</w:t>
            </w:r>
          </w:p>
        </w:tc>
        <w:tc>
          <w:tcPr>
            <w:tcW w:w="1985" w:type="dxa"/>
            <w:shd w:val="clear" w:color="auto" w:fill="auto"/>
            <w:vAlign w:val="center"/>
          </w:tcPr>
          <w:p w14:paraId="6D97FAA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The information comes from the analysis of tumor tissues and adjacent non-neoplastic tissues obtained from 32 patients with PDAC.</w:t>
            </w:r>
          </w:p>
        </w:tc>
        <w:tc>
          <w:tcPr>
            <w:tcW w:w="2551" w:type="dxa"/>
            <w:shd w:val="clear" w:color="auto" w:fill="auto"/>
            <w:vAlign w:val="center"/>
          </w:tcPr>
          <w:p w14:paraId="7A77773C"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Possible role of stem cells in the development and progression of PDAC.</w:t>
            </w:r>
          </w:p>
        </w:tc>
        <w:tc>
          <w:tcPr>
            <w:tcW w:w="1276" w:type="dxa"/>
            <w:shd w:val="clear" w:color="auto" w:fill="auto"/>
            <w:vAlign w:val="center"/>
          </w:tcPr>
          <w:p w14:paraId="54263D32"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{"citationItems":[{"id":"ITEM-1","itemData":{"ISSN":"0885-3177","abstract":"Objectives \n\nThe aim of this study was to evaluate transcript levels of all 49 human ATP-binding cassette transporters (ABCs) in one of the most drug-resistant cancers, namely, the pancreatic ductal adenocarcinoma (PDAC). Association of ABCs levels with clinical-pathologic characteristics and KRAS mutation status was followed as well.\n\nMethods\n\nTumors and adjacent nonneoplastic tissues were obtained from 32 histologically verified PDAC patients. The transcript profile of ABCs was assessed using quantitative real-time polymerase chain reaction with a relative standard curve. KRAS mutations in exon 2 were assessed by high-resolution melting analysis and sequencing.\n\nResults\n\nMost ABCs were deregulated in PDAC and 10 ABCs were associated with clinical-pathologic characteristics. KRAS mutations did not change the global expression profile of ABCs.\n\nConclusions\n\nThe expression of ABC transporters was significantly deregulated in PDAC tumors when compared to nonmalignant tissues. The observed up-regulation of ABCB4, ABCB11, ABCC1, ABCC3, ABCC5, ABCC10, and ABCG2 in tumors may contribute to the generally poor treatment response of PDAC. The up-regulation of ABCA1, ABCA7, and ABCG1 implicates a serious impairment of cellular cholesterol homeostasis in PDAC. On the other hand, the observed down-regulation of ABCA3, ABCC6, ABCC7, and ABCC8 suggests a possible role of stem cells in the development and progression of PDAC.","author":[{"dropping-particle":"","family":"Mohelnikova-Duchonova","given":"Beatrice","non-dropping-particle":"","parse-names":false,"suffix":""},{"dropping-particle":"","family":"Brynychova","given":"Veronika","non-dropping-particle":"","parse-names":false,"suffix":""},{"dropping-particle":"","family":"Oliverius","given":"Martin","non-dropping-particle":"","parse-names":false,"suffix":""},{"dropping-particle":"","family":"Honsova","given":"Eva","non-dropping-particle":"","parse-names":false,"suffix":""},{"dropping-particle":"","family":"Kala","given":"Zdenek","non-dropping-particle":"","parse-names":false,"suffix":""},{"dropping-particle":"","family":"Muckova","given":"Katarina","non-dropping-particle":"","parse-names":false,"suffix":""},{"dropping-particle":"","family":"Soucek","given":"Pavel","non-dropping-particle":"","parse-names":false,"suffix":""}],"container-title":"Pancreas","id":"ITEM-1","issue":"4","issued":{"date-parts":[["2013"]]},"title":"Differences in Transcript Levels of ABC Transporters Between Pancreatic Adenocarcinoma and Nonneoplastic Tissues","type":"article-journal","volume":"42"},"uris":["http://www.mendeley.com/documents/?uuid=6b918a99-0cef-452b-acc4-f03bb7d77b80"]}],"mendeley":{"formattedCitation":"(Mohelnikova-Duchonova et al., 2013)","plainTextFormattedCitation":"(Mohelnikova-Duchonova et al., 2013)","previouslyFormattedCitation":"[41]"},"properties":{"noteIndex":0},"schema":"https://github.com/citation-style-language/schema/raw/master/csl-citation.json"}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(Mohelnikova-Duchonova et al., 2013)</w:t>
            </w:r>
            <w:r w:rsidRPr="00F25A40">
              <w:rPr>
                <w:rFonts w:eastAsia="Palatino Linotype" w:cs="Palatino Linotype"/>
                <w:lang w:eastAsia="it-IT"/>
              </w:rPr>
              <w:fldChar w:fldCharType="end"/>
            </w:r>
          </w:p>
        </w:tc>
      </w:tr>
      <w:tr w:rsidR="00CE677F" w:rsidRPr="00F25A40" w14:paraId="732C6E67" w14:textId="77777777" w:rsidTr="00C40F02">
        <w:trPr>
          <w:jc w:val="center"/>
        </w:trPr>
        <w:tc>
          <w:tcPr>
            <w:tcW w:w="1838" w:type="dxa"/>
            <w:shd w:val="clear" w:color="auto" w:fill="auto"/>
            <w:vAlign w:val="center"/>
          </w:tcPr>
          <w:p w14:paraId="4656579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Down-regulation of </w:t>
            </w:r>
            <w:r w:rsidRPr="00F25A40">
              <w:rPr>
                <w:rFonts w:eastAsia="Palatino Linotype" w:cs="Palatino Linotype"/>
                <w:i/>
                <w:iCs/>
                <w:lang w:eastAsia="it-IT"/>
              </w:rPr>
              <w:t>ABCC8</w:t>
            </w:r>
          </w:p>
        </w:tc>
        <w:tc>
          <w:tcPr>
            <w:tcW w:w="1559" w:type="dxa"/>
            <w:shd w:val="clear" w:color="auto" w:fill="auto"/>
            <w:vAlign w:val="center"/>
          </w:tcPr>
          <w:p w14:paraId="796C4DD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Lung adenocarcinoma (LUAD)</w:t>
            </w:r>
          </w:p>
        </w:tc>
        <w:tc>
          <w:tcPr>
            <w:tcW w:w="1985" w:type="dxa"/>
            <w:shd w:val="clear" w:color="auto" w:fill="auto"/>
            <w:vAlign w:val="center"/>
          </w:tcPr>
          <w:p w14:paraId="4AF34490"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The information is derived from the analysis of data downloaded from the TCGA database (https://www.cancer.gov/about-nci/organization/ccg/research/structural-genomics/tcga), which contains 535 LUAD and 59 paracancerous samples.</w:t>
            </w:r>
          </w:p>
        </w:tc>
        <w:tc>
          <w:tcPr>
            <w:tcW w:w="2551" w:type="dxa"/>
            <w:shd w:val="clear" w:color="auto" w:fill="auto"/>
            <w:vAlign w:val="center"/>
          </w:tcPr>
          <w:p w14:paraId="719A3422"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Patients with high </w:t>
            </w:r>
            <w:r w:rsidRPr="00F25A40">
              <w:rPr>
                <w:rFonts w:eastAsia="Palatino Linotype" w:cs="Palatino Linotype"/>
                <w:i/>
                <w:iCs/>
                <w:lang w:eastAsia="it-IT"/>
              </w:rPr>
              <w:t>ABCC8</w:t>
            </w:r>
            <w:r w:rsidRPr="00F25A40">
              <w:rPr>
                <w:rFonts w:eastAsia="Palatino Linotype" w:cs="Palatino Linotype"/>
                <w:lang w:eastAsia="it-IT"/>
              </w:rPr>
              <w:t xml:space="preserve"> expressions had a better prognosis compared to patients with low </w:t>
            </w:r>
            <w:r w:rsidRPr="00F25A40">
              <w:rPr>
                <w:rFonts w:eastAsia="Palatino Linotype" w:cs="Palatino Linotype"/>
                <w:i/>
                <w:iCs/>
                <w:lang w:eastAsia="it-IT"/>
              </w:rPr>
              <w:t xml:space="preserve">ABCC8 </w:t>
            </w:r>
            <w:r w:rsidRPr="00F25A40">
              <w:rPr>
                <w:rFonts w:eastAsia="Palatino Linotype" w:cs="Palatino Linotype"/>
                <w:lang w:eastAsia="it-IT"/>
              </w:rPr>
              <w:t>expressions.</w:t>
            </w:r>
          </w:p>
        </w:tc>
        <w:tc>
          <w:tcPr>
            <w:tcW w:w="1276" w:type="dxa"/>
            <w:shd w:val="clear" w:color="auto" w:fill="auto"/>
            <w:vAlign w:val="center"/>
          </w:tcPr>
          <w:p w14:paraId="43CEE4C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{"citationItems":[{"id":"ITEM-1","itemData":{"DOI":"10.1155/2020/6472153","ISSN":"2314-6133","abstract":"&lt;italic&gt;Objective&lt;/italic&gt;. A survival risk assessment model associated with a lung adenocarcinoma (LUAD) microenvironment was established and evaluated to identify effective independent prognostic factors for LUAD. &lt;italic&gt;Methods&lt;/italic&gt;. The public data were downloaded from the TCGA database, and ESTIMATE prediction software was used to score immune cells and stromal cells for tumor purity prediction. The samples were divided into the high-score group and the low-score group by the median value of the immune score (or stromal score). The Wilcoxon test was used for differential analysis. GO and KEGG enrichment analysis of differentially expressed genes (DEGs) was performed using &amp;#x201C;clusterProfiler&amp;#x201D; of R package. Meanwhile, univariate and multivariate regression analysis was performed on DEGs to construct a multivariate Cox risk regression model with variable gene expression levels as independent prognostic factors affecting a tumor microenvironment (TME) and tumor immunity. &lt;italic&gt;Results&lt;/italic&gt;. This study found that LUAD patients with high immune cell (stromal cell) infiltration had better prognosis and were in earlier staging. Functional enrichment analysis revealed that most DEGs were related to the proliferation and activation of immune cells or stromal cells. A survival prediction model composed of 6 TME-related genes (CLEC17A, TAGAP, ABCC8, BCAN, FLT3, and CCR2) was established, and finally, the 6 feature genes closely related to the prognosis of LUAD were proved. The AUC value of the ROC curve in this model was 0.7, indicating that the model was reliable. &lt;italic&gt;Conclusion&lt;/italic&gt;. Six genes related to the LUAD microenvironment have a predictive prognostic value in LUAD.","author":[{"dropping-particle":"","family":"Wang","given":"Zhitian","non-dropping-particle":"","parse-names":false,"suffix":""},{"dropping-particle":"","family":"Xu","given":"Huiling","non-dropping-particle":"","parse-names":false,"suffix":""},{"dropping-particle":"","family":"Zhu","given":"Linhai","non-dropping-particle":"","parse-names":false,"suffix":""},{"dropping-particle":"","family":"He","given":"Tianyu","non-dropping-particle":"","parse-names":false,"suffix":""},{"dropping-particle":"","family":"Lv","given":"Wang","non-dropping-particle":"","parse-names":false,"suffix":""},{"dropping-particle":"","family":"Wu","given":"Zhigang","non-dropping-particle":"","parse-names":false,"suffix":""}],"container-title":"BioMed Research International","id":"ITEM-1","issued":{"date-parts":[["2020"]]},"page":"6472153","publisher":"Hindawi","title":"Establishment and Evaluation of a 6-Gene Survival Risk Assessment Model Related to Lung Adenocarcinoma Microenvironment","type":"article-journal","volume":"2020"},"uris":["http://www.mendeley.com/documents/?uuid=7b9bd158-a144-47da-8ec8-f85886f085e9"]}],"mendeley":{"formattedCitation":"(Wang et al., 2020)","plainTextFormattedCitation":"(Wang et al., 2020)","previouslyFormattedCitation":"[43]"},"properties":{"noteIndex":0},"schema":"https://github.com/citation-style-language/schema/raw/master/csl-citation.json"}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(Wang et al., 2020)</w:t>
            </w:r>
            <w:r w:rsidRPr="00F25A40">
              <w:rPr>
                <w:rFonts w:eastAsia="Palatino Linotype" w:cs="Palatino Linotype"/>
                <w:lang w:eastAsia="it-IT"/>
              </w:rPr>
              <w:fldChar w:fldCharType="end"/>
            </w:r>
          </w:p>
        </w:tc>
      </w:tr>
      <w:tr w:rsidR="00CE677F" w:rsidRPr="00F25A40" w14:paraId="3C699942" w14:textId="77777777" w:rsidTr="00C40F02">
        <w:trPr>
          <w:jc w:val="center"/>
        </w:trPr>
        <w:tc>
          <w:tcPr>
            <w:tcW w:w="1838" w:type="dxa"/>
            <w:shd w:val="clear" w:color="auto" w:fill="auto"/>
            <w:vAlign w:val="center"/>
          </w:tcPr>
          <w:p w14:paraId="0A944EC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Down-regulation of </w:t>
            </w:r>
            <w:r w:rsidRPr="00F25A40">
              <w:rPr>
                <w:rFonts w:eastAsia="Palatino Linotype" w:cs="Palatino Linotype"/>
                <w:i/>
                <w:iCs/>
                <w:lang w:eastAsia="it-IT"/>
              </w:rPr>
              <w:t xml:space="preserve">ABCC8 </w:t>
            </w:r>
            <w:r w:rsidRPr="00F25A40">
              <w:rPr>
                <w:rFonts w:eastAsia="Palatino Linotype" w:cs="Palatino Linotype"/>
                <w:lang w:eastAsia="it-IT"/>
              </w:rPr>
              <w:t>and</w:t>
            </w:r>
            <w:r w:rsidRPr="00F25A40">
              <w:rPr>
                <w:rFonts w:eastAsia="Palatino Linotype" w:cs="Palatino Linotype"/>
                <w:i/>
                <w:iCs/>
                <w:lang w:eastAsia="it-IT"/>
              </w:rPr>
              <w:t xml:space="preserve"> ABCC9</w:t>
            </w:r>
          </w:p>
        </w:tc>
        <w:tc>
          <w:tcPr>
            <w:tcW w:w="1559" w:type="dxa"/>
            <w:shd w:val="clear" w:color="auto" w:fill="auto"/>
            <w:vAlign w:val="center"/>
          </w:tcPr>
          <w:p w14:paraId="769E9E06"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Breast cancer</w:t>
            </w:r>
          </w:p>
        </w:tc>
        <w:tc>
          <w:tcPr>
            <w:tcW w:w="1985" w:type="dxa"/>
            <w:shd w:val="clear" w:color="auto" w:fill="auto"/>
            <w:vAlign w:val="center"/>
          </w:tcPr>
          <w:p w14:paraId="3E2150C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The information was determined in post-treatment tumor and non-neoplastic tissue samples from 68 breast cancer patients.</w:t>
            </w:r>
          </w:p>
        </w:tc>
        <w:tc>
          <w:tcPr>
            <w:tcW w:w="2551" w:type="dxa"/>
            <w:shd w:val="clear" w:color="auto" w:fill="auto"/>
            <w:vAlign w:val="center"/>
          </w:tcPr>
          <w:p w14:paraId="1F25B5CC"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Down-regulation of </w:t>
            </w:r>
            <w:r w:rsidRPr="00F25A40">
              <w:rPr>
                <w:rFonts w:eastAsia="Palatino Linotype" w:cs="Palatino Linotype"/>
                <w:i/>
                <w:iCs/>
                <w:lang w:eastAsia="it-IT"/>
              </w:rPr>
              <w:t xml:space="preserve">ABCC8 </w:t>
            </w:r>
            <w:r w:rsidRPr="00F25A40">
              <w:rPr>
                <w:rFonts w:eastAsia="Palatino Linotype" w:cs="Palatino Linotype"/>
                <w:lang w:eastAsia="it-IT"/>
              </w:rPr>
              <w:t>and</w:t>
            </w:r>
            <w:r w:rsidRPr="00F25A40">
              <w:rPr>
                <w:rFonts w:eastAsia="Palatino Linotype" w:cs="Palatino Linotype"/>
                <w:i/>
                <w:iCs/>
                <w:lang w:eastAsia="it-IT"/>
              </w:rPr>
              <w:t xml:space="preserve"> ABCC9</w:t>
            </w:r>
            <w:r w:rsidRPr="00F25A40">
              <w:rPr>
                <w:rFonts w:eastAsia="Palatino Linotype" w:cs="Palatino Linotype"/>
                <w:lang w:eastAsia="it-IT"/>
              </w:rPr>
              <w:t xml:space="preserve"> present potential modifiers of the progression and response to chemotherapy of breast cancer.</w:t>
            </w:r>
          </w:p>
        </w:tc>
        <w:tc>
          <w:tcPr>
            <w:tcW w:w="1276" w:type="dxa"/>
            <w:shd w:val="clear" w:color="auto" w:fill="auto"/>
            <w:vAlign w:val="center"/>
          </w:tcPr>
          <w:p w14:paraId="04BC071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{"citationItems":[{"id":"ITEM-1","itemData":{"DOI":"10.2217/pgs.13.26","ISSN":"1462-2416","abstract":"Aim: ATP-binding cassette (ABC) transporters contribute to development of resistance to anticancer drugs via ATP-dependent drug efflux. A major goal of our study was to investigate associations between the expression of ABC transporters and outcome of breast carcinoma patients. Patients  Revision submitted 5 February 2013","author":[{"dropping-particle":"","family":"Hlaváč","given":"Viktor","non-dropping-particle":"","parse-names":false,"suffix":""},{"dropping-particle":"","family":"Brynychová","given":"Veronika","non-dropping-particle":"","parse-names":false,"suffix":""},{"dropping-particle":"","family":"Václavíková","given":"Radka","non-dropping-particle":"","parse-names":false,"suffix":""},{"dropping-particle":"","family":"Ehrlichová","given":"Marie","non-dropping-particle":"","parse-names":false,"suffix":""},{"dropping-particle":"","family":"Vrána","given":"David","non-dropping-particle":"","parse-names":false,"suffix":""},{"dropping-particle":"","family":"Pecha","given":"Václav","non-dropping-particle":"","parse-names":false,"suffix":""},{"dropping-particle":"","family":"Koževnikovová","given":"Renata","non-dropping-particle":"","parse-names":false,"suffix":""},{"dropping-particle":"","family":"Trnková","given":"Markéta","non-dropping-particle":"","parse-names":false,"suffix":""},{"dropping-particle":"","family":"Gatěk","given":"Jiří","non-dropping-particle":"","parse-names":false,"suffix":""},{"dropping-particle":"","family":"Kopperová","given":"Dana","non-dropping-particle":"","parse-names":false,"suffix":""},{"dropping-particle":"","family":"Gut","given":"Ivan","non-dropping-particle":"","parse-names":false,"suffix":""},{"dropping-particle":"","family":"Souček","given":"Pavel","non-dropping-particle":"","parse-names":false,"suffix":""}],"container-title":"Pharmacogenomics","id":"ITEM-1","issue":"5","issued":{"date-parts":[["2013","4","1"]]},"note":"doi: 10.2217/pgs.13.26","page":"515-529","publisher":"Future Medicine","title":"The expression profile of ATP-binding cassette transporter genes in breast carcinoma","type":"article-journal","volume":"14"},"uris":["http://www.mendeley.com/documents/?uuid=7c86b636-f746-491b-9a88-25718cce1896"]}],"mendeley":{"formattedCitation":"(Hlaváč et al., 2013)","plainTextFormattedCitation":"(Hlaváč et al., 2013)","previouslyFormattedCitation":"[42]"},"properties":{"noteIndex":0},"schema":"https://github.com/citation-style-language/schema/raw/master/csl-citation.json"}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(Hlaváč et al., 2013)</w:t>
            </w:r>
            <w:r w:rsidRPr="00F25A40">
              <w:rPr>
                <w:rFonts w:eastAsia="Palatino Linotype" w:cs="Palatino Linotype"/>
                <w:lang w:eastAsia="it-IT"/>
              </w:rPr>
              <w:fldChar w:fldCharType="end"/>
            </w:r>
          </w:p>
        </w:tc>
      </w:tr>
      <w:tr w:rsidR="00CE677F" w:rsidRPr="00F25A40" w14:paraId="2E418D8F" w14:textId="77777777" w:rsidTr="00C40F02">
        <w:trPr>
          <w:jc w:val="center"/>
        </w:trPr>
        <w:tc>
          <w:tcPr>
            <w:tcW w:w="1838" w:type="dxa"/>
            <w:shd w:val="clear" w:color="auto" w:fill="auto"/>
            <w:vAlign w:val="center"/>
          </w:tcPr>
          <w:p w14:paraId="3A295BE2"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of </w:t>
            </w:r>
            <w:r w:rsidRPr="00F25A40">
              <w:rPr>
                <w:rFonts w:eastAsia="Palatino Linotype" w:cs="Palatino Linotype"/>
                <w:i/>
                <w:iCs/>
                <w:lang w:eastAsia="it-IT"/>
              </w:rPr>
              <w:t>ABCC8</w:t>
            </w:r>
          </w:p>
        </w:tc>
        <w:tc>
          <w:tcPr>
            <w:tcW w:w="1559" w:type="dxa"/>
            <w:shd w:val="clear" w:color="auto" w:fill="auto"/>
            <w:vAlign w:val="center"/>
          </w:tcPr>
          <w:p w14:paraId="5FB6BDF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Brain tumors</w:t>
            </w:r>
          </w:p>
        </w:tc>
        <w:tc>
          <w:tcPr>
            <w:tcW w:w="1985" w:type="dxa"/>
            <w:shd w:val="clear" w:color="auto" w:fill="auto"/>
            <w:vAlign w:val="center"/>
          </w:tcPr>
          <w:p w14:paraId="00A1ECB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The information comes from the analysis of human tissue samples from 6 glioblastoma, 12 brain metastases, 11 medulloblastoma, 9 supratentorial ependymomas, and 8 </w:t>
            </w:r>
            <w:r w:rsidRPr="00F25A40">
              <w:rPr>
                <w:rFonts w:eastAsia="Palatino Linotype" w:cs="Palatino Linotype"/>
                <w:lang w:eastAsia="it-IT"/>
              </w:rPr>
              <w:lastRenderedPageBreak/>
              <w:t>posterior fossa ependymomas</w:t>
            </w:r>
          </w:p>
        </w:tc>
        <w:tc>
          <w:tcPr>
            <w:tcW w:w="2551" w:type="dxa"/>
            <w:shd w:val="clear" w:color="auto" w:fill="auto"/>
            <w:vAlign w:val="center"/>
          </w:tcPr>
          <w:p w14:paraId="5F040A37"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lastRenderedPageBreak/>
              <w:t xml:space="preserve">Sur1 is a potential therapeutic target for reducing neuroinflammation in adult and pediatric brain tumors. Inhibition of Sur1 induces neuronal stabilization in glioblastoma, brain metastases and posterior fossa </w:t>
            </w:r>
            <w:r w:rsidRPr="00F25A40">
              <w:rPr>
                <w:rFonts w:eastAsia="Palatino Linotype" w:cs="Palatino Linotype"/>
                <w:lang w:eastAsia="it-IT"/>
              </w:rPr>
              <w:lastRenderedPageBreak/>
              <w:t>ependymoma, and edema reduction in medulloblastoma.</w:t>
            </w:r>
          </w:p>
        </w:tc>
        <w:tc>
          <w:tcPr>
            <w:tcW w:w="1276" w:type="dxa"/>
            <w:shd w:val="clear" w:color="auto" w:fill="auto"/>
            <w:vAlign w:val="center"/>
          </w:tcPr>
          <w:p w14:paraId="3908CDFA" w14:textId="77777777" w:rsidR="00CE677F" w:rsidRPr="00F25A40" w:rsidRDefault="00CE677F" w:rsidP="00C40F02">
            <w:pPr>
              <w:autoSpaceDE w:val="0"/>
              <w:autoSpaceDN w:val="0"/>
              <w:adjustRightInd w:val="0"/>
              <w:snapToGrid w:val="0"/>
              <w:spacing w:line="240" w:lineRule="auto"/>
              <w:jc w:val="center"/>
              <w:rPr>
                <w:rStyle w:val="Strong"/>
                <w:rFonts w:eastAsia="Times New Roman"/>
                <w:shd w:val="clear" w:color="auto" w:fill="FFFFFF"/>
                <w:lang w:eastAsia="it-IT"/>
              </w:rPr>
            </w:pPr>
            <w:r w:rsidRPr="00F25A40">
              <w:rPr>
                <w:rStyle w:val="Strong"/>
                <w:rFonts w:eastAsia="Times New Roman"/>
                <w:shd w:val="clear" w:color="auto" w:fill="FFFFFF"/>
                <w:lang w:eastAsia="it-IT"/>
              </w:rPr>
              <w:lastRenderedPageBreak/>
              <w:fldChar w:fldCharType="begin" w:fldLock="1"/>
            </w:r>
            <w:r>
              <w:rPr>
                <w:rStyle w:val="Strong"/>
                <w:rFonts w:eastAsia="Times New Roman"/>
                <w:shd w:val="clear" w:color="auto" w:fill="FFFFFF"/>
                <w:lang w:eastAsia="it-IT"/>
              </w:rPr>
              <w:instrText>ADDIN CSL_CITATION {"citationItems":[{"id":"ITEM-1","itemData":{"DOI":"10.1080/13543784.2019.1568989","ISSN":"1744-7658 (Electronic)","PMID":"30642204","abstract":"INTRODUCTION: Alopecia is a very common complaint in medical practice, which usually has a large psychological impact in patients. Treatment of alopecia is often difficult and frustrating for patients and clinicians owing to the slow growth rate of the hair, long treatment terms, limited efficacy, and possible adverse side effects. Areas covered: This paper reviews the new and emerging treatments for two of the most common forms of alopecia, known as androgenetic alopecia and alopecia areata. A literature search of PubMed/MEDLINE and ClinicalTrial.gov was performed to gather information about active research on new treatments for alopecias. Websites of companies sponsoring clinical trials were also searched for interim result data. Expert opinion: Many new therapies in two of the most common forms of hair loss have been developed and are currently being studied with encouraging results. In alopecia areata, JAK inhibitors are promising. The discovery of JAK inhibitors has prompted the research and identification of new molecules. In androgenetic alopecia, we are still looking for a topical treatment that is superior to topical minoxidil. However, stem-cell research is advancing and the goal to create new follicles or refresh dormant follicles may be realized in the near future.","author":[{"dropping-particle":"","family":"Ocampo-Garza","given":"Jorge","non-dropping-particle":"","parse-names":false,"suffix":""},{"dropping-particle":"","family":"Griggs","given":"Jacob","non-dropping-particle":"","parse-names":false,"suffix":""},{"dropping-particle":"","family":"Tosti","given":"Antonella","non-dropping-particle":"","parse-names":false,"suffix":""}],"container-title":"Expert opinion on investigational drugs","id":"ITEM-1","issue":"3","issued":{"date-parts":[["2019","3"]]},"language":"eng","page":"275-284","publisher-place":"England","title":"New drugs under investigation for the treatment of alopecias.","type":"article-journal","volume":"28"},"uris":["http://www.mendeley.com/documents/?uuid=c4d9f777-6922-44bc-96f4-d52adf313db1"]}],"mendeley":{"formattedCitation":"(Ocampo-Garza et al., 2019)","plainTextFormattedCitation":"(Ocampo-Garza et al., 2019)","previouslyFormattedCitation":"[74]"},"properties":{"noteIndex":0},"schema":"https://github.com/citation-style-language/schema/raw/master/csl-citation.json"}</w:instrText>
            </w:r>
            <w:r w:rsidRPr="00F25A40">
              <w:rPr>
                <w:rStyle w:val="Strong"/>
                <w:rFonts w:eastAsia="Times New Roman"/>
                <w:shd w:val="clear" w:color="auto" w:fill="FFFFFF"/>
                <w:lang w:eastAsia="it-IT"/>
              </w:rPr>
              <w:fldChar w:fldCharType="separate"/>
            </w:r>
            <w:r w:rsidRPr="00F1140F">
              <w:rPr>
                <w:rStyle w:val="Strong"/>
                <w:rFonts w:eastAsia="Times New Roman"/>
                <w:b w:val="0"/>
                <w:shd w:val="clear" w:color="auto" w:fill="FFFFFF"/>
                <w:lang w:eastAsia="it-IT"/>
              </w:rPr>
              <w:t>(Ocampo-Garza et al., 2019)</w:t>
            </w:r>
            <w:r w:rsidRPr="00F25A40">
              <w:rPr>
                <w:rStyle w:val="Strong"/>
                <w:rFonts w:eastAsia="Times New Roman"/>
                <w:shd w:val="clear" w:color="auto" w:fill="FFFFFF"/>
                <w:lang w:eastAsia="it-IT"/>
              </w:rPr>
              <w:fldChar w:fldCharType="end"/>
            </w:r>
          </w:p>
          <w:p w14:paraId="21D2C7A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val="it-IT" w:eastAsia="it-IT"/>
              </w:rPr>
            </w:pPr>
          </w:p>
        </w:tc>
      </w:tr>
      <w:tr w:rsidR="00CE677F" w:rsidRPr="00F25A40" w14:paraId="274EA259" w14:textId="77777777" w:rsidTr="00C40F02">
        <w:trPr>
          <w:jc w:val="center"/>
        </w:trPr>
        <w:tc>
          <w:tcPr>
            <w:tcW w:w="1838" w:type="dxa"/>
            <w:shd w:val="clear" w:color="auto" w:fill="auto"/>
            <w:vAlign w:val="center"/>
          </w:tcPr>
          <w:p w14:paraId="23E07C8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Down-regulation of </w:t>
            </w:r>
            <w:r w:rsidRPr="00F25A40">
              <w:rPr>
                <w:rFonts w:eastAsia="Palatino Linotype" w:cs="Palatino Linotype"/>
                <w:i/>
                <w:iCs/>
                <w:lang w:eastAsia="it-IT"/>
              </w:rPr>
              <w:t>ABCC8</w:t>
            </w:r>
            <w:r w:rsidRPr="00F25A40">
              <w:rPr>
                <w:rFonts w:eastAsia="Palatino Linotype" w:cs="Palatino Linotype"/>
                <w:lang w:eastAsia="it-IT"/>
              </w:rPr>
              <w:t xml:space="preserve">, no change of </w:t>
            </w:r>
            <w:r w:rsidRPr="00F25A40">
              <w:rPr>
                <w:rFonts w:eastAsia="Palatino Linotype" w:cs="Palatino Linotype"/>
                <w:i/>
                <w:iCs/>
                <w:lang w:eastAsia="it-IT"/>
              </w:rPr>
              <w:t>ABCC9</w:t>
            </w:r>
          </w:p>
        </w:tc>
        <w:tc>
          <w:tcPr>
            <w:tcW w:w="1559" w:type="dxa"/>
            <w:shd w:val="clear" w:color="auto" w:fill="auto"/>
            <w:vAlign w:val="center"/>
          </w:tcPr>
          <w:p w14:paraId="7615BE6C"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Colorectal cancer (CRC)</w:t>
            </w:r>
          </w:p>
        </w:tc>
        <w:tc>
          <w:tcPr>
            <w:tcW w:w="1985" w:type="dxa"/>
            <w:shd w:val="clear" w:color="auto" w:fill="auto"/>
            <w:vAlign w:val="center"/>
          </w:tcPr>
          <w:p w14:paraId="3B3739B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The information comes from the analysis of 51 samples of primary tumor of human colorectal carcinoma and paired distant unaffected mucosa collected from CRC patients diagnosed</w:t>
            </w:r>
          </w:p>
        </w:tc>
        <w:tc>
          <w:tcPr>
            <w:tcW w:w="2551" w:type="dxa"/>
            <w:shd w:val="clear" w:color="auto" w:fill="auto"/>
            <w:vAlign w:val="center"/>
          </w:tcPr>
          <w:p w14:paraId="50ADB3F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The differential level of </w:t>
            </w:r>
            <w:r w:rsidRPr="00F25A40">
              <w:rPr>
                <w:rFonts w:eastAsia="Palatino Linotype" w:cs="Palatino Linotype"/>
                <w:i/>
                <w:iCs/>
                <w:lang w:eastAsia="it-IT"/>
              </w:rPr>
              <w:t xml:space="preserve">ABCC8 </w:t>
            </w:r>
            <w:r w:rsidRPr="00F25A40">
              <w:rPr>
                <w:rFonts w:eastAsia="Palatino Linotype" w:cs="Palatino Linotype"/>
                <w:lang w:eastAsia="it-IT"/>
              </w:rPr>
              <w:t>gene expression can be considered a tool for assessing tumor aggressiveness and as a predictor of the outcome of chemotherapy.</w:t>
            </w:r>
          </w:p>
        </w:tc>
        <w:tc>
          <w:tcPr>
            <w:tcW w:w="1276" w:type="dxa"/>
            <w:shd w:val="clear" w:color="auto" w:fill="auto"/>
            <w:vAlign w:val="center"/>
          </w:tcPr>
          <w:p w14:paraId="32DEC59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{"citationItems":[{"id":"ITEM-1","itemData":{"DOI":"10.1093/mutage/ger075","ISSN":"0267-8357","abstract":"Worldwide, colorectal cancer (CRC) is the third most common cancer, with the highest mortality rates occurring in Central Europe. The use of chemotherapy to treat CRC is limited by the inter-individual variability in drug response and the development of cancer cell resistance. ATP-binding cassette (ABC) transporters play a crucial role in the development of resistance by the efflux of anticancer agents outside of cancer cells. The aim of this study was to explore transcript levels of all human ABCs in tumours and non-neoplastic control tissues from CRC patients collected before the first line of treatment by 5-fluorouracil (5-FU)-containing regimen. The prognostic potential of ABCs was evaluated by the correlation of transcript levels with clinical factors. Relations between transcript levels of ABCs in tumours and chemotherapy efficacy were also addressed. The transcript profile of all known human ABCs was assessed using real-time polymerase chain reaction with a relative standard curve. The majority of the studied ABCs were down-regulated or unchanged between tumours and control tissues. ABCA12, ABCA13, ABCB6, ABCC1, ABCC2 and ABCE1 were up-regulated in tumours versus control tissues. Transcript levels of ABCA12, ABCC7 and ABCC8 increased in direction from colon to rectum. Additionally, transcript levels of ABCB9, ABCB11, ABCG5 and ABCG8 followed the reverse significant trend, i.e. a decrease in direction from colon to rectum. The transcript level of ABCC10 in tumours correlated with the grade (P = 0.01). Transcript levels of ABCC6, ABCC11, ABCF1 and ABCF2 were significantly lower in non-responders to palliative chemotherapy in comparison with responders. The disease-free interval of patients treated by adjuvant chemotherapy was significantly shorter in patients with low transcript levels of ABCA7, ABCA13, ABCB4, ABCC11 and ABCD4. In conclusion, ABCC11 may be a promising candidate marker for a validation study on 5-FU therapy outcome.","author":[{"dropping-particle":"","family":"Hlavata","given":"I","non-dropping-particle":"","parse-names":false,"suffix":""},{"dropping-particle":"","family":"Mohelnikova-Duchonova","given":"B","non-dropping-particle":"","parse-names":false,"suffix":""},{"dropping-particle":"","family":"Vaclavikova","given":"R","non-dropping-particle":"","parse-names":false,"suffix":""},{"dropping-particle":"","family":"Liska","given":"V","non-dropping-particle":"","parse-names":false,"suffix":""},{"dropping-particle":"","family":"Pitule","given":"P","non-dropping-particle":"","parse-names":false,"suffix":""},{"dropping-particle":"","family":"Novak","given":"P","non-dropping-particle":"","parse-names":false,"suffix":""},{"dropping-particle":"","family":"Bruha","given":"J","non-dropping-particle":"","parse-names":false,"suffix":""},{"dropping-particle":"","family":"Vycital","given":"O","non-dropping-particle":"","parse-names":false,"suffix":""},{"dropping-particle":"","family":"Holubec","given":"L","non-dropping-particle":"","parse-names":false,"suffix":""},{"dropping-particle":"","family":"Treska","given":"V","non-dropping-particle":"","parse-names":false,"suffix":""},{"dropping-particle":"","family":"Vodicka","given":"P","non-dropping-particle":"","parse-names":false,"suffix":""},{"dropping-particle":"","family":"Soucek","given":"P","non-dropping-particle":"","parse-names":false,"suffix":""}],"container-title":"Mutagenesis","id":"ITEM-1","issue":"2","issued":{"date-parts":[["2012","3","1"]]},"page":"187-196","title":"The role of ABC transporters in progression and clinical outcome of colorectal cancer","type":"article-journal","volume":"27"},"uris":["http://www.mendeley.com/documents/?uuid=54b28d17-9426-463a-8c7d-2e68e0f7283f"]}],"mendeley":{"formattedCitation":"(Hlavata et al., 2012)","plainTextFormattedCitation":"(Hlavata et al., 2012)","previouslyFormattedCitation":"[75]"},"properties":{"noteIndex":0},"schema":"https://github.com/citation-style-language/schema/raw/master/csl-citation.json"}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(Hlavata et al., 2012)</w:t>
            </w:r>
            <w:r w:rsidRPr="00F25A40">
              <w:rPr>
                <w:rFonts w:eastAsia="Palatino Linotype" w:cs="Palatino Linotype"/>
                <w:lang w:eastAsia="it-IT"/>
              </w:rPr>
              <w:fldChar w:fldCharType="end"/>
            </w:r>
          </w:p>
        </w:tc>
      </w:tr>
      <w:tr w:rsidR="00CE677F" w:rsidRPr="00F25A40" w14:paraId="2B8E7377" w14:textId="77777777" w:rsidTr="00C40F02">
        <w:trPr>
          <w:jc w:val="center"/>
        </w:trPr>
        <w:tc>
          <w:tcPr>
            <w:tcW w:w="1838" w:type="dxa"/>
            <w:shd w:val="clear" w:color="auto" w:fill="auto"/>
            <w:vAlign w:val="center"/>
          </w:tcPr>
          <w:p w14:paraId="0EB6F32C"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of </w:t>
            </w:r>
            <w:r w:rsidRPr="00F25A40">
              <w:rPr>
                <w:rFonts w:eastAsia="Palatino Linotype" w:cs="Palatino Linotype"/>
                <w:i/>
                <w:iCs/>
                <w:lang w:eastAsia="it-IT"/>
              </w:rPr>
              <w:t xml:space="preserve">KCNJ11 </w:t>
            </w:r>
            <w:r w:rsidRPr="00F25A40">
              <w:rPr>
                <w:rFonts w:eastAsia="Palatino Linotype" w:cs="Palatino Linotype"/>
                <w:lang w:eastAsia="it-IT"/>
              </w:rPr>
              <w:t>and</w:t>
            </w:r>
            <w:r w:rsidRPr="00F25A40">
              <w:rPr>
                <w:rFonts w:eastAsia="Palatino Linotype" w:cs="Palatino Linotype"/>
                <w:i/>
                <w:iCs/>
                <w:lang w:eastAsia="it-IT"/>
              </w:rPr>
              <w:t xml:space="preserve"> ABCC9</w:t>
            </w:r>
          </w:p>
        </w:tc>
        <w:tc>
          <w:tcPr>
            <w:tcW w:w="1559" w:type="dxa"/>
            <w:shd w:val="clear" w:color="auto" w:fill="auto"/>
            <w:vAlign w:val="center"/>
          </w:tcPr>
          <w:p w14:paraId="1B9B935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Cervical cancer</w:t>
            </w:r>
          </w:p>
        </w:tc>
        <w:tc>
          <w:tcPr>
            <w:tcW w:w="1985" w:type="dxa"/>
            <w:shd w:val="clear" w:color="auto" w:fill="auto"/>
            <w:vAlign w:val="center"/>
          </w:tcPr>
          <w:p w14:paraId="3A7108F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Human cervical cancer biopsies, n.74</w:t>
            </w:r>
          </w:p>
        </w:tc>
        <w:tc>
          <w:tcPr>
            <w:tcW w:w="2551" w:type="dxa"/>
            <w:shd w:val="clear" w:color="auto" w:fill="auto"/>
            <w:vAlign w:val="center"/>
          </w:tcPr>
          <w:p w14:paraId="1D72A036"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A potential association between increased Kir6.2 / Sur2 expression and invasion of the lymphovascular space. The ATP K-channel blocker glibenclamide reduced the proliferation of cervical cancer cell lines. The ATP K-channel subunits (Kir6.2 and Sur2) could potentially represent tools for the diagnosis and treatment of cervical cancer.</w:t>
            </w:r>
          </w:p>
        </w:tc>
        <w:tc>
          <w:tcPr>
            <w:tcW w:w="1276" w:type="dxa"/>
            <w:shd w:val="clear" w:color="auto" w:fill="auto"/>
            <w:vAlign w:val="center"/>
          </w:tcPr>
          <w:p w14:paraId="51790A56"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{"citationItems":[{"id":"ITEM-1","itemData":{"DOI":"10.3892/ol.2018.8165","ISSN":"1792-1074 (Print)","PMID":"29849783","abstract":"Various ion channels, including ATP-sensitive potassium (K(ATP)) channels, are  expressed in cancer and have been suggested as potential tumor markers and therapeutic targets. K(ATP) channels are composed of at least two types of subunit, an inwardly rectifying K(+) channel (Kir6.x) and a sulfonylurea receptor (SUR). However, the association between K(ATP) channels and cervical cancer remains elusive. The present study determined that the Kir6.2, SUR1 and SUR2 subunits are expressed in cervical cancer cell lines and/or human biopsies. The potential association of subunit expression with tumor differentiation and invasion was analyzed. The effect of the K(ATP) channel blocker glibenclamide on the proliferation of cervical cancer cell lines was also studied. Five cervical cancer cell lines, two primary cultures of cervical cancer cells, one normal keratinocyte cell line and 74 human biopsies were used in the experiments. The mRNA and protein levels of the Kir6.2 subunit were assessed by reverse transcription-polymerase chain reaction and immunochemistry, respectively. Cell proliferation was evaluated by MTT assay. Kir6.2 subunit overexpression compared with control, was observed in some cervical cancer cell lines and cervical tumor tissues. Additionally, increased K(ATP) channel expression was observed in high-grade, poorly differentiated and invasive human cervical cancer biopsies. Kir6.2 subunit expression was not observed in the majority of the non-cancerous cervical tissues. The effect of the K(ATP) channel blocker glibenclamide on the proliferation of five different cervical cancer cell lines was studied, revealing that as Kir6.2 mRNA expression increased, the inhibitory effect of glibenclamide also increased. The results of the present study suggest, for the first time to the best of our knowledge, that the K(ATP) channel subunits, Kir6.2 and SUR2, could potentially represent tools for diagnosing and treating cervical cancer.","author":[{"dropping-particle":"","family":"Vázquez-Sánchez","given":"Alma Yolanda","non-dropping-particle":"","parse-names":false,"suffix":""},{"dropping-particle":"","family":"Hinojosa","given":"Luz María","non-dropping-particle":"","parse-names":false,"suffix":""},{"dropping-particle":"","family":"Parraguirre-Martínez","given":"Sara","non-dropping-particle":"","parse-names":false,"suffix":""},{"dropping-particle":"","family":"González","given":"Aarón","non-dropping-particle":"","parse-names":false,"suffix":""},{"dropping-particle":"","family":"Morales","given":"Flavia","non-dropping-particle":"","parse-names":false,"suffix":""},{"dropping-particle":"","family":"Montalvo","given":"Gonzalo","non-dropping-particle":"","parse-names":false,"suffix":""},{"dropping-particle":"","family":"Vera","given":"Eunice","non-dropping-particle":"","parse-names":false,"suffix":""},{"dropping-particle":"","family":"Hernández-Gallegos","given":"Elisabeth","non-dropping-particle":"","parse-names":false,"suffix":""},{"dropping-particle":"","family":"Camacho","given":"Javier","non-dropping-particle":"","parse-names":false,"suffix":""}],"container-title":"Oncology letters","id":"ITEM-1","issue":"5","issued":{"date-parts":[["2018","5"]]},"language":"eng","page":"6302-6308","title":"Expression of K(ATP) channels in human cervical cancer: Potential tools for  diagnosis and therapy.","type":"article-journal","volume":"15"},"uris":["http://www.mendeley.com/documents/?uuid=1bdafe56-6f5b-4a30-a84b-1be0c5c39baa"]}],"mendeley":{"formattedCitation":"(Vázquez-Sánchez et al., 2018)","plainTextFormattedCitation":"(Vázquez-Sánchez et al., 2018)","previouslyFormattedCitation":"[76]"},"properties":{"noteIndex":0},"schema":"https://github.com/citation-style-language/schema/raw/master/csl-citation.json"}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(Vázquez-Sánchez et al., 2018)</w:t>
            </w:r>
            <w:r w:rsidRPr="00F25A40">
              <w:rPr>
                <w:rFonts w:eastAsia="Palatino Linotype" w:cs="Palatino Linotype"/>
                <w:lang w:eastAsia="it-IT"/>
              </w:rPr>
              <w:fldChar w:fldCharType="end"/>
            </w:r>
          </w:p>
        </w:tc>
      </w:tr>
      <w:tr w:rsidR="00CE677F" w:rsidRPr="00F25A40" w14:paraId="01F08B50" w14:textId="77777777" w:rsidTr="00C40F02">
        <w:trPr>
          <w:jc w:val="center"/>
        </w:trPr>
        <w:tc>
          <w:tcPr>
            <w:tcW w:w="1838" w:type="dxa"/>
            <w:shd w:val="clear" w:color="auto" w:fill="auto"/>
            <w:vAlign w:val="center"/>
          </w:tcPr>
          <w:p w14:paraId="12F05721"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of </w:t>
            </w:r>
            <w:r w:rsidRPr="00F25A40">
              <w:rPr>
                <w:rFonts w:eastAsia="Palatino Linotype" w:cs="Palatino Linotype"/>
                <w:i/>
                <w:iCs/>
                <w:lang w:eastAsia="it-IT"/>
              </w:rPr>
              <w:t>KCNJ8</w:t>
            </w:r>
            <w:r w:rsidRPr="00F25A40">
              <w:rPr>
                <w:rFonts w:eastAsia="Palatino Linotype" w:cs="Palatino Linotype"/>
                <w:lang w:eastAsia="it-IT"/>
              </w:rPr>
              <w:t xml:space="preserve"> and </w:t>
            </w:r>
            <w:r w:rsidRPr="00F25A40">
              <w:rPr>
                <w:rFonts w:eastAsia="Palatino Linotype" w:cs="Palatino Linotype"/>
                <w:i/>
                <w:iCs/>
                <w:lang w:eastAsia="it-IT"/>
              </w:rPr>
              <w:t>ABCC8</w:t>
            </w:r>
          </w:p>
        </w:tc>
        <w:tc>
          <w:tcPr>
            <w:tcW w:w="1559" w:type="dxa"/>
            <w:shd w:val="clear" w:color="auto" w:fill="auto"/>
            <w:vAlign w:val="center"/>
          </w:tcPr>
          <w:p w14:paraId="294B37A0"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Glioma</w:t>
            </w:r>
          </w:p>
        </w:tc>
        <w:tc>
          <w:tcPr>
            <w:tcW w:w="1985" w:type="dxa"/>
            <w:shd w:val="clear" w:color="auto" w:fill="auto"/>
            <w:vAlign w:val="center"/>
          </w:tcPr>
          <w:p w14:paraId="45A1B62A"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20 human glioma biopsies</w:t>
            </w:r>
          </w:p>
        </w:tc>
        <w:tc>
          <w:tcPr>
            <w:tcW w:w="2551" w:type="dxa"/>
            <w:shd w:val="clear" w:color="auto" w:fill="auto"/>
            <w:vAlign w:val="center"/>
          </w:tcPr>
          <w:p w14:paraId="67D6363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The Kir6.2 and Sur1 subunits of the K ATP channel are involved in the proliferation of U87 and U251 glioma cells. The K ATP channel inhibitors significantly reduced the growth curve. On the other hand, K ATP channel agonists promoted the proliferation of U87 and U251 cells.</w:t>
            </w:r>
          </w:p>
        </w:tc>
        <w:tc>
          <w:tcPr>
            <w:tcW w:w="1276" w:type="dxa"/>
            <w:shd w:val="clear" w:color="auto" w:fill="auto"/>
            <w:vAlign w:val="center"/>
          </w:tcPr>
          <w:p w14:paraId="1FEA7E00"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{"citationItems":[{"id":"ITEM-1","itemData":{"DOI":"10.1093/carcin/bgp034","ISSN":"0143-3334","abstract":"Ion channels are found in a variety of cancer cells and necessary for cell cycle and cell proliferation. The roles of K + channels in the process are, however, poorly understood. In the present study, we report that adenosine triphosphate (ATP)-sensitive potassium channel activity plays a critical role in the proliferation of glioma cells. The expression of K ATP channels in glioma tissues was greatly increased than that in normal tissues. Treatment of glioma cells with tolbutamide, K ATP channels inhibitor, suppressed the proliferation of glioma cells and blocked glioma cell cycle in G 0 /G 1 phase. Similarly, downregulation of K ATP channels by small interfering RNA (siRNA) inhibited glioma cell proliferation. On the other hand, K ATP channels agonist diazoxide and overexpression of K ATP channels promoted the proliferation of glioma cells. Moreover, inhibiting K ATP channels slowed the formation of tumor in nude mice generated by injection of glioma cells. Whereas activating K ATP channels promoted development of tumor in vivo . The effect of K ATP channels activity on glioma cells proliferation is mediated by extracellular signal-regulated kinase (ERK) activation. We found that activating K ATP channel triggered ERK activation and inhibiting K ATP channel depressed ERK activation. U-0126, the mitogen-activated protein kinase kinase (MAPK kinase) inhibitors blocked ERK activation and cell proliferation induced by diazoxide. Furthermore, constitutively activated MEK plasmids transfection reversed the inhibitory effects of tolbutamide on glioma proliferation, lending further support for a role of ERK in mediating this process. Our results suggest that K ATP channels control glioma cell proliferation via regulating ERK pathway. We concluded that K ATP channels are important in pathological cell proliferation and open a promising pathway for novel targeted therapies. ","author":[{"dropping-particle":"","family":"Huang","given":"Lianyan","non-dropping-particle":"","parse-names":false,"suffix":""},{"dropping-particle":"","family":"Li","given":"Boxing","non-dropping-particle":"","parse-names":false,"suffix":""},{"dropping-particle":"","family":"Li","given":"Wenjun","non-dropping-particle":"","parse-names":false,"suffix":""},{"dropping-particle":"","family":"Guo","given":"Hongbo","non-dropping-particle":"","parse-names":false,"suffix":""},{"dropping-particle":"","family":"Zou","given":"Fei","non-dropping-particle":"","parse-names":false,"suffix":""}],"container-title":"Carcinogenesis","id":"ITEM-1","issue":"5","issued":{"date-parts":[["2009","5","1"]]},"page":"737-744","title":"ATP-sensitive potassium channels control glioma cells proliferation by regulating ERK activity","type":"article-journal","volume":"30"},"uris":["http://www.mendeley.com/documents/?uuid=88fff7eb-e586-4aed-b39c-07271e1e26ca"]}],"mendeley":{"formattedCitation":"(Huang et al., 2009)","plainTextFormattedCitation":"(Huang et al., 2009)","previouslyFormattedCitation":"[33]"},"properties":{"noteIndex":0},"schema":"https://github.com/citation-style-language/schema/raw/master/csl-citation.json"}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(Huang et al., 2009)</w:t>
            </w:r>
            <w:r w:rsidRPr="00F25A40">
              <w:rPr>
                <w:rFonts w:eastAsia="Palatino Linotype" w:cs="Palatino Linotype"/>
                <w:lang w:eastAsia="it-IT"/>
              </w:rPr>
              <w:fldChar w:fldCharType="end"/>
            </w:r>
          </w:p>
        </w:tc>
      </w:tr>
      <w:tr w:rsidR="00CE677F" w:rsidRPr="00F25A40" w14:paraId="4CDA31CC" w14:textId="77777777" w:rsidTr="00C40F02">
        <w:trPr>
          <w:jc w:val="center"/>
        </w:trPr>
        <w:tc>
          <w:tcPr>
            <w:tcW w:w="1838" w:type="dxa"/>
            <w:shd w:val="clear" w:color="auto" w:fill="auto"/>
            <w:vAlign w:val="center"/>
          </w:tcPr>
          <w:p w14:paraId="041D3037"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Down-regulation of </w:t>
            </w:r>
            <w:r w:rsidRPr="00F25A40">
              <w:rPr>
                <w:rFonts w:eastAsia="Palatino Linotype" w:cs="Palatino Linotype"/>
                <w:i/>
                <w:iCs/>
                <w:lang w:eastAsia="it-IT"/>
              </w:rPr>
              <w:t>ABCC9</w:t>
            </w:r>
          </w:p>
        </w:tc>
        <w:tc>
          <w:tcPr>
            <w:tcW w:w="1559" w:type="dxa"/>
            <w:shd w:val="clear" w:color="auto" w:fill="auto"/>
            <w:vAlign w:val="center"/>
          </w:tcPr>
          <w:p w14:paraId="6ECF71A4"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Triple-negative breast cancer (TNBC)</w:t>
            </w:r>
          </w:p>
        </w:tc>
        <w:tc>
          <w:tcPr>
            <w:tcW w:w="4536" w:type="dxa"/>
            <w:gridSpan w:val="2"/>
            <w:shd w:val="clear" w:color="auto" w:fill="auto"/>
            <w:vAlign w:val="center"/>
          </w:tcPr>
          <w:p w14:paraId="2747923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103 TNBC samples (seven of which with corresponding paracancer samples)</w:t>
            </w:r>
          </w:p>
        </w:tc>
        <w:tc>
          <w:tcPr>
            <w:tcW w:w="1276" w:type="dxa"/>
            <w:shd w:val="clear" w:color="auto" w:fill="auto"/>
            <w:vAlign w:val="center"/>
          </w:tcPr>
          <w:p w14:paraId="7FC1E77A"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{"citationItems":[{"id":"ITEM-1","itemData":{"DOI":"https://doi.org/10.1002/cbin.11406","ISSN":"1065-6995","abstract":"Abstract Triple-negative breast cancer (TNBC) is a highly heterogeneous disease. The aim of this study is to identify the diagnostic and poor prognostic signatures in TNBC by exploring the aberrant DNA methylation and gene expression. Differential expression and methylation analysis of the TNBC and paracancer samples from The Cancer Genome Atlas were performed. Gene set enrichment and protein?protein interaction (PPI) network analysis was used to explore the mechanisms of TNBC. Methylation-gene expression correlation analysis was performed, and multivariate Cox analysis and receiver operating characteristics analysis were used to further screen the hub genes for TNBC. We identified 1,525 differentially expressed genes and 150 differentially methylated genes between TNBC and paracancer samples. About 96.64% of the methylation sites were located on the CpG island. A total of 17 Gene Ontology biological process terms and 18 signal pathways were significantly enriched. GNG4, GNG11, PENK, MAOA, and AOX1 were identified as the core genes of the PPI network. Methylation-expression correlations revealed that ABCC9 (cg06951626), NKAPL (cg18675097, cg01031101, and cg17384889), and TMEM132C (cg03530754) showed promise as diagnostic and prognostic markers in TNBC. ABCC9 (cg06951626), NKAPL (cg18675097, cg01031101, and cg17384889), and TMEM132C (cg03530754) were potential diagnostic and prognostic markers in TNBC.","author":[{"dropping-particle":"","family":"Zhang","given":"Xiaoyu","non-dropping-particle":"","parse-names":false,"suffix":""},{"dropping-particle":"","family":"Kang","given":"Xiaoning","non-dropping-particle":"","parse-names":false,"suffix":""},{"dropping-particle":"","family":"Jin","given":"Lijun","non-dropping-particle":"","parse-names":false,"suffix":""},{"dropping-particle":"","family":"Bai","given":"Jie","non-dropping-particle":"","parse-names":false,"suffix":""},{"dropping-particle":"","family":"Zhang","given":"Hui","non-dropping-particle":"","parse-names":false,"suffix":""},{"dropping-particle":"","family":"Liu","given":"Wei","non-dropping-particle":"","parse-names":false,"suffix":""},{"dropping-particle":"","family":"Wang","given":"Zunyi","non-dropping-particle":"","parse-names":false,"suffix":""}],"container-title":"Cell Biology International","id":"ITEM-1","issue":"10","issued":{"date-parts":[["2020","10","1"]]},"note":"https://doi.org/10.1002/cbin.11406","page":"2002-2010","publisher":"John Wiley &amp; Sons, Ltd","title":"ABCC9, NKAPL, and TMEM132C are potential diagnostic and prognostic markers in triple-negative breast cancer","type":"article-journal","volume":"44"},"uris":["http://www.mendeley.com/documents/?uuid=6f041e5a-4dcb-4bab-802e-4190303a9d8c"]}],"mendeley":{"formattedCitation":"(Zhang et al., 2020)","plainTextFormattedCitation":"(Zhang et al., 2020)","previouslyFormattedCitation":"[77]"},"properties":{"noteIndex":0},"schema":"https://github.com/citation-style-language/schema/raw/master/csl-citation.json"}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(Zhang et al., 2020)</w:t>
            </w:r>
            <w:r w:rsidRPr="00F25A40">
              <w:rPr>
                <w:rFonts w:eastAsia="Palatino Linotype" w:cs="Palatino Linotype"/>
                <w:lang w:eastAsia="it-IT"/>
              </w:rPr>
              <w:fldChar w:fldCharType="end"/>
            </w:r>
          </w:p>
        </w:tc>
      </w:tr>
      <w:tr w:rsidR="00CE677F" w:rsidRPr="00F25A40" w14:paraId="630616AB" w14:textId="77777777" w:rsidTr="00C40F02">
        <w:trPr>
          <w:jc w:val="center"/>
        </w:trPr>
        <w:tc>
          <w:tcPr>
            <w:tcW w:w="1838" w:type="dxa"/>
            <w:shd w:val="clear" w:color="auto" w:fill="auto"/>
            <w:vAlign w:val="center"/>
          </w:tcPr>
          <w:p w14:paraId="69B5505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of </w:t>
            </w:r>
            <w:r w:rsidRPr="00F25A40">
              <w:rPr>
                <w:rFonts w:eastAsia="Palatino Linotype" w:cs="Palatino Linotype"/>
                <w:i/>
                <w:lang w:eastAsia="it-IT"/>
              </w:rPr>
              <w:t xml:space="preserve">ABCC8 </w:t>
            </w:r>
            <w:r w:rsidRPr="00F25A40">
              <w:rPr>
                <w:rFonts w:eastAsia="Palatino Linotype" w:cs="Palatino Linotype"/>
                <w:lang w:eastAsia="it-IT"/>
              </w:rPr>
              <w:t xml:space="preserve">and </w:t>
            </w:r>
            <w:r w:rsidRPr="00F25A40">
              <w:rPr>
                <w:rFonts w:eastAsia="Palatino Linotype" w:cs="Palatino Linotype"/>
                <w:i/>
                <w:lang w:eastAsia="it-IT"/>
              </w:rPr>
              <w:t>ABCC9</w:t>
            </w:r>
          </w:p>
        </w:tc>
        <w:tc>
          <w:tcPr>
            <w:tcW w:w="1559" w:type="dxa"/>
            <w:shd w:val="clear" w:color="auto" w:fill="auto"/>
            <w:vAlign w:val="center"/>
          </w:tcPr>
          <w:p w14:paraId="6BD76B99"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Gastric cancer (GC)</w:t>
            </w:r>
          </w:p>
        </w:tc>
        <w:tc>
          <w:tcPr>
            <w:tcW w:w="1985" w:type="dxa"/>
            <w:shd w:val="clear" w:color="auto" w:fill="auto"/>
            <w:vAlign w:val="center"/>
          </w:tcPr>
          <w:p w14:paraId="4247B88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Analysis of a transcriptomic dataset of 1065 CG patients collected in 3 major medical centers in Berlin, Bethesda, and Melbourne.</w:t>
            </w:r>
          </w:p>
        </w:tc>
        <w:tc>
          <w:tcPr>
            <w:tcW w:w="2551" w:type="dxa"/>
            <w:shd w:val="clear" w:color="auto" w:fill="auto"/>
            <w:vAlign w:val="center"/>
          </w:tcPr>
          <w:p w14:paraId="547FEFA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The high expression of most ABCC family members including </w:t>
            </w:r>
            <w:r w:rsidRPr="00F25A40">
              <w:rPr>
                <w:rFonts w:eastAsia="Palatino Linotype" w:cs="Palatino Linotype"/>
                <w:i/>
                <w:iCs/>
                <w:lang w:eastAsia="it-IT"/>
              </w:rPr>
              <w:t>ABCC8/9</w:t>
            </w:r>
            <w:r w:rsidRPr="00F25A40">
              <w:rPr>
                <w:rFonts w:eastAsia="Palatino Linotype" w:cs="Palatino Linotype"/>
                <w:lang w:eastAsia="it-IT"/>
              </w:rPr>
              <w:t xml:space="preserve"> suggested a poor prognosis of GC</w:t>
            </w:r>
            <w:r w:rsidRPr="00F25A40">
              <w:rPr>
                <w:rFonts w:eastAsia="Palatino Linotype" w:cs="Palatino Linotype"/>
                <w:i/>
                <w:iCs/>
                <w:lang w:eastAsia="it-IT"/>
              </w:rPr>
              <w:t xml:space="preserve">. ABCC8, ABCC9 </w:t>
            </w:r>
            <w:r w:rsidRPr="00F25A40">
              <w:rPr>
                <w:rFonts w:eastAsia="Palatino Linotype" w:cs="Palatino Linotype"/>
                <w:lang w:eastAsia="it-IT"/>
              </w:rPr>
              <w:t>along with other</w:t>
            </w:r>
            <w:r w:rsidRPr="00F25A40">
              <w:rPr>
                <w:rFonts w:eastAsia="Palatino Linotype" w:cs="Palatino Linotype"/>
                <w:i/>
                <w:iCs/>
                <w:lang w:eastAsia="it-IT"/>
              </w:rPr>
              <w:t xml:space="preserve"> ABCCs (ABCC1, ABCC3, ABCC7, </w:t>
            </w:r>
            <w:r w:rsidRPr="00F25A40">
              <w:rPr>
                <w:rFonts w:eastAsia="Palatino Linotype" w:cs="Palatino Linotype"/>
                <w:lang w:eastAsia="it-IT"/>
              </w:rPr>
              <w:t>and</w:t>
            </w:r>
            <w:r w:rsidRPr="00F25A40">
              <w:rPr>
                <w:rFonts w:eastAsia="Palatino Linotype" w:cs="Palatino Linotype"/>
                <w:i/>
                <w:iCs/>
                <w:lang w:eastAsia="it-IT"/>
              </w:rPr>
              <w:t xml:space="preserve"> ABCC10</w:t>
            </w:r>
            <w:r w:rsidRPr="00F25A40">
              <w:rPr>
                <w:rFonts w:eastAsia="Palatino Linotype" w:cs="Palatino Linotype"/>
                <w:lang w:eastAsia="it-IT"/>
              </w:rPr>
              <w:t>) may be potential biomarkers of prognosis for GC</w:t>
            </w:r>
          </w:p>
        </w:tc>
        <w:tc>
          <w:tcPr>
            <w:tcW w:w="1276" w:type="dxa"/>
            <w:shd w:val="clear" w:color="auto" w:fill="auto"/>
            <w:vAlign w:val="center"/>
          </w:tcPr>
          <w:p w14:paraId="4B1AED1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{"citationItems":[{"id":"ITEM-1","itemData":{"DOI":"10.1097/MD.0000000000018347","ISSN":"1536-5964 (Electronic)","PMID":"31852133","abstract":"Gastric cancer (GC) is one of the major leading causes of tumor-related deaths  worldwide. Adenosine triphosphate-binding cassette subfamily C (ABCC) consists of 13 members, ABCC1 to 13, which were examined for their associations with GC.The online Kaplan-Meier Plotter database was used to determine the prognostic significance of ABCC subfamily members in GC. Stratified analyses were performed using gender, disease stage, degree of tumor differentiation, expression of human epidermal growth factor receptor 2 (HER2), and Lauren classification. Molecular mechanisms were examined using the database for annotation, visualization, and integrated discovery database.ABCC1, ABCC3, ABCC7, ABCC8, ABCC9, and ABCC10 expression showed prognostic significance in the whole population and in male and female subpopulations (all P ≤ .05). Furthermore, high expression of most ABCC family members always suggested a poor prognosis, except for ABCC7 (P &gt; .05). Stratified analyses revealed that ABCC1, ABCC3, ABCC7, ABCC8, ABCC9, and ABCC10 expression showed prognostic significance for the whole population, as well as male and female populations. ABCC2 and ABCC9 were significantly correlated with all disease stages, while ABCC2 and ABCC6 were significantly correlated with all Lauren classifications. Expression of ABCC1, ABCC3, ABCC5, ABCC7, ABCC8, ABCC9, and ABCC10 was significantly correlated with either negative or positive of HER2 status (all P ≤ .05). Enrichment analysis indicated that these genes were involved in ATPase activity, transmembrane transport, or were ABC transporters (all P ≤ .05).ABCC1, ABCC3, ABCC7, ABCC8, ABCC9, and ABCC10 may be potential prognosis biomarkers for GC, acting as ABC transporters and via ATPase activity.","author":[{"dropping-particle":"","family":"Mao","given":"Xianshuang","non-dropping-particle":"","parse-names":false,"suffix":""},{"dropping-particle":"","family":"He","given":"Zhenhua","non-dropping-particle":"","parse-names":false,"suffix":""},{"dropping-particle":"","family":"Zhou","given":"Fengsheng","non-dropping-particle":"","parse-names":false,"suffix":""},{"dropping-particle":"","family":"Huang","given":"Yongchu","non-dropping-particle":"","parse-names":false,"suffix":""},{"dropping-particle":"","family":"Zhu","given":"Guangzhi","non-dropping-particle":"","parse-names":false,"suffix":""}],"container-title":"Medicine","id":"ITEM-1","issue":"50","issued":{"date-parts":[["2019","12"]]},"language":"eng","page":"e18347","title":"Prognostic significance and molecular mechanisms of adenosine triphosphate-binding  cassette subfamily C members in gastric cancer.","type":"article-journal","volume":"98"},"uris":["http://www.mendeley.com/documents/?uuid=01b9f776-8b4c-40c2-8e31-a7f1106049d0"]}],"mendeley":{"formattedCitation":"(Mao et al., 2019)","plainTextFormattedCitation":"(Mao et al., 2019)","previouslyFormattedCitation":"[78]"},"properties":{"noteIndex":0},"schema":"https://github.com/citation-style-language/schema/raw/master/csl-citation.json"}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(Mao et al., 2019)</w:t>
            </w:r>
            <w:r w:rsidRPr="00F25A40">
              <w:rPr>
                <w:rFonts w:eastAsia="Palatino Linotype" w:cs="Palatino Linotype"/>
                <w:lang w:eastAsia="it-IT"/>
              </w:rPr>
              <w:fldChar w:fldCharType="end"/>
            </w:r>
          </w:p>
        </w:tc>
      </w:tr>
      <w:tr w:rsidR="00CE677F" w:rsidRPr="00F25A40" w14:paraId="1AFF3876" w14:textId="77777777" w:rsidTr="00C40F02">
        <w:trPr>
          <w:jc w:val="center"/>
        </w:trPr>
        <w:tc>
          <w:tcPr>
            <w:tcW w:w="1838" w:type="dxa"/>
            <w:shd w:val="clear" w:color="auto" w:fill="auto"/>
            <w:vAlign w:val="center"/>
          </w:tcPr>
          <w:p w14:paraId="7BA0885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Down-regulation of </w:t>
            </w:r>
            <w:r w:rsidRPr="00F25A40">
              <w:rPr>
                <w:rFonts w:eastAsia="Palatino Linotype" w:cs="Palatino Linotype"/>
                <w:i/>
                <w:iCs/>
                <w:lang w:eastAsia="it-IT"/>
              </w:rPr>
              <w:t>ABCC9</w:t>
            </w:r>
          </w:p>
        </w:tc>
        <w:tc>
          <w:tcPr>
            <w:tcW w:w="1559" w:type="dxa"/>
            <w:shd w:val="clear" w:color="auto" w:fill="auto"/>
            <w:vAlign w:val="center"/>
          </w:tcPr>
          <w:p w14:paraId="589C6DB7"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Prostate cancer(PCa)</w:t>
            </w:r>
          </w:p>
        </w:tc>
        <w:tc>
          <w:tcPr>
            <w:tcW w:w="1985" w:type="dxa"/>
            <w:shd w:val="clear" w:color="auto" w:fill="auto"/>
            <w:vAlign w:val="center"/>
          </w:tcPr>
          <w:p w14:paraId="0429F12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Analysis of prostate tissue samples from 104 PSA-screened at the Vilnius University Urology Center from 2008 to 2014.</w:t>
            </w:r>
          </w:p>
        </w:tc>
        <w:tc>
          <w:tcPr>
            <w:tcW w:w="2551" w:type="dxa"/>
            <w:shd w:val="clear" w:color="auto" w:fill="auto"/>
            <w:vAlign w:val="center"/>
          </w:tcPr>
          <w:p w14:paraId="58153FA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Changes in ABC gene expression including </w:t>
            </w:r>
            <w:r w:rsidRPr="00F25A40">
              <w:rPr>
                <w:rFonts w:eastAsia="Palatino Linotype" w:cs="Palatino Linotype"/>
                <w:i/>
                <w:iCs/>
                <w:lang w:eastAsia="it-IT"/>
              </w:rPr>
              <w:t>ABCC9</w:t>
            </w:r>
            <w:r w:rsidRPr="00F25A40">
              <w:rPr>
                <w:rFonts w:eastAsia="Palatino Linotype" w:cs="Palatino Linotype"/>
                <w:lang w:eastAsia="it-IT"/>
              </w:rPr>
              <w:t xml:space="preserve"> may favor the development of a progressive PCa phenotype resistant to antiandrogen therapy.</w:t>
            </w:r>
          </w:p>
        </w:tc>
        <w:tc>
          <w:tcPr>
            <w:tcW w:w="1276" w:type="dxa"/>
            <w:shd w:val="clear" w:color="auto" w:fill="auto"/>
            <w:vAlign w:val="center"/>
          </w:tcPr>
          <w:p w14:paraId="4238E03C"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{"citationItems":[{"id":"ITEM-1","itemData":{"DOI":"10.1186/s12885-015-1689-8","ISSN":"1471-2407 (Electronic)","PMID":"26459268","abstract":"BACKGROUND: ATP-binding cassette (ABC) transporters are transmembrane proteins  responsible for the efflux of a wide variety of substrates, including steroid metabolites, through the cellular membranes. For better characterization of the role of ABC transporters in prostate cancer (PCa) development, the profile of ABC transporter gene expression was analyzed in PCa and noncancerous prostate tissues (NPT). METHODS: TaqMan Low Density Array (TLDA) human ABC transporter plates were used for the gene expression profiling in 10 PCa and 6 NPT specimens. ABCB1 transcript level was evaluated in a larger set of PCa cases (N = 78) and NPT (N = 15) by real-time PCR, the same PCa cases were assessed for the gene promoter hypermethylation by methylation-specific PCR. RESULTS: Expression of eight ABC transporter genes (ABCA8, ABCB1, ABCC6, ABCC9, ABCC10, ABCD2, ABCG2, and ABCG4) was significantly down-regulated in PCa as compared to NPT, and only two genes (ABCC4 and ABCG1) were up-regulated. Down-regulation of ABC transporter genes was prevalent in the TMPRSS2-ERG-negative cases. A detailed analysis of ABCB1 expression confirmed TLDA results: a reduced level of the transcript was identified in PCa in comparison to NPT (p = 0.048). Moreover, the TMPRSS2-ERG-negative PCa cases showed significantly lower expression of ABCB1 in comparison to NPT (p = 0.003) or the fusion-positive tumors (p = 0.002). Promoter methylation of ABCB1 predominantly occurred in PCa and was rarely detected in NPT (p &lt; 0.001). CONCLUSIONS: The study suggests frequent down-regulation of the ABC transporter genes in PCa, especially in the TMPRSS2-ERG-negative tumors.","author":[{"dropping-particle":"","family":"Demidenko","given":"Rita","non-dropping-particle":"","parse-names":false,"suffix":""},{"dropping-particle":"","family":"Razanauskas","given":"Deividas","non-dropping-particle":"","parse-names":false,"suffix":""},{"dropping-particle":"","family":"Daniunaite","given":"Kristina","non-dropping-particle":"","parse-names":false,"suffix":""},{"dropping-particle":"","family":"Lazutka","given":"Juozas Rimantas","non-dropping-particle":"","parse-names":false,"suffix":""},{"dropping-particle":"","family":"Jankevicius","given":"Feliksas","non-dropping-particle":"","parse-names":false,"suffix":""},{"dropping-particle":"","family":"Jarmalaite","given":"Sonata","non-dropping-particle":"","parse-names":false,"suffix":""}],"container-title":"BMC cancer","id":"ITEM-1","issued":{"date-parts":[["2015","10"]]},"language":"eng","page":"683","title":"Frequent down-regulation of ABC transporter genes in prostate cancer.","type":"article-journal","volume":"15"},"uris":["http://www.mendeley.com/documents/?uuid=01804184-b43c-4a0e-af6a-6813dcc5bef2"]}],"mendeley":{"formattedCitation":"(Demidenko et al., 2015)","plainTextFormattedCitation":"(Demidenko et al., 2015)","previouslyFormattedCitation":"[79]"},"properties":{"noteIndex":0},"schema":"https://github.com/citation-style-language/schema/raw/master/csl-citation.json"}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(Demidenko et al., 2015)</w:t>
            </w:r>
            <w:r w:rsidRPr="00F25A40">
              <w:rPr>
                <w:rFonts w:eastAsia="Palatino Linotype" w:cs="Palatino Linotype"/>
                <w:lang w:eastAsia="it-IT"/>
              </w:rPr>
              <w:fldChar w:fldCharType="end"/>
            </w:r>
          </w:p>
        </w:tc>
      </w:tr>
      <w:tr w:rsidR="00CE677F" w:rsidRPr="00F25A40" w14:paraId="418728DD" w14:textId="77777777" w:rsidTr="00C40F02">
        <w:trPr>
          <w:jc w:val="center"/>
        </w:trPr>
        <w:tc>
          <w:tcPr>
            <w:tcW w:w="1838" w:type="dxa"/>
            <w:shd w:val="clear" w:color="auto" w:fill="auto"/>
            <w:vAlign w:val="center"/>
          </w:tcPr>
          <w:p w14:paraId="4C25D877"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of </w:t>
            </w:r>
            <w:r w:rsidRPr="00F25A40">
              <w:rPr>
                <w:rFonts w:eastAsia="Palatino Linotype" w:cs="Palatino Linotype"/>
                <w:i/>
                <w:iCs/>
                <w:lang w:eastAsia="it-IT"/>
              </w:rPr>
              <w:t>KCNJ8</w:t>
            </w:r>
          </w:p>
        </w:tc>
        <w:tc>
          <w:tcPr>
            <w:tcW w:w="1559" w:type="dxa"/>
            <w:shd w:val="clear" w:color="auto" w:fill="auto"/>
            <w:vAlign w:val="center"/>
          </w:tcPr>
          <w:p w14:paraId="62EE1FA6"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Adenocarcinoma of the esophagus (EAC)</w:t>
            </w:r>
          </w:p>
        </w:tc>
        <w:tc>
          <w:tcPr>
            <w:tcW w:w="1985" w:type="dxa"/>
            <w:shd w:val="clear" w:color="auto" w:fill="auto"/>
            <w:vAlign w:val="center"/>
          </w:tcPr>
          <w:p w14:paraId="64411C0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Samples from 40 patients</w:t>
            </w:r>
          </w:p>
        </w:tc>
        <w:tc>
          <w:tcPr>
            <w:tcW w:w="2551" w:type="dxa"/>
            <w:shd w:val="clear" w:color="auto" w:fill="auto"/>
            <w:vAlign w:val="center"/>
          </w:tcPr>
          <w:p w14:paraId="30DC90D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Differential expression can be considered as the signature of the marker and can contribute to </w:t>
            </w:r>
            <w:r w:rsidRPr="00F25A40">
              <w:rPr>
                <w:rFonts w:eastAsia="Palatino Linotype" w:cs="Palatino Linotype"/>
                <w:lang w:eastAsia="it-IT"/>
              </w:rPr>
              <w:lastRenderedPageBreak/>
              <w:t>the early detection of cancer cells, to develop better detection of esophageal cancer concepts for earlier therapy and a more favorable prognosis.</w:t>
            </w:r>
          </w:p>
        </w:tc>
        <w:tc>
          <w:tcPr>
            <w:tcW w:w="1276" w:type="dxa"/>
            <w:shd w:val="clear" w:color="auto" w:fill="auto"/>
            <w:vAlign w:val="center"/>
          </w:tcPr>
          <w:p w14:paraId="18AD0AE1"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lastRenderedPageBreak/>
              <w:fldChar w:fldCharType="begin" w:fldLock="1"/>
            </w:r>
            <w:r>
              <w:rPr>
                <w:rFonts w:eastAsia="Palatino Linotype" w:cs="Palatino Linotype"/>
                <w:lang w:eastAsia="it-IT"/>
              </w:rPr>
              <w:instrText>ADDIN CSL_CITATION {"citationItems":[{"id":"ITEM-1","itemData":{"DOI":"10.1007/s13277-015-4400-4","ISSN":"1423-0380 (Electronic)","PMID":"26631031","abstract":"Esophageal cancer is often diagnosed at an advanced stage. Diagnostic markers are  needed for achieving a cure in esophageal cancer detecting and treating tumor cells earlier. In patients with locally advanced squamous cell carcinoma of the esophagus (ESCC), we profiled the gene expression of ESCC compared to corresponding normal biopsies for diagnostic markers by genome microarrays. Profiling of gene expression identified 4844 genes differentially expressed, 2122 upregulated and 2722 downregulated in ESCC. Twenty-three overexpressed candidates with best scores from significance analysis have been selected for further analysis by TaqMan low-density array-technique using a validation cohort of 40 patients. The verification rate was 100 % for ESCC. Twenty-two markers were additionally overexpressed in adenocarcinoma of the esophagus (EAC). The markers significantly overexpressed already in earlier tumor stages (pT1-2) of both histological subtypes (n = 19) have been clustered in a \"diagnostic signature\": PLA2G7, PRAME, MMP1, MMP3, MMP12, LIlRB2, TREM2, CHST2, IGFBP2, IGFBP7, KCNJ8, EMILIN2, CTHRC1, EMR2, WDR72, LPCAT1, COL4A2, CCL4, and SNX10. The marker signature will be translated to clinical practice to prove its diagnostic impact. This diagnostic signature may contribute to the earlier detection of tumor cells, with the aim to complement clinical techniques resulting in the development of better detection of concepts of esophageal cancer for earlier therapy and more favorite prognosis.","author":[{"dropping-particle":"","family":"Warnecke-Eberz","given":"Ute","non-dropping-particle":"","parse-names":false,"suffix":""},{"dropping-particle":"","family":"Metzger","given":"Ralf","non-dropping-particle":"","parse-names":false,"suffix":""},{"dropping-particle":"","family":"Hölscher","given":"Arnulf H","non-dropping-particle":"","parse-names":false,"suffix":""},{"dropping-particle":"","family":"Drebber","given":"Uta","non-dropping-particle":"","parse-names":false,"suffix":""},{"dropping-particle":"","family":"Bollschweiler","given":"Elfriede","non-dropping-particle":"","parse-names":false,"suffix":""}],"container-title":"Tumour biology : the journal of the International Society for Oncodevelopmental  Biology and Medicine","id":"ITEM-1","issue":"5","issued":{"date-parts":[["2016","5"]]},"language":"eng","page":"6349-6358","publisher-place":"Netherlands","title":"Diagnostic marker signature for esophageal cancer from transcriptome analysis.","type":"article-journal","volume":"37"},"uris":["http://www.mendeley.com/documents/?uuid=5ecb6789-bade-40aa-85e0-d698f3902beb"]}],"mendeley":{"formattedCitation":"(Warnecke-Eberz et al., 2016)","plainTextFormattedCitation":"(Warnecke-Eberz et al., 2016)","previouslyFormattedCitation":"[80]"},"properties":{"noteIndex":0},"schema":"https://github.com/citation-style-language/schema/raw/master/csl-citation.json"}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(Warnecke-Eberz et al., 2016)</w:t>
            </w:r>
            <w:r w:rsidRPr="00F25A40">
              <w:rPr>
                <w:rFonts w:eastAsia="Palatino Linotype" w:cs="Palatino Linotype"/>
                <w:lang w:eastAsia="it-IT"/>
              </w:rPr>
              <w:fldChar w:fldCharType="end"/>
            </w:r>
          </w:p>
        </w:tc>
      </w:tr>
      <w:tr w:rsidR="00CE677F" w:rsidRPr="00F25A40" w14:paraId="6DD49C17" w14:textId="77777777" w:rsidTr="00C40F02">
        <w:trPr>
          <w:jc w:val="center"/>
        </w:trPr>
        <w:tc>
          <w:tcPr>
            <w:tcW w:w="1838" w:type="dxa"/>
            <w:shd w:val="clear" w:color="auto" w:fill="auto"/>
            <w:vAlign w:val="center"/>
          </w:tcPr>
          <w:p w14:paraId="793778E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Frameshift mutation (c.3512delT, p.L1171fs) in the </w:t>
            </w:r>
            <w:r w:rsidRPr="00F25A40">
              <w:rPr>
                <w:rFonts w:eastAsia="Palatino Linotype" w:cs="Palatino Linotype"/>
                <w:i/>
                <w:iCs/>
                <w:lang w:eastAsia="it-IT"/>
              </w:rPr>
              <w:t>ABCC8</w:t>
            </w:r>
            <w:r w:rsidRPr="00F25A40">
              <w:rPr>
                <w:rFonts w:eastAsia="Palatino Linotype" w:cs="Palatino Linotype"/>
                <w:lang w:eastAsia="it-IT"/>
              </w:rPr>
              <w:t xml:space="preserve"> gene located on chromosome 11p15.1</w:t>
            </w:r>
          </w:p>
        </w:tc>
        <w:tc>
          <w:tcPr>
            <w:tcW w:w="1559" w:type="dxa"/>
            <w:shd w:val="clear" w:color="auto" w:fill="auto"/>
            <w:vAlign w:val="center"/>
          </w:tcPr>
          <w:p w14:paraId="602729B6"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Hepatobla</w:t>
            </w:r>
          </w:p>
          <w:p w14:paraId="597810A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stoma</w:t>
            </w:r>
          </w:p>
        </w:tc>
        <w:tc>
          <w:tcPr>
            <w:tcW w:w="4536" w:type="dxa"/>
            <w:gridSpan w:val="2"/>
            <w:shd w:val="clear" w:color="auto" w:fill="auto"/>
            <w:vAlign w:val="center"/>
          </w:tcPr>
          <w:p w14:paraId="6E236880"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Case report: a child with congenital focal hyperinsulinism with a paternal hereditary </w:t>
            </w:r>
            <w:r w:rsidRPr="00F25A40">
              <w:rPr>
                <w:rFonts w:eastAsia="Palatino Linotype" w:cs="Palatino Linotype"/>
                <w:i/>
                <w:iCs/>
                <w:lang w:eastAsia="it-IT"/>
              </w:rPr>
              <w:t>ABCC8</w:t>
            </w:r>
            <w:r w:rsidRPr="00F25A40">
              <w:rPr>
                <w:rFonts w:eastAsia="Palatino Linotype" w:cs="Palatino Linotype"/>
                <w:lang w:eastAsia="it-IT"/>
              </w:rPr>
              <w:t xml:space="preserve"> mutation and paternal uniparental mosaic 11p disomy</w:t>
            </w:r>
          </w:p>
        </w:tc>
        <w:tc>
          <w:tcPr>
            <w:tcW w:w="1276" w:type="dxa"/>
            <w:shd w:val="clear" w:color="auto" w:fill="auto"/>
            <w:vAlign w:val="center"/>
          </w:tcPr>
          <w:p w14:paraId="5F6CD92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{"citationItems":[{"id":"ITEM-1","itemData":{"DOI":"https://doi.org/10.1016/j.ejmg.2012.12.001","ISSN":"1769-7212","abstract":"Hepatoblastoma is a tumour of early childhood occurring in association with genetic syndromes including Beckwith–Wiedemann Syndrome (BWS) which results from dominance of paternally-inherited genes on chromosome 11p15. We report a child without clinical BWS, neonatally diagnosed with focal congenital hyperinsulinism resulting from a paternally-inherited recessively-acting mutation of ABCC8 and pancreatic paternal uniparental disomy (UPD) for chromosome 11p15, who subsequently developed hepatoblastoma. Genetic testing showed UPD 11p15 in the pancreas and liver but not systemically, allowing the expression of mutated ABCC8 in both tissues. Infants with large or multifocal forms of focal congenital hyperinsulinism may be at risk of BWS-like tumours due to mosaic UPD despite negative whole-blood and buccal DNA testing and tumour surveillance should be considered for this minority.","author":[{"dropping-particle":"","family":"Calton","given":"Elizabeth A","non-dropping-particle":"","parse-names":false,"suffix":""},{"dropping-particle":"","family":"Temple","given":"I Karen","non-dropping-particle":"","parse-names":false,"suffix":""},{"dropping-particle":"","family":"Mackay","given":"Deborah J G","non-dropping-particle":"","parse-names":false,"suffix":""},{"dropping-particle":"","family":"Lever","given":"Margaret","non-dropping-particle":"","parse-names":false,"suffix":""},{"dropping-particle":"","family":"Ellard","given":"Sian","non-dropping-particle":"","parse-names":false,"suffix":""},{"dropping-particle":"","family":"Flanagan","given":"Sarah E","non-dropping-particle":"","parse-names":false,"suffix":""},{"dropping-particle":"","family":"Davies","given":"Justin H","non-dropping-particle":"","parse-names":false,"suffix":""},{"dropping-particle":"","family":"Hussain","given":"Khalid","non-dropping-particle":"","parse-names":false,"suffix":""},{"dropping-particle":"","family":"Gray","given":"Juliet C","non-dropping-particle":"","parse-names":false,"suffix":""}],"container-title":"European Journal of Medical Genetics","id":"ITEM-1","issue":"2","issued":{"date-parts":[["2013"]]},"page":"114-117","title":"Hepatoblastoma in a child with a paternally-inherited ABCC8 mutation and mosaic paternal uniparental disomy 11p causing focal congenital hyperinsulinism","type":"article-journal","volume":"56"},"uris":["http://www.mendeley.com/documents/?uuid=f7f7a05c-8c5a-4ec5-a16d-5a5e5019de77"]}],"mendeley":{"formattedCitation":"(Calton et al., 2013)","plainTextFormattedCitation":"(Calton et al., 2013)","previouslyFormattedCitation":"[81]"},"properties":{"noteIndex":0},"schema":"https://github.com/citation-style-language/schema/raw/master/csl-citation.json"}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(Calton et al., 2013)</w:t>
            </w:r>
            <w:r w:rsidRPr="00F25A40">
              <w:rPr>
                <w:rFonts w:eastAsia="Palatino Linotype" w:cs="Palatino Linotype"/>
                <w:lang w:eastAsia="it-IT"/>
              </w:rPr>
              <w:fldChar w:fldCharType="end"/>
            </w:r>
          </w:p>
        </w:tc>
      </w:tr>
      <w:tr w:rsidR="00CE677F" w:rsidRPr="00F25A40" w14:paraId="4D836667" w14:textId="77777777" w:rsidTr="00C40F02">
        <w:trPr>
          <w:jc w:val="center"/>
        </w:trPr>
        <w:tc>
          <w:tcPr>
            <w:tcW w:w="1838" w:type="dxa"/>
            <w:shd w:val="clear" w:color="auto" w:fill="auto"/>
            <w:vAlign w:val="center"/>
          </w:tcPr>
          <w:p w14:paraId="10750B2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Genetic alterations in noncoding regions of </w:t>
            </w:r>
            <w:r w:rsidRPr="00F25A40">
              <w:rPr>
                <w:rFonts w:eastAsia="Palatino Linotype" w:cs="Palatino Linotype"/>
                <w:i/>
                <w:iCs/>
                <w:lang w:eastAsia="it-IT"/>
              </w:rPr>
              <w:t>ABCC8</w:t>
            </w:r>
            <w:r w:rsidRPr="00F25A40">
              <w:rPr>
                <w:rFonts w:eastAsia="Palatino Linotype" w:cs="Palatino Linotype"/>
                <w:lang w:eastAsia="it-IT"/>
              </w:rPr>
              <w:t xml:space="preserve"> and the coding regions (synonymous, missense amino acid changes, and frameshift mutations)</w:t>
            </w:r>
          </w:p>
        </w:tc>
        <w:tc>
          <w:tcPr>
            <w:tcW w:w="1559" w:type="dxa"/>
            <w:shd w:val="clear" w:color="auto" w:fill="auto"/>
            <w:vAlign w:val="center"/>
          </w:tcPr>
          <w:p w14:paraId="7539A71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Breast cancer</w:t>
            </w:r>
          </w:p>
        </w:tc>
        <w:tc>
          <w:tcPr>
            <w:tcW w:w="1985" w:type="dxa"/>
            <w:shd w:val="clear" w:color="auto" w:fill="auto"/>
            <w:vAlign w:val="center"/>
          </w:tcPr>
          <w:p w14:paraId="3FCCFC7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Blood DNA samples from 24 breast cancer patients</w:t>
            </w:r>
          </w:p>
        </w:tc>
        <w:tc>
          <w:tcPr>
            <w:tcW w:w="2551" w:type="dxa"/>
            <w:shd w:val="clear" w:color="auto" w:fill="auto"/>
            <w:vAlign w:val="center"/>
          </w:tcPr>
          <w:p w14:paraId="35FE6807"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Exome sequencing identified several functionally relevant alterations in </w:t>
            </w:r>
            <w:r w:rsidRPr="00F25A40">
              <w:rPr>
                <w:rFonts w:eastAsia="Palatino Linotype" w:cs="Palatino Linotype"/>
                <w:i/>
                <w:iCs/>
                <w:lang w:eastAsia="it-IT"/>
              </w:rPr>
              <w:t>ABCC8</w:t>
            </w:r>
            <w:r w:rsidRPr="00F25A40">
              <w:rPr>
                <w:rFonts w:eastAsia="Palatino Linotype" w:cs="Palatino Linotype"/>
                <w:lang w:eastAsia="it-IT"/>
              </w:rPr>
              <w:t xml:space="preserve"> genes</w:t>
            </w:r>
          </w:p>
        </w:tc>
        <w:tc>
          <w:tcPr>
            <w:tcW w:w="1276" w:type="dxa"/>
            <w:shd w:val="clear" w:color="auto" w:fill="auto"/>
            <w:vAlign w:val="center"/>
          </w:tcPr>
          <w:p w14:paraId="7BE9A59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{"citationItems":[{"id":"ITEM-1","itemData":{"DOI":"10.33549/physiolres.933212","ISSN":"1802-9973 (Electronic)","PMID":"26681085","abstract":"The aim of the present study was to introduce methods for exome sequencing of two  ATP-binding cassette (ABC) transporters ABCC8 and ABCD2 recently suggested to play a putative role in breast cancer progression and prognosis of patients. We performed next generation sequencing targeted at analysis of all exons in ABCC8 and ABCD2 genes and surrounding noncoding sequences in blood DNA samples from 24 patients with breast cancer. The revealed alterations were characterized by in silico tools. We then compared the most frequent functionally relevant polymorphism rs757110 in ABCC8 with clinical data of patients. In total, the study identified 113 genetic alterations (&gt;70 % novel ones) in both genes. Of these alterations, 83 were noncoding, 13 synonymous, 10 frameshifts and 7 were missense alterations. Four in silico programs predicted pathogenicity of two polymorphisms and four newly identified alterations. Rs757110 polymorphism in ABCC8 did not significantly associate with clinical data of the patients. In conclusion, exome sequencing identified several functionally relevant alterations in ABCC8 and ABCD2 genes that may further be used for a larger follow-up study aiming to assess their clinical significance.","author":[{"dropping-particle":"","family":"Soucek","given":"P","non-dropping-particle":"","parse-names":false,"suffix":""},{"dropping-particle":"","family":"Hlavac","given":"V","non-dropping-particle":"","parse-names":false,"suffix":""},{"dropping-particle":"","family":"Elsnerova","given":"K","non-dropping-particle":"","parse-names":false,"suffix":""},{"dropping-particle":"","family":"Vaclavikova","given":"R","non-dropping-particle":"","parse-names":false,"suffix":""},{"dropping-particle":"","family":"Kozevnikovova","given":"R","non-dropping-particle":"","parse-names":false,"suffix":""},{"dropping-particle":"","family":"Raus","given":"K","non-dropping-particle":"","parse-names":false,"suffix":""}],"container-title":"Physiological research","id":"ITEM-1","issue":"Suppl 4","issued":{"date-parts":[["2015"]]},"language":"eng","page":"S549-57","publisher-place":"Czech Republic","title":"Whole exome sequencing analysis of ABCC8 and ABCD2 genes associating with clinical  course of breast carcinoma.","type":"article-journal","volume":"64"},"uris":["http://www.mendeley.com/documents/?uuid=0dd0ca33-82b5-4ca2-96d7-4d3baf3e8592"]}],"mendeley":{"formattedCitation":"(Soucek et al., 2015)","plainTextFormattedCitation":"(Soucek et al., 2015)","previouslyFormattedCitation":"[82]"},"properties":{"noteIndex":0},"schema":"https://github.com/citation-style-language/schema/raw/master/csl-citation.json"}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(Soucek et al., 2015)</w:t>
            </w:r>
            <w:r w:rsidRPr="00F25A40">
              <w:rPr>
                <w:rFonts w:eastAsia="Palatino Linotype" w:cs="Palatino Linotype"/>
                <w:lang w:eastAsia="it-IT"/>
              </w:rPr>
              <w:fldChar w:fldCharType="end"/>
            </w:r>
          </w:p>
        </w:tc>
      </w:tr>
      <w:tr w:rsidR="00CE677F" w:rsidRPr="00F25A40" w14:paraId="7E27F458" w14:textId="77777777" w:rsidTr="00C40F02">
        <w:trPr>
          <w:jc w:val="center"/>
        </w:trPr>
        <w:tc>
          <w:tcPr>
            <w:tcW w:w="1838" w:type="dxa"/>
            <w:shd w:val="clear" w:color="auto" w:fill="auto"/>
            <w:vAlign w:val="center"/>
          </w:tcPr>
          <w:p w14:paraId="44FC6CB0"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Missense amino acid changes mutation in the </w:t>
            </w:r>
            <w:r w:rsidRPr="00F25A40">
              <w:rPr>
                <w:rFonts w:eastAsia="Palatino Linotype" w:cs="Palatino Linotype"/>
                <w:i/>
                <w:iCs/>
                <w:lang w:eastAsia="it-IT"/>
              </w:rPr>
              <w:t>ABCC9</w:t>
            </w:r>
          </w:p>
        </w:tc>
        <w:tc>
          <w:tcPr>
            <w:tcW w:w="1559" w:type="dxa"/>
            <w:shd w:val="clear" w:color="auto" w:fill="auto"/>
            <w:vAlign w:val="center"/>
          </w:tcPr>
          <w:p w14:paraId="22E26BAA"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Non-functioning pituitary adenomas and Cantú syndrome</w:t>
            </w:r>
          </w:p>
        </w:tc>
        <w:tc>
          <w:tcPr>
            <w:tcW w:w="1985" w:type="dxa"/>
            <w:shd w:val="clear" w:color="auto" w:fill="auto"/>
            <w:vAlign w:val="center"/>
          </w:tcPr>
          <w:p w14:paraId="6349166C"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Case report of a five-member three-generation family with Cantú syndrome due to a novel missense variant in </w:t>
            </w:r>
            <w:r w:rsidRPr="00F25A40">
              <w:rPr>
                <w:rFonts w:eastAsia="Palatino Linotype" w:cs="Palatino Linotype"/>
                <w:i/>
                <w:iCs/>
                <w:lang w:eastAsia="it-IT"/>
              </w:rPr>
              <w:t>ABCC9</w:t>
            </w:r>
            <w:r w:rsidRPr="00F25A40">
              <w:rPr>
                <w:rFonts w:eastAsia="Palatino Linotype" w:cs="Palatino Linotype"/>
                <w:lang w:eastAsia="it-IT"/>
              </w:rPr>
              <w:t xml:space="preserve"> gene</w:t>
            </w:r>
          </w:p>
        </w:tc>
        <w:tc>
          <w:tcPr>
            <w:tcW w:w="2551" w:type="dxa"/>
            <w:shd w:val="clear" w:color="auto" w:fill="auto"/>
            <w:vAlign w:val="center"/>
          </w:tcPr>
          <w:p w14:paraId="05EE19E2"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Presence of endocrinopathy without any abnormality in the growth hormone (GH) axis</w:t>
            </w:r>
          </w:p>
        </w:tc>
        <w:tc>
          <w:tcPr>
            <w:tcW w:w="1276" w:type="dxa"/>
            <w:shd w:val="clear" w:color="auto" w:fill="auto"/>
            <w:vAlign w:val="center"/>
          </w:tcPr>
          <w:p w14:paraId="1A63B51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{"citationItems":[{"id":"ITEM-1","itemData":{"DOI":"10.1007/s12020-017-1497-9","ISSN":"1559-0100 (Electronic)","PMID":"29327300","abstract":"CONTEXT: Pseudoacromegaly describes conditions with an acromegaly related physical appearance without abnormalities in the growth hormone (GH) axis. Acromegaloid facies, together with hypertrichosis, are typical manifestations of Cantu syndrome. CASE DESCRIPTION: We present a three-generation family with 5 affected members, with marked acromegaloid facies and prominent hypertrichosis, due to a novel missense variant in the ABCC9 gene. The proband, a 2-year-old girl, was referred due to marked hypertrichosis, noticed soon after birth, associated with coarsening of her facial appearance. Her endocrine assessment, including of the GH axis, was normal. The proband's father, paternal aunt, and half-sibling were referred to the Endocrine department for exclusion of acromegaly. Although the GH axis was normal in all, two subjects had clinically non-functioning pituitary macroadenomas, a feature which has not previously been associated with Cantu syndrome. CONCLUSIONS: Activating mutations in the ABCC9 and, less commonly, KCNJ8 genes-representing the two subunits of the ATP-sensitive potassium channel-have been linked with Cantu syndrome. Interestingly, minoxidil, a well-known ATP-sensitive potassium channel agonist, can cause a similar phenotype. There is no clear explanation why activating this channel would lead to acromegaloid features or hypertrichosis. This report raises awareness for this complex condition, especially for adult or pediatric endocrinologists who might see these patients referred for evaluation of acromegaloid features or hirsutism. The link between Cantu syndrome and pituitary adenomas is currently unclear.","author":[{"dropping-particle":"","family":"Marques","given":"Pedro","non-dropping-particle":"","parse-names":false,"suffix":""},{"dropping-particle":"","family":"Spencer","given":"Rupert","non-dropping-particle":"","parse-names":false,"suffix":""},{"dropping-particle":"","family":"Morrison","given":"Patrick J","non-dropping-particle":"","parse-names":false,"suffix":""},{"dropping-particle":"","family":"Carr","given":"Ian M","non-dropping-particle":"","parse-names":false,"suffix":""},{"dropping-particle":"","family":"Dang","given":"Mary N","non-dropping-particle":"","parse-names":false,"suffix":""},{"dropping-particle":"","family":"Bonthron","given":"David T","non-dropping-particle":"","parse-names":false,"suffix":""},{"dropping-particle":"","family":"Hunter","given":"Steven","non-dropping-particle":"","parse-names":false,"suffix":""},{"dropping-particle":"","family":"Korbonits","given":"Marta","non-dropping-particle":"","parse-names":false,"suffix":""}],"container-title":"Endocrine","id":"ITEM-1","issue":"3","issued":{"date-parts":[["2018","3"]]},"language":"eng","page":"677-684","publisher-place":"United States","title":"Cantu syndrome with coexisting familial pituitary adenoma.","type":"article-journal","volume":"59"},"uris":["http://www.mendeley.com/documents/?uuid=329a2708-5024-499c-84d6-edd5c3eba42d"]}],"mendeley":{"formattedCitation":"(Marques et al., 2018b)","plainTextFormattedCitation":"(Marques et al., 2018b)","previouslyFormattedCitation":"[45]"},"properties":{"noteIndex":0},"schema":"https://github.com/citation-style-language/schema/raw/master/csl-citation.json"}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(Marques et al., 2018b)</w:t>
            </w:r>
            <w:r w:rsidRPr="00F25A40">
              <w:rPr>
                <w:rFonts w:eastAsia="Palatino Linotype" w:cs="Palatino Linotype"/>
                <w:lang w:eastAsia="it-IT"/>
              </w:rPr>
              <w:fldChar w:fldCharType="end"/>
            </w:r>
          </w:p>
        </w:tc>
      </w:tr>
      <w:tr w:rsidR="00CE677F" w:rsidRPr="00F25A40" w14:paraId="7AD63A9B" w14:textId="77777777" w:rsidTr="00C40F02">
        <w:trPr>
          <w:jc w:val="center"/>
        </w:trPr>
        <w:tc>
          <w:tcPr>
            <w:tcW w:w="1838" w:type="dxa"/>
            <w:shd w:val="clear" w:color="auto" w:fill="auto"/>
            <w:vAlign w:val="center"/>
          </w:tcPr>
          <w:p w14:paraId="5DD5D9D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Somatic mutations in </w:t>
            </w:r>
            <w:r w:rsidRPr="00F25A40">
              <w:rPr>
                <w:rFonts w:eastAsia="Palatino Linotype" w:cs="Palatino Linotype"/>
                <w:i/>
                <w:lang w:eastAsia="it-IT"/>
              </w:rPr>
              <w:t>ABCC9</w:t>
            </w:r>
            <w:r w:rsidRPr="00F25A40">
              <w:rPr>
                <w:rFonts w:eastAsia="Palatino Linotype" w:cs="Palatino Linotype"/>
                <w:lang w:eastAsia="it-IT"/>
              </w:rPr>
              <w:t xml:space="preserve"> (6%)</w:t>
            </w:r>
          </w:p>
        </w:tc>
        <w:tc>
          <w:tcPr>
            <w:tcW w:w="1559" w:type="dxa"/>
            <w:shd w:val="clear" w:color="auto" w:fill="auto"/>
            <w:vAlign w:val="center"/>
          </w:tcPr>
          <w:p w14:paraId="7013E3E6"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Endometrial cancer</w:t>
            </w:r>
          </w:p>
        </w:tc>
        <w:tc>
          <w:tcPr>
            <w:tcW w:w="4536" w:type="dxa"/>
            <w:gridSpan w:val="2"/>
            <w:shd w:val="clear" w:color="auto" w:fill="auto"/>
            <w:vAlign w:val="center"/>
          </w:tcPr>
          <w:p w14:paraId="461AEEFB"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Tumor tissue samples of 53 serous cases, 23 clear cell cases, 67 endometrioid cases, and 18 cases of mixed histology were obtained mostly from the Cooperative Human Tissue Network, a small part of the Biosample Repository at the Fox Chase Cancer Center, or from Oncomatrix, Inc (San Marcos, CA)</w:t>
            </w:r>
          </w:p>
        </w:tc>
        <w:tc>
          <w:tcPr>
            <w:tcW w:w="1276" w:type="dxa"/>
            <w:shd w:val="clear" w:color="auto" w:fill="auto"/>
            <w:vAlign w:val="center"/>
          </w:tcPr>
          <w:p w14:paraId="124EF9EA"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{"citationItems":[{"id":"ITEM-1","itemData":{"DOI":"10.1038/ng.2455","ISSN":"1546-1718 (Electronic)","PMID":"23104009","abstract":"Endometrial cancer is the sixth most commonly diagnosed cancer in women worldwide,  causing ~74,000 deaths annually. Serous endometrial cancers are a clinically aggressive subtype with a poorly defined genetic etiology. We used whole-exome sequencing to comprehensively search for somatic mutations within ~22,000 protein-encoding genes in 13 primary serous endometrial tumors. We subsequently resequenced 18 genes, which were mutated in more than 1 tumor and/or were components of an enriched functional grouping, from 40 additional serous tumors. We identified high frequencies of somatic mutations in CHD4 (17%), EP300 (8%), ARID1A (6%), TSPYL2 (6%), FBXW7 (29%), SPOP (8%), MAP3K4 (6%) and ABCC9 (6%). Overall, 36.5% of serous tumors had a mutated chromatin-remodeling gene, and 35% had a mutated ubiquitin ligase complex gene, implicating frequent mutational disruption of these processes in the molecular pathogenesis of one of the deadliest forms of endometrial cancer.","author":[{"dropping-particle":"","family":"Gallo","given":"Matthieu","non-dropping-particle":"Le","parse-names":false,"suffix":""},{"dropping-particle":"","family":"O'Hara","given":"Andrea J","non-dropping-particle":"","parse-names":false,"suffix":""},{"dropping-particle":"","family":"Rudd","given":"Meghan L","non-dropping-particle":"","parse-names":false,"suffix":""},{"dropping-particle":"","family":"Urick","given":"Mary Ellen","non-dropping-particle":"","parse-names":false,"suffix":""},{"dropping-particle":"","family":"Hansen","given":"Nancy F","non-dropping-particle":"","parse-names":false,"suffix":""},{"dropping-particle":"","family":"O'Neil","given":"Nigel J","non-dropping-particle":"","parse-names":false,"suffix":""},{"dropping-particle":"","family":"Price","given":"Jessica C","non-dropping-particle":"","parse-names":false,"suffix":""},{"dropping-particle":"","family":"Zhang","given":"Suiyuan","non-dropping-particle":"","parse-names":false,"suffix":""},{"dropping-particle":"","family":"England","given":"Bryant M","non-dropping-particle":"","parse-names":false,"suffix":""},{"dropping-particle":"","family":"Godwin","given":"Andrew K","non-dropping-particle":"","parse-names":false,"suffix":""},{"dropping-particle":"","family":"Sgroi","given":"Dennis C","non-dropping-particle":"","parse-names":false,"suffix":""},{"dropping-particle":"","family":"Hieter","given":"Philip","non-dropping-particle":"","parse-names":false,"suffix":""},{"dropping-particle":"","family":"Mullikin","given":"James C","non-dropping-particle":"","parse-names":false,"suffix":""},{"dropping-particle":"","family":"Merino","given":"Maria J","non-dropping-particle":"","parse-names":false,"suffix":""},{"dropping-particle":"","family":"Bell","given":"Daphne W","non-dropping-particle":"","parse-names":false,"suffix":""}],"container-title":"Nature genetics","id":"ITEM-1","issue":"12","issued":{"date-parts":[["2012","12"]]},"language":"eng","page":"1310-1315","title":"Exome sequencing of serous endometrial tumors identifies recurrent somatic mutations  in chromatin-remodeling and ubiquitin ligase complex genes.","type":"article-journal","volume":"44"},"uris":["http://www.mendeley.com/documents/?uuid=5edb994e-eb96-4238-9e8f-fb2407c1b4ba"]}],"mendeley":{"formattedCitation":"(Le Gallo et al., 2012)","plainTextFormattedCitation":"(Le Gallo et al., 2012)","previouslyFormattedCitation":"[83]"},"properties":{"noteIndex":0},"schema":"https://github.com/citation-style-language/schema/raw/master/csl-citation.json"}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(Le Gallo et al., 2012)</w:t>
            </w:r>
            <w:r w:rsidRPr="00F25A40">
              <w:rPr>
                <w:rFonts w:eastAsia="Palatino Linotype" w:cs="Palatino Linotype"/>
                <w:lang w:eastAsia="it-IT"/>
              </w:rPr>
              <w:fldChar w:fldCharType="end"/>
            </w:r>
          </w:p>
        </w:tc>
      </w:tr>
      <w:tr w:rsidR="00CE677F" w:rsidRPr="00F25A40" w14:paraId="23BA5EFD" w14:textId="77777777" w:rsidTr="00C40F02">
        <w:trPr>
          <w:jc w:val="center"/>
        </w:trPr>
        <w:tc>
          <w:tcPr>
            <w:tcW w:w="1838" w:type="dxa"/>
            <w:shd w:val="clear" w:color="auto" w:fill="auto"/>
            <w:vAlign w:val="center"/>
          </w:tcPr>
          <w:p w14:paraId="079339C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Somatic mutations in </w:t>
            </w:r>
            <w:r w:rsidRPr="00F25A40">
              <w:rPr>
                <w:rFonts w:eastAsia="Palatino Linotype" w:cs="Palatino Linotype"/>
                <w:i/>
                <w:lang w:eastAsia="it-IT"/>
              </w:rPr>
              <w:t>ABCC9</w:t>
            </w:r>
          </w:p>
        </w:tc>
        <w:tc>
          <w:tcPr>
            <w:tcW w:w="1559" w:type="dxa"/>
            <w:shd w:val="clear" w:color="auto" w:fill="auto"/>
            <w:vAlign w:val="center"/>
          </w:tcPr>
          <w:p w14:paraId="361C6FAB"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Gastric cancer (GC)</w:t>
            </w:r>
          </w:p>
        </w:tc>
        <w:tc>
          <w:tcPr>
            <w:tcW w:w="1985" w:type="dxa"/>
            <w:shd w:val="clear" w:color="auto" w:fill="auto"/>
            <w:vAlign w:val="center"/>
          </w:tcPr>
          <w:p w14:paraId="7BF4CDE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The analysis is based on the clinical information (age, sex, histological grade, survival status, and stage) and RNA sequencing (RNA-seq) of  n = 407 with GC that was retrieved from the Cancer Genome Atlas (TCGA )</w:t>
            </w:r>
          </w:p>
        </w:tc>
        <w:tc>
          <w:tcPr>
            <w:tcW w:w="2551" w:type="dxa"/>
            <w:shd w:val="clear" w:color="auto" w:fill="auto"/>
            <w:vAlign w:val="center"/>
          </w:tcPr>
          <w:p w14:paraId="798D295B"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i/>
                <w:lang w:eastAsia="it-IT"/>
              </w:rPr>
              <w:t>ABCC9</w:t>
            </w:r>
            <w:r w:rsidRPr="00F25A40">
              <w:rPr>
                <w:rFonts w:eastAsia="Palatino Linotype" w:cs="Palatino Linotype"/>
                <w:lang w:eastAsia="it-IT"/>
              </w:rPr>
              <w:t xml:space="preserve"> tumor mutational burden (TMB) is associated with GC prognosis.</w:t>
            </w:r>
          </w:p>
        </w:tc>
        <w:tc>
          <w:tcPr>
            <w:tcW w:w="1276" w:type="dxa"/>
            <w:shd w:val="clear" w:color="auto" w:fill="auto"/>
            <w:vAlign w:val="center"/>
          </w:tcPr>
          <w:p w14:paraId="377878A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{"citationItems":[{"id":"ITEM-1","itemData":{"DOI":"10.1155/2022/6469523","ISSN":"1687-8450 (Print)","PMID":"35058980","abstract":"The genomic variant features (mutations, deletions, structural variants, etc.)  within gastric cancer impact its evolution and immunogenicity. The tumor has developed several coping strategies to respond to these changes by DNA repair and replication (DRR). However, the intrinsic relationship between the associated DRR-related genes and gastric cancer progression remained unknown. This study selected DRR-related genes with tumor mutation burden based on the TCGA (The Cancer Genome Atlas) database of gastric cancer transcriptome and mutation data. The prognosis model of seven genes (LAMA2, CREB3L3, SELP, ABCC9, CYP1B1, CDH2, and GAMT) was constructed by a univariate and LASSO regression analysis and divided into high-risk and low-risk groups with the median risk score. Survival analysis showed that overall survival (OS) was lower in the high-risk group than that in the low-risk group. Moreover, patients with gastric cancer in the high-risk group have worse survival in different subgroups, including age, gender, histological grade, and TNM stage. The nomogram that included risk scores for DRR-related genes could accurately foresee OS of patients with gastric cancer. Interestingly, the tumor mutation burden score was higher in the low-risk group than that in the high-risk group, and the risk score for DRR-related genes was negatively correlated with tumor mutation burden in gastric cancer. Next, we further combined the risk score and tumor mutation burden to evaluate the prognosis of gastric cancer patients. The low-risk cohort had a better prognosis than the high-risk cohort in the high tumor mutation burden subgroup. The number of mutation types in the high-risk group was lower than that in the low-risk group. In the immune microenvironment of gastric cancer, more naïve B cells, memory resting CD4+ T cells, Treg cells, monocytes cells, and resting mast cells were infiltrated in the high-risk group. At last, PD-L1 and IAP expressions were negatively correlated with the risk scores; patients with gastric cancer in the low-risk group showed better immunotherapy outcomes than those in the high-risk group. Overall, the DRR-related gene signature based on tumor mutation burden is a novel biomarker for prognostic and immunotherapy response in patients with gastric cancer.","author":[{"dropping-particle":"","family":"Zhang","given":"Lei","non-dropping-particle":"","parse-names":false,"suffix":""},{"dropping-particle":"","family":"Hu","given":"Dahai","non-dropping-particle":"","parse-names":false,"suffix":""},{"dropping-particle":"","family":"Huangfu","given":"Shuchen","non-dropping-particle":"","parse-names":false,"suffix":""},{"dropping-particle":"","family":"Zhou","given":"Jiaxin","non-dropping-particle":"","parse-names":false,"suffix":""},{"dropping-particle":"","family":"Wang","given":"Wei","non-dropping-particle":"","parse-names":false,"suffix":""},{"dropping-particle":"","family":"Liu","given":"Shijin","non-dropping-particle":"","parse-names":false,"suffix":""},{"dropping-particle":"","family":"Tang","given":"Hui","non-dropping-particle":"","parse-names":false,"suffix":""},{"dropping-particle":"","family":"Pan","given":"Jinghua","non-dropping-particle":"","parse-names":false,"suffix":""},{"dropping-particle":"","family":"Pan","given":"Yunlong","non-dropping-particle":"","parse-names":false,"suffix":""}],"container-title":"Journal of oncology","id":"ITEM-1","issued":{"date-parts":[["2022"]]},"language":"eng","page":"6469523","title":"DNA Repair and Replication-Related Gene Signature Based on Tumor Mutation Burden  Reveals Prognostic and Immunotherapy Response in Gastric Cancer.","type":"article-journal","volume":"2022"},"uris":["http://www.mendeley.com/documents/?uuid=31c453ea-d71b-44a1-8763-640540d5acc4"]}],"mendeley":{"formattedCitation":"(Zhang et al., 2022)","plainTextFormattedCitation":"(Zhang et al., 2022)","previouslyFormattedCitation":"[84]"},"properties":{"noteIndex":0},"schema":"https://github.com/citation-style-language/schema/raw/master/csl-citation.json"}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(Zhang et al., 2022)</w:t>
            </w:r>
            <w:r w:rsidRPr="00F25A40">
              <w:rPr>
                <w:rFonts w:eastAsia="Palatino Linotype" w:cs="Palatino Linotype"/>
                <w:lang w:eastAsia="it-IT"/>
              </w:rPr>
              <w:fldChar w:fldCharType="end"/>
            </w:r>
          </w:p>
        </w:tc>
      </w:tr>
      <w:tr w:rsidR="00CE677F" w:rsidRPr="00F25A40" w14:paraId="7BA7E9A4" w14:textId="77777777" w:rsidTr="00C40F02">
        <w:trPr>
          <w:jc w:val="center"/>
        </w:trPr>
        <w:tc>
          <w:tcPr>
            <w:tcW w:w="1838" w:type="dxa"/>
            <w:shd w:val="clear" w:color="auto" w:fill="auto"/>
            <w:vAlign w:val="center"/>
          </w:tcPr>
          <w:p w14:paraId="3FDAD71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Mutations in </w:t>
            </w:r>
            <w:r w:rsidRPr="00F25A40">
              <w:rPr>
                <w:rFonts w:eastAsia="Palatino Linotype" w:cs="Palatino Linotype"/>
                <w:i/>
                <w:lang w:eastAsia="it-IT"/>
              </w:rPr>
              <w:t>ABCC9</w:t>
            </w:r>
          </w:p>
        </w:tc>
        <w:tc>
          <w:tcPr>
            <w:tcW w:w="1559" w:type="dxa"/>
            <w:shd w:val="clear" w:color="auto" w:fill="auto"/>
            <w:vAlign w:val="center"/>
          </w:tcPr>
          <w:p w14:paraId="497A7CA0"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Large granular lymphocyte  leukemia (LGL)</w:t>
            </w:r>
          </w:p>
        </w:tc>
        <w:tc>
          <w:tcPr>
            <w:tcW w:w="4536" w:type="dxa"/>
            <w:gridSpan w:val="2"/>
            <w:shd w:val="clear" w:color="auto" w:fill="auto"/>
            <w:vAlign w:val="center"/>
          </w:tcPr>
          <w:p w14:paraId="7B0BD5D8"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Analysis of paired whole-exome and transcriptome sequencing information in the largest LGL cohort to date, which included 105 patients</w:t>
            </w:r>
          </w:p>
        </w:tc>
        <w:tc>
          <w:tcPr>
            <w:tcW w:w="1276" w:type="dxa"/>
            <w:shd w:val="clear" w:color="auto" w:fill="auto"/>
            <w:vAlign w:val="center"/>
          </w:tcPr>
          <w:p w14:paraId="1017C9D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{"citationItems":[{"id":"ITEM-1","itemData":{"DOI":"10.1182/blood.2021013164","ISSN":"0006-4971","abstract":"Large granular lymphocyte (LGL) leukemia comprises a group of rare lymphoproliferative disorders whose molecular landscape is incompletely defined. We leveraged paired whole exome and transcriptome sequencing in the largest LGL leukemia cohort to date, which included 105 patients (93 TCRab T-LGL and 12 TCRγδ T-LGL). 76 mutations were observed in three or more patients in the cohort, and out of those, STAT3, KMT2D, PIK3R1, TTN, EYS, and SULF1 mutations were shared between both subtypes. We identified ARHGAP25, ABCC9, PCDHA11, SULF1, SLC6A15, DDX59, DNMT3A, FAS, KDM6A, KMT2D, PIK3R1, STAT3, STAT5B, TET2, and TNFAIP3 as recurrently mutated putative drivers using an unbiased driver analysis approach leveraging our whole exome cohort. Hotspot mutations in STAT3, PIK3R1, and FAS were detected, whereas truncating mutations in epigenetic modifying enzymes such as KMT2D and TET2 were observed. Moreover, STAT3 mutations co-occurred with mutations in chromatin and epigenetic modifying genes, especially KMT2D and SETD1B (p &amp;lt; 0.01, p &amp;lt; 0.05 respectively). STAT3 was mutated in 50.5% of the patients. Most common Y640F STAT3 mutation was associated with lower ANC values, and N647I mutation was associated with lower hemoglobin values. Somatic activating mutations (Q160P, D170Y, L287F) in the STAT3 coiled-coil domain were characterized. STAT3 mutant patients exhibited increased mutational burden and enrichment of a mutational signature associated with increased spontaneous deamination of 5-methylcytosine. Finally, gene expression analysis revealed enrichment of interferon gamma signaling and decreased PI3K-Akt signaling for STAT3 mutant patients. These findings highlight the clinical and molecular heterogeneity of this rare disorder.","author":[{"dropping-particle":"","family":"Cheon","given":"HeeJin","non-dropping-particle":"","parse-names":false,"suffix":""},{"dropping-particle":"","family":"Xing","given":"Jeffrey C","non-dropping-particle":"","parse-names":false,"suffix":""},{"dropping-particle":"","family":"Moosic","given":"Katharine B","non-dropping-particle":"","parse-names":false,"suffix":""},{"dropping-particle":"","family":"Ung","given":"Johnson","non-dropping-particle":"","parse-names":false,"suffix":""},{"dropping-particle":"","family":"Chan","given":"Vivian","non-dropping-particle":"","parse-names":false,"suffix":""},{"dropping-particle":"","family":"Chung","given":"David Sukwon","non-dropping-particle":"","parse-names":false,"suffix":""},{"dropping-particle":"","family":"Toro","given":"Mariella F","non-dropping-particle":"","parse-names":false,"suffix":""},{"dropping-particle":"","family":"Elghawy","given":"Omar","non-dropping-particle":"","parse-names":false,"suffix":""},{"dropping-particle":"","family":"Wang","given":"John S","non-dropping-particle":"","parse-names":false,"suffix":""},{"dropping-particle":"","family":"Hamele","given":"Cait E","non-dropping-particle":"","parse-names":false,"suffix":""},{"dropping-particle":"","family":"Hardison","given":"Ross C","non-dropping-particle":"","parse-names":false,"suffix":""},{"dropping-particle":"","family":"Olson","given":"Thomas L","non-dropping-particle":"","parse-names":false,"suffix":""},{"dropping-particle":"","family":"Tan","given":"Su-Fern","non-dropping-particle":"","parse-names":false,"suffix":""},{"dropping-particle":"","family":"Feith","given":"David","non-dropping-particle":"","parse-names":false,"suffix":""},{"dropping-particle":"","family":"Aakrosh","given":"Ratan","non-dropping-particle":"","parse-names":false,"suffix":""},{"dropping-particle":"","family":"Loughran","given":"Thomas","non-dropping-particle":"","parse-names":false,"suffix":""}],"container-title":"Blood","id":"ITEM-1","issued":{"date-parts":[["2022","1","11"]]},"page":"blood.2021013164","title":"Genomic Landscape of TCR Alpha-Beta and TCR Gamma-Delta T-Large Granular Lymphocyte Leukemia","type":"article-journal"},"uris":["http://www.mendeley.com/documents/?uuid=e2d38db3-c9f1-4c50-b932-4b39027e4fe1"]}],"mendeley":{"formattedCitation":"(Cheon et al., 2022)","plainTextFormattedCitation":"(Cheon et al., 2022)","previouslyFormattedCitation":"[85]"},"properties":{"noteIndex":0},"schema":"https://github.com/citation-style-language/schema/raw/master/csl-citation.json"}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(Cheon et al., 2022)</w:t>
            </w:r>
            <w:r w:rsidRPr="00F25A40">
              <w:rPr>
                <w:rFonts w:eastAsia="Palatino Linotype" w:cs="Palatino Linotype"/>
                <w:lang w:eastAsia="it-IT"/>
              </w:rPr>
              <w:fldChar w:fldCharType="end"/>
            </w:r>
          </w:p>
        </w:tc>
      </w:tr>
      <w:tr w:rsidR="00CE677F" w:rsidRPr="00F25A40" w14:paraId="3C46010B" w14:textId="77777777" w:rsidTr="00C40F02">
        <w:trPr>
          <w:jc w:val="center"/>
        </w:trPr>
        <w:tc>
          <w:tcPr>
            <w:tcW w:w="1838" w:type="dxa"/>
            <w:shd w:val="clear" w:color="auto" w:fill="auto"/>
            <w:vAlign w:val="center"/>
          </w:tcPr>
          <w:p w14:paraId="73BB27EB"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Mutations in </w:t>
            </w:r>
            <w:r w:rsidRPr="00F25A40">
              <w:rPr>
                <w:rFonts w:eastAsia="Palatino Linotype" w:cs="Palatino Linotype"/>
                <w:i/>
                <w:lang w:eastAsia="it-IT"/>
              </w:rPr>
              <w:t>ABCC9</w:t>
            </w:r>
          </w:p>
        </w:tc>
        <w:tc>
          <w:tcPr>
            <w:tcW w:w="1559" w:type="dxa"/>
            <w:shd w:val="clear" w:color="auto" w:fill="auto"/>
            <w:vAlign w:val="center"/>
          </w:tcPr>
          <w:p w14:paraId="6DF75F9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Breast cancer</w:t>
            </w:r>
          </w:p>
        </w:tc>
        <w:tc>
          <w:tcPr>
            <w:tcW w:w="1985" w:type="dxa"/>
            <w:shd w:val="clear" w:color="auto" w:fill="auto"/>
            <w:vAlign w:val="center"/>
          </w:tcPr>
          <w:p w14:paraId="461A7852"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The analysis is based on the DNA methylation data downloaded from the TCGA Assembler 2 based on the race-specific metadata of the TCGA - Breast Invasive Carcinoma (TCGA-BRCA) project from the </w:t>
            </w:r>
            <w:r w:rsidRPr="00F25A40">
              <w:rPr>
                <w:rFonts w:eastAsia="Palatino Linotype" w:cs="Palatino Linotype"/>
                <w:lang w:eastAsia="it-IT"/>
              </w:rPr>
              <w:lastRenderedPageBreak/>
              <w:t>Genomic Data Commons (GDC) data portal.</w:t>
            </w:r>
          </w:p>
        </w:tc>
        <w:tc>
          <w:tcPr>
            <w:tcW w:w="2551" w:type="dxa"/>
            <w:shd w:val="clear" w:color="auto" w:fill="auto"/>
            <w:vAlign w:val="center"/>
          </w:tcPr>
          <w:p w14:paraId="0086CD9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lastRenderedPageBreak/>
              <w:t xml:space="preserve">Mutations in the </w:t>
            </w:r>
            <w:r w:rsidRPr="00F25A40">
              <w:rPr>
                <w:rFonts w:eastAsia="Palatino Linotype" w:cs="Palatino Linotype"/>
                <w:i/>
                <w:iCs/>
                <w:lang w:eastAsia="it-IT"/>
              </w:rPr>
              <w:t>ABCC9</w:t>
            </w:r>
            <w:r w:rsidRPr="00F25A40">
              <w:rPr>
                <w:rFonts w:eastAsia="Palatino Linotype" w:cs="Palatino Linotype"/>
                <w:lang w:eastAsia="it-IT"/>
              </w:rPr>
              <w:t xml:space="preserve"> gene, </w:t>
            </w:r>
            <w:r w:rsidRPr="00F25A40">
              <w:rPr>
                <w:rFonts w:eastAsia="Palatino Linotype" w:cs="Palatino Linotype"/>
                <w:i/>
                <w:iCs/>
                <w:lang w:eastAsia="it-IT"/>
              </w:rPr>
              <w:t xml:space="preserve">SHISA3, </w:t>
            </w:r>
            <w:r w:rsidRPr="00F25A40">
              <w:rPr>
                <w:rFonts w:eastAsia="Palatino Linotype" w:cs="Palatino Linotype"/>
                <w:lang w:eastAsia="it-IT"/>
              </w:rPr>
              <w:t>and</w:t>
            </w:r>
            <w:r w:rsidRPr="00F25A40">
              <w:rPr>
                <w:rFonts w:eastAsia="Palatino Linotype" w:cs="Palatino Linotype"/>
                <w:i/>
                <w:iCs/>
                <w:lang w:eastAsia="it-IT"/>
              </w:rPr>
              <w:t xml:space="preserve"> POU4F1</w:t>
            </w:r>
            <w:r w:rsidRPr="00F25A40">
              <w:rPr>
                <w:rFonts w:eastAsia="Palatino Linotype" w:cs="Palatino Linotype"/>
                <w:lang w:eastAsia="it-IT"/>
              </w:rPr>
              <w:t xml:space="preserve"> are considered potential stage-specific detection biomarkers of breast cancer.</w:t>
            </w:r>
          </w:p>
        </w:tc>
        <w:tc>
          <w:tcPr>
            <w:tcW w:w="1276" w:type="dxa"/>
            <w:shd w:val="clear" w:color="auto" w:fill="auto"/>
            <w:vAlign w:val="center"/>
          </w:tcPr>
          <w:p w14:paraId="4E8AC21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{"citationItems":[{"id":"ITEM-1","itemData":{"DOI":"10.1016/j.compbiolchem.2021.107498","ISSN":"1476-928X (Electronic)","PMID":"33933781","abstract":"BACKGROUND: Breast cancer is one of the most common types of cancer among women. As  current breast cancer treatments are still ineffective, we assess the methylation pattern of White breast cancer patients across cancer stage based on The Cancer Genome Atlas (TCGA) dataset. Significant hypermethylation and hypomethylation can regulate the gene expression, thus becoming potential biomarkers in breast cancer tumorigenesis. METHODS: DNA methylation data was downloaded using TCGA Assembler 2 based on race-specific metadata of TCGA - Breast Invasive Carcinoma (TCGA-BRCA) project from Genomic Data Commons (GDC) Data Portal. After the data was divided into each cancer stage, duplicated data of each patient was removed using OMICSBind, while differentially-expressed probes were identified using edgeR. The resulting probes were validated based on correlation and regression analysis with the gene expression, ANOVA between cancer stages, ROC curve per stage, as well as databases. RESULTS: Based on the White dataset, we found 66 significant hypermethylated genes with logFC &gt; 1.8 between Stage I-III. From this number, three epigenetic-regulated, stage-specific genes are proposed to be the detection biomarkers of breast cancer due to significant aberrant gene expression and/or low mutation ratio among breast cancer patients: ABCC9 (Stage III), SHISA3 (Stage II), and POU4F1 (Stage I-II). CONCLUSIONS: Our study shows that ABCC9, SHISA3, and POU4F1 are potential stage-specific detection biomarkers of breast cancer for White individuals, whereas their roles in other races need to be studied further.","author":[{"dropping-particle":"","family":"Ivan","given":"Jeremias","non-dropping-particle":"","parse-names":false,"suffix":""},{"dropping-particle":"","family":"Patricia","given":"Gabriella","non-dropping-particle":"","parse-names":false,"suffix":""},{"dropping-particle":"","family":"Agustriawan","given":"David","non-dropping-particle":"","parse-names":false,"suffix":""}],"container-title":"Computational biology and chemistry","id":"ITEM-1","issued":{"date-parts":[["2021","6"]]},"language":"eng","page":"107498","publisher-place":"England","title":"In silico study of cancer stage-specific DNA methylation pattern in White breast  cancer patients based on TCGA dataset.","type":"article-journal","volume":"92"},"uris":["http://www.mendeley.com/documents/?uuid=6a319c03-fd64-4561-b093-a72a152be719"]}],"mendeley":{"formattedCitation":"(Ivan et al., 2021)","plainTextFormattedCitation":"(Ivan et al., 2021)","previouslyFormattedCitation":"[86]"},"properties":{"noteIndex":0},"schema":"https://github.com/citation-style-language/schema/raw/master/csl-citation.json"}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(Ivan et al., 2021)</w:t>
            </w:r>
            <w:r w:rsidRPr="00F25A40">
              <w:rPr>
                <w:rFonts w:eastAsia="Palatino Linotype" w:cs="Palatino Linotype"/>
                <w:lang w:eastAsia="it-IT"/>
              </w:rPr>
              <w:fldChar w:fldCharType="end"/>
            </w:r>
          </w:p>
        </w:tc>
      </w:tr>
      <w:tr w:rsidR="00CE677F" w:rsidRPr="00F25A40" w14:paraId="474AC895" w14:textId="77777777" w:rsidTr="00C40F02">
        <w:trPr>
          <w:jc w:val="center"/>
        </w:trPr>
        <w:tc>
          <w:tcPr>
            <w:tcW w:w="1838" w:type="dxa"/>
            <w:shd w:val="clear" w:color="auto" w:fill="auto"/>
            <w:vAlign w:val="center"/>
          </w:tcPr>
          <w:p w14:paraId="64A2E9D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Mutations in </w:t>
            </w:r>
            <w:r w:rsidRPr="00F25A40">
              <w:rPr>
                <w:rFonts w:eastAsia="Palatino Linotype" w:cs="Palatino Linotype"/>
                <w:i/>
                <w:lang w:eastAsia="it-IT"/>
              </w:rPr>
              <w:t>ABCC8</w:t>
            </w:r>
          </w:p>
        </w:tc>
        <w:tc>
          <w:tcPr>
            <w:tcW w:w="1559" w:type="dxa"/>
            <w:shd w:val="clear" w:color="auto" w:fill="auto"/>
            <w:vAlign w:val="center"/>
          </w:tcPr>
          <w:p w14:paraId="58F2F8E9"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Pancreatic neuroendocrine tumors (PanNETs)</w:t>
            </w:r>
          </w:p>
        </w:tc>
        <w:tc>
          <w:tcPr>
            <w:tcW w:w="1985" w:type="dxa"/>
            <w:shd w:val="clear" w:color="auto" w:fill="auto"/>
            <w:vAlign w:val="center"/>
          </w:tcPr>
          <w:p w14:paraId="7C43E7D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Analysis of the data collected from the ICGC 1 database and the NCBI GEO database based on 104 samples of Italian and Austrian patients.</w:t>
            </w:r>
          </w:p>
        </w:tc>
        <w:tc>
          <w:tcPr>
            <w:tcW w:w="2551" w:type="dxa"/>
            <w:shd w:val="clear" w:color="auto" w:fill="auto"/>
            <w:vAlign w:val="center"/>
          </w:tcPr>
          <w:p w14:paraId="54233F0F"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Mutations in the </w:t>
            </w:r>
            <w:r w:rsidRPr="00F25A40">
              <w:rPr>
                <w:rFonts w:eastAsia="Palatino Linotype" w:cs="Palatino Linotype"/>
                <w:i/>
                <w:iCs/>
                <w:lang w:eastAsia="it-IT"/>
              </w:rPr>
              <w:t>ABCC8</w:t>
            </w:r>
            <w:r w:rsidRPr="00F25A40">
              <w:rPr>
                <w:rFonts w:eastAsia="Palatino Linotype" w:cs="Palatino Linotype"/>
                <w:lang w:eastAsia="it-IT"/>
              </w:rPr>
              <w:t xml:space="preserve"> gene along with four other genes are related to the development and prognosis of PanNETs and can serve as specific biomarkers and therapeutic targets.</w:t>
            </w:r>
          </w:p>
        </w:tc>
        <w:tc>
          <w:tcPr>
            <w:tcW w:w="1276" w:type="dxa"/>
            <w:shd w:val="clear" w:color="auto" w:fill="auto"/>
            <w:vAlign w:val="center"/>
          </w:tcPr>
          <w:p w14:paraId="673715C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{"citationItems":[{"id":"ITEM-1","itemData":{"DOI":"10.3389/fnins.2019.00937","ISSN":"1662-4548 (Print)","PMID":"31607839","abstract":"OBJECTIVE: To explore novel related genes and potential biomarkers of pancreatic  neuroendocrine tumors (PanNETs). MATERIALS AND METHODS: Two data sets from ICGC and two from the NCBI GEO database were used to identify the differentially expressed genes (DEGs) in PanNETs. The common DEGs among the four sources were analyzed; furthermore, the relationship of these gene expression patterns with different PanNET grades, their mutation status and corresponding impact on prognosis, the interaction network, and the relationship with three known PanNET genes (ATRX, DAXX, and MEN1) were analyzed by two other GEO data and cBioPortal database. Finally, the expressions of novel DEGs were validated in Chinese PanNET tissues by RT-qPCR. RESULTS: Five new DEGs (ABCC8, PCSK2, IL13RA2, KLKB1, and PART1) and one confirmed DEG-ISL1 were identified. The mutation counts of DEGs increased with the tumor grade increasing from G1 to G3, and PanNET patients present vascular invasion or are deceased. These DEG expression patterns in PanNETs are quite different from that of pancreatic ductal adenocarcinoma and are related to A-D-M (ATRX-DAXX-MEN1) mutation. ABCC8 and KLKB1 are co-occurrence with the A-D-M axis in PanNETs. Importantly, patients with DEG mutations have a lower survival rate. RT-qPCR verification results of KLKB1 (P &lt; 0.01), IL13RA2 (P &lt; 0.01), ABCC8 (P &lt; 0.01), and PART1 (P &lt; 0.0001) expressions in Chinese PanNET tissues are consistent with our database analysis, which were significantly up-regulated. However, the expression of PCSK2 (P &lt; 0.01) was contrary to our bioinformatics analysis, which was significantly down-regulated, suggesting that the expression trend of PCSK2 may be different among different races. These results indicated that these five genes may play an important role in the occurrence and progression of PanNETs. CONCLUSION: Five novel common DEGs identified are related to the development and prognosis of PanNETs and may serve as specific biomarkers and therapeutic targets.","author":[{"dropping-particle":"","family":"Xiao","given":"Yu","non-dropping-particle":"","parse-names":false,"suffix":""},{"dropping-particle":"","family":"Yang","given":"Yuemei","non-dropping-particle":"","parse-names":false,"suffix":""},{"dropping-particle":"","family":"Wang","given":"Yanfeng","non-dropping-particle":"","parse-names":false,"suffix":""},{"dropping-particle":"","family":"Li","given":"Xiaoou","non-dropping-particle":"","parse-names":false,"suffix":""},{"dropping-particle":"","family":"Wang","given":"Wenze","non-dropping-particle":"","parse-names":false,"suffix":""}],"container-title":"Frontiers in neuroscience","id":"ITEM-1","issued":{"date-parts":[["2019"]]},"language":"eng","page":"937","title":"Five Novel Genes Related to the Pathogenesis and Progression of Pancreatic  Neuroendocrine Tumors by Bioinformatics Analysis With RT-qPCR Verification.","type":"article-journal","volume":"13"},"uris":["http://www.mendeley.com/documents/?uuid=dbf4563b-d7be-4a19-ade1-440aabc369eb"]}],"mendeley":{"formattedCitation":"(Xiao et al., 2019)","plainTextFormattedCitation":"(Xiao et al., 2019)","previouslyFormattedCitation":"[87]"},"properties":{"noteIndex":0},"schema":"https://github.com/citation-style-language/schema/raw/master/csl-citation.json"}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(Xiao et al., 2019)</w:t>
            </w:r>
            <w:r w:rsidRPr="00F25A40">
              <w:rPr>
                <w:rFonts w:eastAsia="Palatino Linotype" w:cs="Palatino Linotype"/>
                <w:lang w:eastAsia="it-IT"/>
              </w:rPr>
              <w:fldChar w:fldCharType="end"/>
            </w:r>
          </w:p>
        </w:tc>
      </w:tr>
      <w:tr w:rsidR="00CE677F" w:rsidRPr="00F25A40" w14:paraId="79251F12" w14:textId="77777777" w:rsidTr="00C40F02">
        <w:trPr>
          <w:jc w:val="center"/>
        </w:trPr>
        <w:tc>
          <w:tcPr>
            <w:tcW w:w="1838" w:type="dxa"/>
            <w:shd w:val="clear" w:color="auto" w:fill="auto"/>
            <w:vAlign w:val="center"/>
          </w:tcPr>
          <w:p w14:paraId="1AFDE7CE"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of </w:t>
            </w:r>
            <w:r w:rsidRPr="00F25A40">
              <w:rPr>
                <w:rFonts w:eastAsia="Palatino Linotype" w:cs="Palatino Linotype"/>
                <w:i/>
                <w:iCs/>
                <w:lang w:eastAsia="it-IT"/>
              </w:rPr>
              <w:t>KCNJ11</w:t>
            </w:r>
          </w:p>
        </w:tc>
        <w:tc>
          <w:tcPr>
            <w:tcW w:w="1559" w:type="dxa"/>
            <w:shd w:val="clear" w:color="auto" w:fill="auto"/>
            <w:vAlign w:val="center"/>
          </w:tcPr>
          <w:p w14:paraId="19B27DFD"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Hepatocel-lular carcinoma (HCC)</w:t>
            </w:r>
          </w:p>
        </w:tc>
        <w:tc>
          <w:tcPr>
            <w:tcW w:w="1985" w:type="dxa"/>
            <w:shd w:val="clear" w:color="auto" w:fill="auto"/>
            <w:vAlign w:val="center"/>
          </w:tcPr>
          <w:p w14:paraId="6F981691"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Data obtained from the study of tumor tissue samples from the Rizhao City People's Hospital were collected between 2012 and 2015, in addition to data extracted from the TCGA.</w:t>
            </w:r>
          </w:p>
        </w:tc>
        <w:tc>
          <w:tcPr>
            <w:tcW w:w="2551" w:type="dxa"/>
            <w:shd w:val="clear" w:color="auto" w:fill="auto"/>
            <w:vAlign w:val="center"/>
          </w:tcPr>
          <w:p w14:paraId="38A6B9B4"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Greater expression of </w:t>
            </w:r>
            <w:r w:rsidRPr="00F25A40">
              <w:rPr>
                <w:rFonts w:eastAsia="Palatino Linotype" w:cs="Palatino Linotype"/>
                <w:i/>
                <w:iCs/>
                <w:lang w:eastAsia="it-IT"/>
              </w:rPr>
              <w:t xml:space="preserve">KCNJ11 </w:t>
            </w:r>
            <w:r w:rsidRPr="00F25A40">
              <w:rPr>
                <w:rFonts w:eastAsia="Palatino Linotype" w:cs="Palatino Linotype"/>
                <w:lang w:eastAsia="it-IT"/>
              </w:rPr>
              <w:t>predicts a poor prognosis in HCC</w:t>
            </w:r>
          </w:p>
        </w:tc>
        <w:tc>
          <w:tcPr>
            <w:tcW w:w="1276" w:type="dxa"/>
            <w:shd w:val="clear" w:color="auto" w:fill="auto"/>
            <w:vAlign w:val="center"/>
          </w:tcPr>
          <w:p w14:paraId="6F2F0023"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{"citationItems":[{"id":"ITEM-1","itemData":{"DOI":"https://doi.org/10.1016/j.bbrc.2017.11.011","ISSN":"0006-291X","abstract":"It has been well documented that changes in ion fluxes across cellular membranes is fundamental in maintaining cellular homeostasis. Dysregulation and/or malfunction of ion channels are critical events in the pathogenesis of diverse diseases, including cancers. In this study, we focused on the study of K+ channels in hepatocellular carcinoma (HCC). By data mining TCGA cohort, the expression of 27 K+ channels was investigated and KCNJ11 was identified as a key dysregulated K+ channels in HCC. KCNJ11 was differentially expressed in HCC and predicted a poor prognosis in HCC patients. Inhibition of NFκB signaling suppressed KCNJ11 expression in HCC cells. Knockdown of KCNJ11 expression inhibited cell proliferation, promoted cell apoptosis, and reduced cell invasive capacity. Mechanistically, we found that KCNJ11 promotes tumor progression through interaction with LDHA and enhancing its enzymatic activity. Pharmacological inhibition of LDHA largely compromised the oncogenic function of KCNJ11 in cell proliferation, cell apoptosis, and cell invasion. Collectively, our data, as a proof of principle, demonstrate that KCNJ11 acts as an oncogene in HCC though forming a complex with LDHA and suggest that targeting KCNJ11 can be developed as a candidate tool to dampen HCC.","author":[{"dropping-particle":"","family":"Zhang","given":"Ke","non-dropping-particle":"","parse-names":false,"suffix":""},{"dropping-particle":"","family":"Mu","given":"Ling","non-dropping-particle":"","parse-names":false,"suffix":""},{"dropping-particle":"","family":"Ding","given":"Ming-Cui","non-dropping-particle":"","parse-names":false,"suffix":""},{"dropping-particle":"","family":"Xu","given":"Rui","non-dropping-particle":"","parse-names":false,"suffix":""},{"dropping-particle":"","family":"Ding","given":"Zhao-Jun","non-dropping-particle":"","parse-names":false,"suffix":""},{"dropping-particle":"","family":"Liang","given":"Jun","non-dropping-particle":"","parse-names":false,"suffix":""}],"container-title":"Biochemical and Biophysical Research Communications","id":"ITEM-1","issue":"1","issued":{"date-parts":[["2018"]]},"page":"246-253","title":"NFκB mediated elevation of KCNJ11 promotes tumor progression of hepatocellular carcinoma through interaction of lactate dehydrogenase A","type":"article-journal","volume":"495"},"uris":["http://www.mendeley.com/documents/?uuid=aede2d65-b2ee-4165-91da-d61378bd216a"]}],"mendeley":{"formattedCitation":"(Zhang et al., 2018)","plainTextFormattedCitation":"(Zhang et al., 2018)","previouslyFormattedCitation":"[88]"},"properties":{"noteIndex":0},"schema":"https://github.com/citation-style-language/schema/raw/master/csl-citation.json"}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(Zhang et al., 2018)</w:t>
            </w:r>
            <w:r w:rsidRPr="00F25A40">
              <w:rPr>
                <w:rFonts w:eastAsia="Palatino Linotype" w:cs="Palatino Linotype"/>
                <w:lang w:eastAsia="it-IT"/>
              </w:rPr>
              <w:fldChar w:fldCharType="end"/>
            </w:r>
          </w:p>
        </w:tc>
      </w:tr>
      <w:tr w:rsidR="00CE677F" w:rsidRPr="00F25A40" w14:paraId="79A678BB" w14:textId="77777777" w:rsidTr="00C40F02">
        <w:trPr>
          <w:jc w:val="center"/>
        </w:trPr>
        <w:tc>
          <w:tcPr>
            <w:tcW w:w="1838" w:type="dxa"/>
            <w:shd w:val="clear" w:color="auto" w:fill="auto"/>
            <w:vAlign w:val="center"/>
          </w:tcPr>
          <w:p w14:paraId="2025E629"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Up-regulation </w:t>
            </w:r>
            <w:r w:rsidRPr="00F25A40">
              <w:rPr>
                <w:rFonts w:eastAsia="Palatino Linotype" w:cs="Palatino Linotype"/>
                <w:i/>
                <w:iCs/>
                <w:lang w:eastAsia="it-IT"/>
              </w:rPr>
              <w:t>ABCC9</w:t>
            </w:r>
          </w:p>
        </w:tc>
        <w:tc>
          <w:tcPr>
            <w:tcW w:w="1559" w:type="dxa"/>
            <w:shd w:val="clear" w:color="auto" w:fill="auto"/>
            <w:vAlign w:val="center"/>
          </w:tcPr>
          <w:p w14:paraId="68FB66AB"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Epithelial ovarian cancer (EOC)</w:t>
            </w:r>
          </w:p>
        </w:tc>
        <w:tc>
          <w:tcPr>
            <w:tcW w:w="1985" w:type="dxa"/>
            <w:shd w:val="clear" w:color="auto" w:fill="auto"/>
            <w:vAlign w:val="center"/>
          </w:tcPr>
          <w:p w14:paraId="0F9E9BAB"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Study of tissue samples from 63 ovarian cancer patients diagnosed in the Pilsen University Hospital in the Czech Republic in the period 2013-2016. As a control set, 14 ovarian tissue samples without tumor cells were used from Motol University Hospital in Prague, Czech Republic.</w:t>
            </w:r>
          </w:p>
        </w:tc>
        <w:tc>
          <w:tcPr>
            <w:tcW w:w="2551" w:type="dxa"/>
            <w:shd w:val="clear" w:color="auto" w:fill="auto"/>
            <w:vAlign w:val="center"/>
          </w:tcPr>
          <w:p w14:paraId="52C6B807"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t xml:space="preserve">High expressions of </w:t>
            </w:r>
            <w:r w:rsidRPr="00F25A40">
              <w:rPr>
                <w:rFonts w:eastAsia="Palatino Linotype" w:cs="Palatino Linotype"/>
                <w:i/>
                <w:iCs/>
                <w:lang w:eastAsia="it-IT"/>
              </w:rPr>
              <w:t>ABCC9</w:t>
            </w:r>
            <w:r w:rsidRPr="00F25A40">
              <w:rPr>
                <w:rFonts w:eastAsia="Palatino Linotype" w:cs="Palatino Linotype"/>
                <w:lang w:eastAsia="it-IT"/>
              </w:rPr>
              <w:t xml:space="preserve"> and other genes were significantly associated with longer progression-free survival of patients; Furthermore, In intraperitoneal metastases, expression of all of these genes was highly correlated and indicated a prognostic profile. Differential expression of the </w:t>
            </w:r>
            <w:r w:rsidRPr="00F25A40">
              <w:rPr>
                <w:rFonts w:eastAsia="Palatino Linotype" w:cs="Palatino Linotype"/>
                <w:i/>
                <w:iCs/>
                <w:lang w:eastAsia="it-IT"/>
              </w:rPr>
              <w:t>ABCC9</w:t>
            </w:r>
            <w:r w:rsidRPr="00F25A40">
              <w:rPr>
                <w:rFonts w:eastAsia="Palatino Linotype" w:cs="Palatino Linotype"/>
                <w:lang w:eastAsia="it-IT"/>
              </w:rPr>
              <w:t xml:space="preserve"> gene can be proposed as a novel marker of ovarian cancer progression and metastatic spread and can potentially be useful as a therapeutic target.</w:t>
            </w:r>
          </w:p>
        </w:tc>
        <w:tc>
          <w:tcPr>
            <w:tcW w:w="1276" w:type="dxa"/>
            <w:shd w:val="clear" w:color="auto" w:fill="auto"/>
            <w:vAlign w:val="center"/>
          </w:tcPr>
          <w:p w14:paraId="2C8EB445" w14:textId="77777777" w:rsidR="00CE677F" w:rsidRPr="00F25A40" w:rsidRDefault="00CE677F" w:rsidP="00C40F02">
            <w:pPr>
              <w:autoSpaceDE w:val="0"/>
              <w:autoSpaceDN w:val="0"/>
              <w:adjustRightInd w:val="0"/>
              <w:snapToGrid w:val="0"/>
              <w:spacing w:line="240" w:lineRule="auto"/>
              <w:jc w:val="center"/>
              <w:rPr>
                <w:rFonts w:eastAsia="Palatino Linotype" w:cs="Palatino Linotype"/>
                <w:lang w:eastAsia="it-IT"/>
              </w:rPr>
            </w:pPr>
            <w:r w:rsidRPr="00F25A40">
              <w:rPr>
                <w:rFonts w:eastAsia="Palatino Linotype" w:cs="Palatino Linotype"/>
                <w:lang w:eastAsia="it-IT"/>
              </w:rPr>
              <w:fldChar w:fldCharType="begin" w:fldLock="1"/>
            </w:r>
            <w:r>
              <w:rPr>
                <w:rFonts w:eastAsia="Palatino Linotype" w:cs="Palatino Linotype"/>
                <w:lang w:eastAsia="it-IT"/>
              </w:rPr>
              <w:instrText>ADDIN CSL_CITATION {"citationItems":[{"id":"ITEM-1","itemData":{"DOI":"10.7150/jca.20766","ISSN":"1837-9664 (Print)","PMID":"29151946","abstract":"Epithelial ovarian cancer (EOC) has the highest mortality among gynecological  carcinomas. The lack of specific markers for prognostic determination of EOC progression hinders the search for novel effective therapies. The aim of the present study was (i) to explore differences in expressions of ATP-binding cassette (ABC) and solute carrier (SLC) transporter genes, genes associated with drug metabolism and cell cycle regulation between control ovarian tissues (n = 14), primary EOCs (n = 44) and intraperitoneal metastases (n = 29); (ii) to investigate associations of gene expression levels with prognosis of patients with intraperitoneal metastases. In all tissue samples, transcript levels of the above target genes were assessed using quantitative real-time PCR. Gene expression levels were compared between particular tissue types and evaluated with regard to progression-free survival (PFS) and drug-resistance status of patients with metastases. Gene expression of ABCA7 significantly increased and that of ESR2 decreased in the order control ovarian tissues - primary EOCs - metastases. High expressions of ABCA2/8/9/10, ABCB1, ABCC9, ABCG2, ATP7A, SLC16A14, and SOD3 genes were significantly associated with longer progression-free survival of patients. In intraperitoneal metastases, expression of all of these genes highly correlated and indicated prognostic profile. Transporters from the ABCA family, ABCG2, and ESR2 are involved mainly in lipid metabolism, membrane transport, and cell proliferation. These processes are thus probably the most important for EOC progression. Based on these results, we have proposed novel markers of ovarian carcinoma progression and metastatic spread which might be potentially useful as therapeutic targets. Their significance should be further explored on a larger independent set of patients.","author":[{"dropping-particle":"","family":"Elsnerova","given":"Katerina","non-dropping-particle":"","parse-names":false,"suffix":""},{"dropping-particle":"","family":"Bartakova","given":"Alena","non-dropping-particle":"","parse-names":false,"suffix":""},{"dropping-particle":"","family":"Tihlarik","given":"Josef","non-dropping-particle":"","parse-names":false,"suffix":""},{"dropping-particle":"","family":"Bouda","given":"Jiri","non-dropping-particle":"","parse-names":false,"suffix":""},{"dropping-particle":"","family":"Rob","given":"Lukas","non-dropping-particle":"","parse-names":false,"suffix":""},{"dropping-particle":"","family":"Skapa","given":"Petr","non-dropping-particle":"","parse-names":false,"suffix":""},{"dropping-particle":"","family":"Hruda","given":"Martin","non-dropping-particle":"","parse-names":false,"suffix":""},{"dropping-particle":"","family":"Gut","given":"Ivan","non-dropping-particle":"","parse-names":false,"suffix":""},{"dropping-particle":"","family":"Mohelnikova-Duchonova","given":"Beatrice","non-dropping-particle":"","parse-names":false,"suffix":""},{"dropping-particle":"","family":"Soucek","given":"Pavel","non-dropping-particle":"","parse-names":false,"suffix":""},{"dropping-particle":"","family":"Vaclavikova","given":"Radka","non-dropping-particle":"","parse-names":false,"suffix":""}],"container-title":"Journal of Cancer","id":"ITEM-1","issue":"17","issued":{"date-parts":[["2017"]]},"language":"eng","page":"3598-3606","title":"Gene Expression Profiling Reveals Novel Candidate Markers of Ovarian Carcinoma  Intraperitoneal Metastasis.","type":"article-journal","volume":"8"},"uris":["http://www.mendeley.com/documents/?uuid=368d384e-05b6-4610-83e2-333dfc325537"]}],"mendeley":{"formattedCitation":"(Elsnerova et al., 2017)","plainTextFormattedCitation":"(Elsnerova et al., 2017)","previouslyFormattedCitation":"[89]"},"properties":{"noteIndex":0},"schema":"https://github.com/citation-style-language/schema/raw/master/csl-citation.json"}</w:instrText>
            </w:r>
            <w:r w:rsidRPr="00F25A40">
              <w:rPr>
                <w:rFonts w:eastAsia="Palatino Linotype" w:cs="Palatino Linotype"/>
                <w:lang w:eastAsia="it-IT"/>
              </w:rPr>
              <w:fldChar w:fldCharType="separate"/>
            </w:r>
            <w:r w:rsidRPr="00F1140F">
              <w:rPr>
                <w:rFonts w:eastAsia="Palatino Linotype" w:cs="Palatino Linotype"/>
                <w:lang w:eastAsia="it-IT"/>
              </w:rPr>
              <w:t>(Elsnerova et al., 2017)</w:t>
            </w:r>
            <w:r w:rsidRPr="00F25A40">
              <w:rPr>
                <w:rFonts w:eastAsia="Palatino Linotype" w:cs="Palatino Linotype"/>
                <w:lang w:eastAsia="it-IT"/>
              </w:rPr>
              <w:fldChar w:fldCharType="end"/>
            </w:r>
          </w:p>
        </w:tc>
      </w:tr>
    </w:tbl>
    <w:p w14:paraId="68A2B043" w14:textId="38AFBB3B" w:rsidR="000B2301" w:rsidRPr="00F25A40" w:rsidRDefault="000B2301" w:rsidP="000B2301">
      <w:pPr>
        <w:pStyle w:val="MDPI23heading3"/>
        <w:spacing w:before="240"/>
        <w:rPr>
          <w:rFonts w:eastAsia="Palatino Linotype"/>
          <w:b/>
          <w:bCs/>
        </w:rPr>
      </w:pPr>
    </w:p>
    <w:p w14:paraId="0E95536F" w14:textId="77777777" w:rsidR="00D012B6" w:rsidRDefault="00D012B6"/>
    <w:sectPr w:rsidR="00D012B6" w:rsidSect="00A73D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ED0"/>
    <w:multiLevelType w:val="hybridMultilevel"/>
    <w:tmpl w:val="F2624A58"/>
    <w:lvl w:ilvl="0" w:tplc="981034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2"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334C"/>
    <w:multiLevelType w:val="hybridMultilevel"/>
    <w:tmpl w:val="B5C85178"/>
    <w:lvl w:ilvl="0" w:tplc="D298B350">
      <w:start w:val="2"/>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4"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101E5"/>
    <w:multiLevelType w:val="singleLevel"/>
    <w:tmpl w:val="9FF4E64C"/>
    <w:lvl w:ilvl="0">
      <w:start w:val="1"/>
      <w:numFmt w:val="decimal"/>
      <w:lvlText w:val="%1."/>
      <w:lvlJc w:val="left"/>
      <w:pPr>
        <w:ind w:left="288" w:firstLine="72"/>
      </w:pPr>
      <w:rPr>
        <w:vertAlign w:val="superscript"/>
      </w:rPr>
    </w:lvl>
  </w:abstractNum>
  <w:abstractNum w:abstractNumId="9" w15:restartNumberingAfterBreak="0">
    <w:nsid w:val="34611A65"/>
    <w:multiLevelType w:val="hybridMultilevel"/>
    <w:tmpl w:val="4D2052C2"/>
    <w:lvl w:ilvl="0" w:tplc="5784CAD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E667F"/>
    <w:multiLevelType w:val="multilevel"/>
    <w:tmpl w:val="C38E913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456B55F4"/>
    <w:multiLevelType w:val="singleLevel"/>
    <w:tmpl w:val="9FF4E64C"/>
    <w:lvl w:ilvl="0">
      <w:start w:val="1"/>
      <w:numFmt w:val="decimal"/>
      <w:lvlText w:val="%1."/>
      <w:lvlJc w:val="left"/>
      <w:pPr>
        <w:ind w:left="288" w:firstLine="72"/>
      </w:pPr>
      <w:rPr>
        <w:vertAlign w:val="superscript"/>
      </w:rPr>
    </w:lvl>
  </w:abstractNum>
  <w:abstractNum w:abstractNumId="13" w15:restartNumberingAfterBreak="0">
    <w:nsid w:val="48DB2C13"/>
    <w:multiLevelType w:val="singleLevel"/>
    <w:tmpl w:val="9FF4E64C"/>
    <w:lvl w:ilvl="0">
      <w:start w:val="1"/>
      <w:numFmt w:val="decimal"/>
      <w:lvlText w:val="%1."/>
      <w:lvlJc w:val="left"/>
      <w:pPr>
        <w:ind w:left="288" w:firstLine="72"/>
      </w:pPr>
      <w:rPr>
        <w:vertAlign w:val="superscript"/>
      </w:rPr>
    </w:lvl>
  </w:abstractNum>
  <w:abstractNum w:abstractNumId="14"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6" w15:restartNumberingAfterBreak="0">
    <w:nsid w:val="54C267FD"/>
    <w:multiLevelType w:val="multilevel"/>
    <w:tmpl w:val="308EFEBC"/>
    <w:lvl w:ilvl="0">
      <w:start w:val="1"/>
      <w:numFmt w:val="decimal"/>
      <w:lvlText w:val="%1."/>
      <w:lvlJc w:val="left"/>
      <w:pPr>
        <w:ind w:left="720" w:hanging="360"/>
      </w:pPr>
      <w:rPr>
        <w:vertAlign w:val="baseline"/>
      </w:rPr>
    </w:lvl>
    <w:lvl w:ilvl="1">
      <w:start w:val="1"/>
      <w:numFmt w:val="decimal"/>
      <w:lvlText w:val="%1.%2."/>
      <w:lvlJc w:val="left"/>
      <w:pPr>
        <w:ind w:left="703" w:hanging="420"/>
      </w:pPr>
      <w:rPr>
        <w:b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7"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C1F551C"/>
    <w:multiLevelType w:val="multilevel"/>
    <w:tmpl w:val="CE204B9A"/>
    <w:lvl w:ilvl="0">
      <w:start w:val="1"/>
      <w:numFmt w:val="upperLetter"/>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9" w15:restartNumberingAfterBreak="0">
    <w:nsid w:val="62900A7A"/>
    <w:multiLevelType w:val="multilevel"/>
    <w:tmpl w:val="E1287ED6"/>
    <w:lvl w:ilvl="0">
      <w:start w:val="1"/>
      <w:numFmt w:val="decimal"/>
      <w:lvlText w:val="%1"/>
      <w:lvlJc w:val="left"/>
      <w:pPr>
        <w:ind w:left="7023" w:hanging="360"/>
      </w:pPr>
      <w:rPr>
        <w:rFonts w:ascii="Palatino Linotype" w:eastAsia="SimSun" w:hAnsi="Palatino Linotype" w:cs="Arial"/>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1"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146122143">
    <w:abstractNumId w:val="6"/>
  </w:num>
  <w:num w:numId="2" w16cid:durableId="1867325210">
    <w:abstractNumId w:val="11"/>
  </w:num>
  <w:num w:numId="3" w16cid:durableId="1785035136">
    <w:abstractNumId w:val="5"/>
  </w:num>
  <w:num w:numId="4" w16cid:durableId="2048748443">
    <w:abstractNumId w:val="7"/>
  </w:num>
  <w:num w:numId="5" w16cid:durableId="1956911595">
    <w:abstractNumId w:val="15"/>
  </w:num>
  <w:num w:numId="6" w16cid:durableId="344982371">
    <w:abstractNumId w:val="4"/>
  </w:num>
  <w:num w:numId="7" w16cid:durableId="1113590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8674209">
    <w:abstractNumId w:val="1"/>
  </w:num>
  <w:num w:numId="9" w16cid:durableId="187372265">
    <w:abstractNumId w:val="17"/>
  </w:num>
  <w:num w:numId="10" w16cid:durableId="901720994">
    <w:abstractNumId w:val="21"/>
  </w:num>
  <w:num w:numId="11" w16cid:durableId="835069333">
    <w:abstractNumId w:val="2"/>
  </w:num>
  <w:num w:numId="12" w16cid:durableId="1866794815">
    <w:abstractNumId w:val="14"/>
  </w:num>
  <w:num w:numId="13" w16cid:durableId="621495398">
    <w:abstractNumId w:val="19"/>
  </w:num>
  <w:num w:numId="14" w16cid:durableId="1188257224">
    <w:abstractNumId w:val="10"/>
  </w:num>
  <w:num w:numId="15" w16cid:durableId="68041929">
    <w:abstractNumId w:val="18"/>
  </w:num>
  <w:num w:numId="16" w16cid:durableId="895316517">
    <w:abstractNumId w:val="16"/>
  </w:num>
  <w:num w:numId="17" w16cid:durableId="1250965816">
    <w:abstractNumId w:val="0"/>
  </w:num>
  <w:num w:numId="18" w16cid:durableId="1634218302">
    <w:abstractNumId w:val="13"/>
  </w:num>
  <w:num w:numId="19" w16cid:durableId="1531188601">
    <w:abstractNumId w:val="3"/>
  </w:num>
  <w:num w:numId="20" w16cid:durableId="171605973">
    <w:abstractNumId w:val="12"/>
  </w:num>
  <w:num w:numId="21" w16cid:durableId="1450516934">
    <w:abstractNumId w:val="8"/>
  </w:num>
  <w:num w:numId="22" w16cid:durableId="1494830543">
    <w:abstractNumId w:val="9"/>
  </w:num>
  <w:num w:numId="23" w16cid:durableId="103007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MjM0MLUwNLc0MDZS0lEKTi0uzszPAykwNKgFAHcuH/QtAAAA"/>
  </w:docVars>
  <w:rsids>
    <w:rsidRoot w:val="000B2301"/>
    <w:rsid w:val="00050DAC"/>
    <w:rsid w:val="00090A99"/>
    <w:rsid w:val="000B2301"/>
    <w:rsid w:val="00192F12"/>
    <w:rsid w:val="001F4BF1"/>
    <w:rsid w:val="00297968"/>
    <w:rsid w:val="0038590B"/>
    <w:rsid w:val="004614DE"/>
    <w:rsid w:val="00463593"/>
    <w:rsid w:val="00464FE4"/>
    <w:rsid w:val="00533CF7"/>
    <w:rsid w:val="00595621"/>
    <w:rsid w:val="005A721B"/>
    <w:rsid w:val="006802F5"/>
    <w:rsid w:val="00876034"/>
    <w:rsid w:val="009649D2"/>
    <w:rsid w:val="00964E50"/>
    <w:rsid w:val="00A73D55"/>
    <w:rsid w:val="00A923D2"/>
    <w:rsid w:val="00BC2D36"/>
    <w:rsid w:val="00BF0615"/>
    <w:rsid w:val="00C11D8E"/>
    <w:rsid w:val="00CE677F"/>
    <w:rsid w:val="00D012B6"/>
    <w:rsid w:val="00DF6F55"/>
    <w:rsid w:val="00E7111C"/>
    <w:rsid w:val="00E94EE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6FCE"/>
  <w15:chartTrackingRefBased/>
  <w15:docId w15:val="{B8104362-03AC-49C8-952D-44EA1516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96" w:line="360" w:lineRule="auto"/>
        <w:ind w:left="584" w:right="10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rsid w:val="000B2301"/>
    <w:pPr>
      <w:spacing w:before="0" w:line="260" w:lineRule="atLeast"/>
      <w:ind w:left="0" w:right="0"/>
    </w:pPr>
    <w:rPr>
      <w:rFonts w:ascii="Palatino Linotype" w:eastAsia="SimSun" w:hAnsi="Palatino Linotype" w:cs="Times New Roman"/>
      <w:noProof/>
      <w:color w:val="000000"/>
      <w:sz w:val="20"/>
      <w:szCs w:val="20"/>
      <w:lang w:eastAsia="zh-CN"/>
    </w:rPr>
  </w:style>
  <w:style w:type="paragraph" w:styleId="Heading1">
    <w:name w:val="heading 1"/>
    <w:basedOn w:val="Normal"/>
    <w:next w:val="Normal"/>
    <w:link w:val="Heading1Char"/>
    <w:uiPriority w:val="9"/>
    <w:qFormat/>
    <w:rsid w:val="000B2301"/>
    <w:pPr>
      <w:keepNext/>
      <w:pBdr>
        <w:top w:val="nil"/>
        <w:left w:val="nil"/>
        <w:bottom w:val="nil"/>
        <w:right w:val="nil"/>
        <w:between w:val="nil"/>
        <w:bar w:val="nil"/>
      </w:pBdr>
      <w:suppressAutoHyphens/>
      <w:spacing w:before="240" w:after="60" w:line="1" w:lineRule="atLeast"/>
      <w:ind w:leftChars="-1" w:left="-1" w:hangingChars="1" w:hanging="1"/>
      <w:jc w:val="left"/>
      <w:textDirection w:val="btLr"/>
      <w:textAlignment w:val="top"/>
      <w:outlineLvl w:val="0"/>
    </w:pPr>
    <w:rPr>
      <w:rFonts w:ascii="Calibri Light" w:eastAsia="Times New Roman" w:hAnsi="Calibri Light"/>
      <w:b/>
      <w:bCs/>
      <w:noProof w:val="0"/>
      <w:color w:val="auto"/>
      <w:kern w:val="32"/>
      <w:position w:val="-1"/>
      <w:sz w:val="32"/>
      <w:szCs w:val="32"/>
      <w:bdr w:val="nil"/>
      <w:lang w:eastAsia="en-US"/>
    </w:rPr>
  </w:style>
  <w:style w:type="paragraph" w:styleId="Heading2">
    <w:name w:val="heading 2"/>
    <w:basedOn w:val="Normal"/>
    <w:link w:val="Heading2Char"/>
    <w:uiPriority w:val="9"/>
    <w:semiHidden/>
    <w:unhideWhenUsed/>
    <w:qFormat/>
    <w:rsid w:val="000B2301"/>
    <w:pPr>
      <w:suppressAutoHyphens/>
      <w:spacing w:before="100" w:beforeAutospacing="1" w:after="100" w:afterAutospacing="1" w:line="1" w:lineRule="atLeast"/>
      <w:ind w:leftChars="-1" w:left="-1" w:hangingChars="1" w:hanging="1"/>
      <w:jc w:val="left"/>
      <w:textDirection w:val="btLr"/>
      <w:textAlignment w:val="top"/>
      <w:outlineLvl w:val="1"/>
    </w:pPr>
    <w:rPr>
      <w:rFonts w:ascii="Times New Roman" w:eastAsia="Times New Roman" w:hAnsi="Times New Roman"/>
      <w:b/>
      <w:bCs/>
      <w:noProof w:val="0"/>
      <w:color w:val="auto"/>
      <w:position w:val="-1"/>
      <w:sz w:val="36"/>
      <w:szCs w:val="36"/>
      <w:lang w:val="it-IT" w:eastAsia="it-IT"/>
    </w:rPr>
  </w:style>
  <w:style w:type="paragraph" w:styleId="Heading3">
    <w:name w:val="heading 3"/>
    <w:basedOn w:val="Normal"/>
    <w:next w:val="Normal"/>
    <w:link w:val="Heading3Char"/>
    <w:uiPriority w:val="9"/>
    <w:semiHidden/>
    <w:unhideWhenUsed/>
    <w:qFormat/>
    <w:rsid w:val="000B2301"/>
    <w:pPr>
      <w:keepNext/>
      <w:keepLines/>
      <w:pBdr>
        <w:top w:val="nil"/>
        <w:left w:val="nil"/>
        <w:bottom w:val="nil"/>
        <w:right w:val="nil"/>
        <w:between w:val="nil"/>
        <w:bar w:val="nil"/>
      </w:pBdr>
      <w:suppressAutoHyphens/>
      <w:spacing w:before="280" w:after="80" w:line="1" w:lineRule="atLeast"/>
      <w:ind w:leftChars="-1" w:left="-1" w:hangingChars="1" w:hanging="1"/>
      <w:jc w:val="left"/>
      <w:textDirection w:val="btLr"/>
      <w:textAlignment w:val="top"/>
      <w:outlineLvl w:val="2"/>
    </w:pPr>
    <w:rPr>
      <w:rFonts w:ascii="Times New Roman" w:eastAsia="Times New Roman" w:hAnsi="Times New Roman"/>
      <w:b/>
      <w:noProof w:val="0"/>
      <w:color w:val="auto"/>
      <w:position w:val="-1"/>
      <w:sz w:val="28"/>
      <w:szCs w:val="28"/>
      <w:bdr w:val="nil"/>
      <w:lang w:eastAsia="en-US"/>
    </w:rPr>
  </w:style>
  <w:style w:type="paragraph" w:styleId="Heading4">
    <w:name w:val="heading 4"/>
    <w:basedOn w:val="Normal"/>
    <w:next w:val="Normal"/>
    <w:link w:val="Heading4Char"/>
    <w:uiPriority w:val="9"/>
    <w:semiHidden/>
    <w:unhideWhenUsed/>
    <w:qFormat/>
    <w:rsid w:val="000B2301"/>
    <w:pPr>
      <w:keepNext/>
      <w:keepLines/>
      <w:pBdr>
        <w:top w:val="nil"/>
        <w:left w:val="nil"/>
        <w:bottom w:val="nil"/>
        <w:right w:val="nil"/>
        <w:between w:val="nil"/>
        <w:bar w:val="nil"/>
      </w:pBdr>
      <w:suppressAutoHyphens/>
      <w:spacing w:before="40" w:line="1" w:lineRule="atLeast"/>
      <w:ind w:leftChars="-1" w:left="-1" w:hangingChars="1" w:hanging="1"/>
      <w:jc w:val="left"/>
      <w:textDirection w:val="btLr"/>
      <w:textAlignment w:val="top"/>
      <w:outlineLvl w:val="3"/>
    </w:pPr>
    <w:rPr>
      <w:rFonts w:ascii="Helvetica Neue" w:eastAsia="Times New Roman" w:hAnsi="Helvetica Neue" w:cs="Helvetica Neue"/>
      <w:i/>
      <w:iCs/>
      <w:noProof w:val="0"/>
      <w:color w:val="0079BF"/>
      <w:position w:val="-1"/>
      <w:sz w:val="24"/>
      <w:szCs w:val="24"/>
      <w:bdr w:val="nil"/>
      <w:lang w:eastAsia="en-US"/>
    </w:rPr>
  </w:style>
  <w:style w:type="paragraph" w:styleId="Heading5">
    <w:name w:val="heading 5"/>
    <w:basedOn w:val="Normal"/>
    <w:next w:val="Normal"/>
    <w:link w:val="Heading5Char"/>
    <w:uiPriority w:val="9"/>
    <w:semiHidden/>
    <w:unhideWhenUsed/>
    <w:qFormat/>
    <w:rsid w:val="000B2301"/>
    <w:pPr>
      <w:keepNext/>
      <w:keepLines/>
      <w:pBdr>
        <w:top w:val="nil"/>
        <w:left w:val="nil"/>
        <w:bottom w:val="nil"/>
        <w:right w:val="nil"/>
        <w:between w:val="nil"/>
        <w:bar w:val="nil"/>
      </w:pBdr>
      <w:suppressAutoHyphens/>
      <w:spacing w:before="220" w:after="40" w:line="1" w:lineRule="atLeast"/>
      <w:ind w:leftChars="-1" w:left="-1" w:hangingChars="1" w:hanging="1"/>
      <w:jc w:val="left"/>
      <w:textDirection w:val="btLr"/>
      <w:textAlignment w:val="top"/>
      <w:outlineLvl w:val="4"/>
    </w:pPr>
    <w:rPr>
      <w:rFonts w:ascii="Times New Roman" w:eastAsia="Times New Roman" w:hAnsi="Times New Roman"/>
      <w:b/>
      <w:noProof w:val="0"/>
      <w:color w:val="auto"/>
      <w:position w:val="-1"/>
      <w:sz w:val="22"/>
      <w:szCs w:val="22"/>
      <w:bdr w:val="nil"/>
      <w:lang w:eastAsia="en-US"/>
    </w:rPr>
  </w:style>
  <w:style w:type="paragraph" w:styleId="Heading6">
    <w:name w:val="heading 6"/>
    <w:basedOn w:val="Normal"/>
    <w:next w:val="Normal"/>
    <w:link w:val="Heading6Char"/>
    <w:uiPriority w:val="9"/>
    <w:semiHidden/>
    <w:unhideWhenUsed/>
    <w:qFormat/>
    <w:rsid w:val="000B2301"/>
    <w:pPr>
      <w:keepNext/>
      <w:keepLines/>
      <w:pBdr>
        <w:top w:val="nil"/>
        <w:left w:val="nil"/>
        <w:bottom w:val="nil"/>
        <w:right w:val="nil"/>
        <w:between w:val="nil"/>
        <w:bar w:val="nil"/>
      </w:pBdr>
      <w:suppressAutoHyphens/>
      <w:spacing w:before="200" w:after="40" w:line="1" w:lineRule="atLeast"/>
      <w:ind w:leftChars="-1" w:left="-1" w:hangingChars="1" w:hanging="1"/>
      <w:jc w:val="left"/>
      <w:textDirection w:val="btLr"/>
      <w:textAlignment w:val="top"/>
      <w:outlineLvl w:val="5"/>
    </w:pPr>
    <w:rPr>
      <w:rFonts w:ascii="Times New Roman" w:eastAsia="Times New Roman" w:hAnsi="Times New Roman"/>
      <w:b/>
      <w:noProof w:val="0"/>
      <w:color w:val="auto"/>
      <w:position w:val="-1"/>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301"/>
    <w:rPr>
      <w:rFonts w:ascii="Calibri Light" w:eastAsia="Times New Roman" w:hAnsi="Calibri Light" w:cs="Times New Roman"/>
      <w:b/>
      <w:bCs/>
      <w:kern w:val="32"/>
      <w:position w:val="-1"/>
      <w:sz w:val="32"/>
      <w:szCs w:val="32"/>
      <w:bdr w:val="nil"/>
    </w:rPr>
  </w:style>
  <w:style w:type="character" w:customStyle="1" w:styleId="Heading2Char">
    <w:name w:val="Heading 2 Char"/>
    <w:basedOn w:val="DefaultParagraphFont"/>
    <w:link w:val="Heading2"/>
    <w:uiPriority w:val="9"/>
    <w:semiHidden/>
    <w:rsid w:val="000B2301"/>
    <w:rPr>
      <w:rFonts w:ascii="Times New Roman" w:eastAsia="Times New Roman" w:hAnsi="Times New Roman" w:cs="Times New Roman"/>
      <w:b/>
      <w:bCs/>
      <w:position w:val="-1"/>
      <w:sz w:val="36"/>
      <w:szCs w:val="36"/>
      <w:lang w:val="it-IT" w:eastAsia="it-IT"/>
    </w:rPr>
  </w:style>
  <w:style w:type="character" w:customStyle="1" w:styleId="Heading3Char">
    <w:name w:val="Heading 3 Char"/>
    <w:basedOn w:val="DefaultParagraphFont"/>
    <w:link w:val="Heading3"/>
    <w:uiPriority w:val="9"/>
    <w:semiHidden/>
    <w:rsid w:val="000B2301"/>
    <w:rPr>
      <w:rFonts w:ascii="Times New Roman" w:eastAsia="Times New Roman" w:hAnsi="Times New Roman" w:cs="Times New Roman"/>
      <w:b/>
      <w:position w:val="-1"/>
      <w:sz w:val="28"/>
      <w:szCs w:val="28"/>
      <w:bdr w:val="nil"/>
    </w:rPr>
  </w:style>
  <w:style w:type="character" w:customStyle="1" w:styleId="Heading4Char">
    <w:name w:val="Heading 4 Char"/>
    <w:basedOn w:val="DefaultParagraphFont"/>
    <w:link w:val="Heading4"/>
    <w:uiPriority w:val="9"/>
    <w:semiHidden/>
    <w:rsid w:val="000B2301"/>
    <w:rPr>
      <w:rFonts w:ascii="Helvetica Neue" w:eastAsia="Times New Roman" w:hAnsi="Helvetica Neue" w:cs="Helvetica Neue"/>
      <w:i/>
      <w:iCs/>
      <w:color w:val="0079BF"/>
      <w:position w:val="-1"/>
      <w:sz w:val="24"/>
      <w:szCs w:val="24"/>
      <w:bdr w:val="nil"/>
    </w:rPr>
  </w:style>
  <w:style w:type="character" w:customStyle="1" w:styleId="Heading5Char">
    <w:name w:val="Heading 5 Char"/>
    <w:basedOn w:val="DefaultParagraphFont"/>
    <w:link w:val="Heading5"/>
    <w:uiPriority w:val="9"/>
    <w:semiHidden/>
    <w:rsid w:val="000B2301"/>
    <w:rPr>
      <w:rFonts w:ascii="Times New Roman" w:eastAsia="Times New Roman" w:hAnsi="Times New Roman" w:cs="Times New Roman"/>
      <w:b/>
      <w:position w:val="-1"/>
      <w:bdr w:val="nil"/>
    </w:rPr>
  </w:style>
  <w:style w:type="character" w:customStyle="1" w:styleId="Heading6Char">
    <w:name w:val="Heading 6 Char"/>
    <w:basedOn w:val="DefaultParagraphFont"/>
    <w:link w:val="Heading6"/>
    <w:uiPriority w:val="9"/>
    <w:semiHidden/>
    <w:rsid w:val="000B2301"/>
    <w:rPr>
      <w:rFonts w:ascii="Times New Roman" w:eastAsia="Times New Roman" w:hAnsi="Times New Roman" w:cs="Times New Roman"/>
      <w:b/>
      <w:position w:val="-1"/>
      <w:sz w:val="20"/>
      <w:szCs w:val="20"/>
      <w:bdr w:val="nil"/>
    </w:rPr>
  </w:style>
  <w:style w:type="paragraph" w:customStyle="1" w:styleId="MDPI11articletype">
    <w:name w:val="MDPI_1.1_article_type"/>
    <w:next w:val="Normal"/>
    <w:qFormat/>
    <w:rsid w:val="000B2301"/>
    <w:pPr>
      <w:adjustRightInd w:val="0"/>
      <w:snapToGrid w:val="0"/>
      <w:spacing w:before="240" w:line="240" w:lineRule="auto"/>
      <w:ind w:left="0" w:right="0"/>
      <w:jc w:val="left"/>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0B2301"/>
    <w:pPr>
      <w:adjustRightInd w:val="0"/>
      <w:snapToGrid w:val="0"/>
      <w:spacing w:before="0" w:after="240" w:line="240" w:lineRule="atLeast"/>
      <w:ind w:left="0" w:right="0"/>
      <w:jc w:val="lef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0B2301"/>
    <w:pPr>
      <w:adjustRightInd w:val="0"/>
      <w:snapToGrid w:val="0"/>
      <w:spacing w:before="0" w:after="360" w:line="260" w:lineRule="atLeast"/>
      <w:ind w:left="0" w:right="0"/>
      <w:jc w:val="lef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0B2301"/>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0B2301"/>
    <w:pPr>
      <w:adjustRightInd w:val="0"/>
      <w:snapToGrid w:val="0"/>
      <w:spacing w:before="0" w:line="200" w:lineRule="atLeast"/>
      <w:ind w:left="2806" w:right="0" w:hanging="198"/>
      <w:jc w:val="left"/>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0B2301"/>
    <w:pPr>
      <w:adjustRightInd w:val="0"/>
      <w:snapToGrid w:val="0"/>
      <w:spacing w:before="240" w:line="260" w:lineRule="atLeast"/>
      <w:ind w:left="2608" w:right="0"/>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0B2301"/>
    <w:pPr>
      <w:adjustRightInd w:val="0"/>
      <w:snapToGrid w:val="0"/>
      <w:spacing w:before="240" w:line="260" w:lineRule="atLeast"/>
      <w:ind w:left="2608" w:right="0"/>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0B2301"/>
    <w:pPr>
      <w:pBdr>
        <w:bottom w:val="single" w:sz="6" w:space="1" w:color="auto"/>
      </w:pBdr>
      <w:adjustRightInd w:val="0"/>
      <w:snapToGrid w:val="0"/>
      <w:spacing w:before="0" w:after="480" w:line="260" w:lineRule="atLeast"/>
      <w:ind w:left="2608" w:right="0"/>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0B2301"/>
    <w:pPr>
      <w:adjustRightInd w:val="0"/>
      <w:snapToGrid w:val="0"/>
      <w:spacing w:before="0" w:line="300" w:lineRule="exact"/>
      <w:ind w:left="0" w:right="0"/>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rsid w:val="000B2301"/>
    <w:pPr>
      <w:spacing w:before="0" w:line="260" w:lineRule="atLeast"/>
      <w:ind w:left="0" w:right="0"/>
    </w:pPr>
    <w:rPr>
      <w:rFonts w:ascii="Palatino Linotype" w:eastAsia="SimSun" w:hAnsi="Palatino Linotype"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0B2301"/>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0B2301"/>
    <w:rPr>
      <w:rFonts w:ascii="Palatino Linotype" w:eastAsia="SimSun" w:hAnsi="Palatino Linotype" w:cs="Times New Roman"/>
      <w:noProof/>
      <w:color w:val="000000"/>
      <w:sz w:val="20"/>
      <w:szCs w:val="18"/>
      <w:lang w:eastAsia="zh-CN"/>
    </w:rPr>
  </w:style>
  <w:style w:type="paragraph" w:styleId="Header">
    <w:name w:val="header"/>
    <w:basedOn w:val="Normal"/>
    <w:link w:val="HeaderChar"/>
    <w:qFormat/>
    <w:rsid w:val="000B230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rsid w:val="000B2301"/>
    <w:rPr>
      <w:rFonts w:ascii="Palatino Linotype" w:eastAsia="SimSun" w:hAnsi="Palatino Linotype" w:cs="Times New Roman"/>
      <w:noProof/>
      <w:color w:val="000000"/>
      <w:sz w:val="20"/>
      <w:szCs w:val="18"/>
      <w:lang w:eastAsia="zh-CN"/>
    </w:rPr>
  </w:style>
  <w:style w:type="paragraph" w:customStyle="1" w:styleId="MDPIheaderjournallogo">
    <w:name w:val="MDPI_header_journal_logo"/>
    <w:qFormat/>
    <w:rsid w:val="000B2301"/>
    <w:pPr>
      <w:adjustRightInd w:val="0"/>
      <w:snapToGrid w:val="0"/>
      <w:spacing w:before="0" w:line="260" w:lineRule="atLeast"/>
      <w:ind w:left="0" w:right="0"/>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0B2301"/>
    <w:pPr>
      <w:ind w:firstLine="0"/>
    </w:pPr>
  </w:style>
  <w:style w:type="paragraph" w:customStyle="1" w:styleId="MDPI31text">
    <w:name w:val="MDPI_3.1_text"/>
    <w:qFormat/>
    <w:rsid w:val="000B2301"/>
    <w:pPr>
      <w:adjustRightInd w:val="0"/>
      <w:snapToGrid w:val="0"/>
      <w:spacing w:before="0" w:line="228" w:lineRule="auto"/>
      <w:ind w:left="2608" w:right="0" w:firstLine="425"/>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0B2301"/>
    <w:pPr>
      <w:adjustRightInd w:val="0"/>
      <w:snapToGrid w:val="0"/>
      <w:spacing w:before="0" w:after="240" w:line="228" w:lineRule="auto"/>
      <w:ind w:left="2608" w:right="0"/>
    </w:pPr>
    <w:rPr>
      <w:rFonts w:ascii="Palatino Linotype" w:eastAsia="Times New Roman" w:hAnsi="Palatino Linotype" w:cs="Times New Roman"/>
      <w:snapToGrid w:val="0"/>
      <w:color w:val="000000"/>
      <w:sz w:val="20"/>
      <w:lang w:eastAsia="de-DE" w:bidi="en-US"/>
    </w:rPr>
  </w:style>
  <w:style w:type="paragraph" w:customStyle="1" w:styleId="MDPI34textspacebefore">
    <w:name w:val="MDPI_3.4_text_space_before"/>
    <w:qFormat/>
    <w:rsid w:val="000B2301"/>
    <w:pPr>
      <w:adjustRightInd w:val="0"/>
      <w:snapToGrid w:val="0"/>
      <w:spacing w:before="240" w:line="228" w:lineRule="auto"/>
      <w:ind w:left="2608" w:right="0"/>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0B2301"/>
    <w:pPr>
      <w:adjustRightInd w:val="0"/>
      <w:snapToGrid w:val="0"/>
      <w:spacing w:before="0" w:line="228" w:lineRule="auto"/>
      <w:ind w:left="2608" w:right="0" w:firstLine="425"/>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0B2301"/>
    <w:pPr>
      <w:adjustRightInd w:val="0"/>
      <w:snapToGrid w:val="0"/>
      <w:spacing w:before="120" w:line="228" w:lineRule="auto"/>
      <w:ind w:left="2608" w:right="0"/>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0B2301"/>
    <w:pPr>
      <w:numPr>
        <w:numId w:val="5"/>
      </w:numPr>
      <w:adjustRightInd w:val="0"/>
      <w:snapToGrid w:val="0"/>
      <w:spacing w:before="0" w:line="228" w:lineRule="auto"/>
      <w:ind w:right="0"/>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0B2301"/>
    <w:pPr>
      <w:numPr>
        <w:numId w:val="6"/>
      </w:numPr>
      <w:adjustRightInd w:val="0"/>
      <w:snapToGrid w:val="0"/>
      <w:spacing w:before="0" w:line="228" w:lineRule="auto"/>
      <w:ind w:right="0"/>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0B2301"/>
    <w:pPr>
      <w:adjustRightInd w:val="0"/>
      <w:snapToGrid w:val="0"/>
      <w:spacing w:before="120" w:after="120" w:line="260" w:lineRule="atLeast"/>
      <w:ind w:left="709" w:right="0"/>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0B2301"/>
    <w:pPr>
      <w:spacing w:before="120" w:after="120" w:line="240" w:lineRule="auto"/>
      <w:ind w:left="0" w:right="0"/>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0B2301"/>
    <w:pPr>
      <w:adjustRightInd w:val="0"/>
      <w:snapToGrid w:val="0"/>
      <w:spacing w:before="240" w:after="120" w:line="228" w:lineRule="auto"/>
      <w:ind w:left="2608" w:right="0"/>
      <w:jc w:val="left"/>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0B2301"/>
    <w:pPr>
      <w:adjustRightInd w:val="0"/>
      <w:snapToGrid w:val="0"/>
      <w:spacing w:before="0" w:line="260" w:lineRule="atLeast"/>
      <w:ind w:left="0" w:right="0"/>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0B2301"/>
    <w:pPr>
      <w:adjustRightInd w:val="0"/>
      <w:snapToGrid w:val="0"/>
      <w:spacing w:before="0" w:line="228" w:lineRule="auto"/>
      <w:ind w:left="2608" w:right="0"/>
      <w:jc w:val="left"/>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0B2301"/>
    <w:pPr>
      <w:adjustRightInd w:val="0"/>
      <w:snapToGrid w:val="0"/>
      <w:spacing w:before="120" w:after="240" w:line="228" w:lineRule="auto"/>
      <w:ind w:left="2608" w:right="0"/>
      <w:jc w:val="left"/>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0B2301"/>
    <w:pPr>
      <w:adjustRightInd w:val="0"/>
      <w:snapToGrid w:val="0"/>
      <w:spacing w:before="240" w:after="120" w:line="240" w:lineRule="auto"/>
      <w:ind w:left="0" w:right="0"/>
      <w:jc w:val="center"/>
    </w:pPr>
    <w:rPr>
      <w:rFonts w:ascii="Palatino Linotype" w:eastAsia="Times New Roman" w:hAnsi="Palatino Linotype" w:cs="Times New Roman"/>
      <w:snapToGrid w:val="0"/>
      <w:color w:val="000000"/>
      <w:sz w:val="20"/>
      <w:szCs w:val="20"/>
      <w:lang w:eastAsia="de-DE" w:bidi="en-US"/>
    </w:rPr>
  </w:style>
  <w:style w:type="paragraph" w:customStyle="1" w:styleId="MDPI81theorem">
    <w:name w:val="MDPI_8.1_theorem"/>
    <w:qFormat/>
    <w:rsid w:val="000B2301"/>
    <w:pPr>
      <w:adjustRightInd w:val="0"/>
      <w:snapToGrid w:val="0"/>
      <w:spacing w:before="0" w:line="228" w:lineRule="auto"/>
      <w:ind w:left="2608" w:right="0"/>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0B2301"/>
    <w:pPr>
      <w:adjustRightInd w:val="0"/>
      <w:snapToGrid w:val="0"/>
      <w:spacing w:before="0" w:line="228" w:lineRule="auto"/>
      <w:ind w:left="2608" w:right="0"/>
    </w:pPr>
    <w:rPr>
      <w:rFonts w:ascii="Palatino Linotype" w:eastAsia="Times New Roman" w:hAnsi="Palatino Linotype" w:cs="Times New Roman"/>
      <w:snapToGrid w:val="0"/>
      <w:color w:val="000000"/>
      <w:sz w:val="20"/>
      <w:lang w:eastAsia="de-DE" w:bidi="en-US"/>
    </w:rPr>
  </w:style>
  <w:style w:type="paragraph" w:customStyle="1" w:styleId="MDPIfooterfirstpage">
    <w:name w:val="MDPI_footer_firstpage"/>
    <w:qFormat/>
    <w:rsid w:val="000B2301"/>
    <w:pPr>
      <w:tabs>
        <w:tab w:val="right" w:pos="8845"/>
      </w:tabs>
      <w:spacing w:before="0" w:line="160" w:lineRule="exact"/>
      <w:ind w:left="0" w:right="0"/>
      <w:jc w:val="left"/>
    </w:pPr>
    <w:rPr>
      <w:rFonts w:ascii="Palatino Linotype" w:eastAsia="Times New Roman" w:hAnsi="Palatino Linotype" w:cs="Times New Roman"/>
      <w:color w:val="000000"/>
      <w:sz w:val="16"/>
      <w:szCs w:val="20"/>
      <w:lang w:eastAsia="de-DE"/>
    </w:rPr>
  </w:style>
  <w:style w:type="paragraph" w:customStyle="1" w:styleId="MDPI23heading3">
    <w:name w:val="MDPI_2.3_heading3"/>
    <w:qFormat/>
    <w:rsid w:val="000B2301"/>
    <w:pPr>
      <w:adjustRightInd w:val="0"/>
      <w:snapToGrid w:val="0"/>
      <w:spacing w:before="60" w:after="60" w:line="228" w:lineRule="auto"/>
      <w:ind w:left="2608" w:right="0"/>
      <w:jc w:val="left"/>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0B2301"/>
    <w:pPr>
      <w:adjustRightInd w:val="0"/>
      <w:snapToGrid w:val="0"/>
      <w:spacing w:before="240" w:after="60" w:line="228" w:lineRule="auto"/>
      <w:ind w:left="2608" w:right="0"/>
      <w:jc w:val="left"/>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0B2301"/>
    <w:pPr>
      <w:adjustRightInd w:val="0"/>
      <w:snapToGrid w:val="0"/>
      <w:spacing w:before="60" w:after="60" w:line="228" w:lineRule="auto"/>
      <w:ind w:left="2608" w:right="0"/>
      <w:jc w:val="lef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0B2301"/>
    <w:pPr>
      <w:numPr>
        <w:numId w:val="11"/>
      </w:numPr>
      <w:adjustRightInd w:val="0"/>
      <w:snapToGrid w:val="0"/>
      <w:spacing w:before="0" w:line="228" w:lineRule="auto"/>
      <w:ind w:right="0"/>
    </w:pPr>
    <w:rPr>
      <w:rFonts w:ascii="Palatino Linotype" w:eastAsia="Times New Roman" w:hAnsi="Palatino Linotype" w:cs="Times New Roman"/>
      <w:color w:val="000000"/>
      <w:sz w:val="18"/>
      <w:szCs w:val="20"/>
      <w:lang w:eastAsia="de-DE" w:bidi="en-US"/>
    </w:rPr>
  </w:style>
  <w:style w:type="paragraph" w:styleId="BalloonText">
    <w:name w:val="Balloon Text"/>
    <w:basedOn w:val="Normal"/>
    <w:link w:val="BalloonTextChar"/>
    <w:uiPriority w:val="99"/>
    <w:rsid w:val="000B2301"/>
    <w:rPr>
      <w:rFonts w:cs="Tahoma"/>
      <w:szCs w:val="18"/>
    </w:rPr>
  </w:style>
  <w:style w:type="character" w:customStyle="1" w:styleId="BalloonTextChar">
    <w:name w:val="Balloon Text Char"/>
    <w:basedOn w:val="DefaultParagraphFont"/>
    <w:link w:val="BalloonText"/>
    <w:uiPriority w:val="99"/>
    <w:rsid w:val="000B2301"/>
    <w:rPr>
      <w:rFonts w:ascii="Palatino Linotype" w:eastAsia="SimSun" w:hAnsi="Palatino Linotype" w:cs="Tahoma"/>
      <w:noProof/>
      <w:color w:val="000000"/>
      <w:sz w:val="20"/>
      <w:szCs w:val="18"/>
      <w:lang w:eastAsia="zh-CN"/>
    </w:rPr>
  </w:style>
  <w:style w:type="character" w:styleId="LineNumber">
    <w:name w:val="line number"/>
    <w:uiPriority w:val="99"/>
    <w:rsid w:val="000B2301"/>
    <w:rPr>
      <w:rFonts w:ascii="Palatino Linotype" w:hAnsi="Palatino Linotype"/>
      <w:sz w:val="16"/>
    </w:rPr>
  </w:style>
  <w:style w:type="table" w:customStyle="1" w:styleId="MDPI41threelinetable">
    <w:name w:val="MDPI_4.1_three_line_table"/>
    <w:basedOn w:val="TableNormal"/>
    <w:uiPriority w:val="99"/>
    <w:rsid w:val="000B2301"/>
    <w:pPr>
      <w:adjustRightInd w:val="0"/>
      <w:snapToGrid w:val="0"/>
      <w:spacing w:before="0" w:line="240" w:lineRule="auto"/>
      <w:ind w:left="0" w:right="0"/>
      <w:jc w:val="center"/>
    </w:pPr>
    <w:rPr>
      <w:rFonts w:ascii="Palatino Linotype" w:eastAsia="SimSun" w:hAnsi="Palatino Linotype" w:cs="Times New Roman"/>
      <w:color w:val="000000"/>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B2301"/>
    <w:rPr>
      <w:color w:val="0000FF"/>
      <w:u w:val="single"/>
    </w:rPr>
  </w:style>
  <w:style w:type="character" w:styleId="UnresolvedMention">
    <w:name w:val="Unresolved Mention"/>
    <w:unhideWhenUsed/>
    <w:qFormat/>
    <w:rsid w:val="000B2301"/>
    <w:rPr>
      <w:color w:val="605E5C"/>
      <w:shd w:val="clear" w:color="auto" w:fill="E1DFDD"/>
    </w:rPr>
  </w:style>
  <w:style w:type="table" w:styleId="PlainTable4">
    <w:name w:val="Plain Table 4"/>
    <w:basedOn w:val="TableNormal"/>
    <w:uiPriority w:val="44"/>
    <w:rsid w:val="000B2301"/>
    <w:pPr>
      <w:spacing w:before="0" w:line="240" w:lineRule="auto"/>
      <w:ind w:left="0" w:right="0"/>
      <w:jc w:val="left"/>
    </w:pPr>
    <w:rPr>
      <w:rFonts w:ascii="Calibri" w:eastAsia="SimSun"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B2301"/>
    <w:pPr>
      <w:adjustRightInd w:val="0"/>
      <w:snapToGrid w:val="0"/>
      <w:spacing w:before="0" w:line="240" w:lineRule="atLeast"/>
      <w:ind w:left="0" w:right="113"/>
      <w:jc w:val="left"/>
    </w:pPr>
    <w:rPr>
      <w:rFonts w:ascii="Palatino Linotype" w:eastAsia="SimSun" w:hAnsi="Palatino Linotype" w:cs="Cordia New"/>
      <w:sz w:val="14"/>
      <w:lang w:eastAsia="zh-CN"/>
    </w:rPr>
  </w:style>
  <w:style w:type="paragraph" w:customStyle="1" w:styleId="MDPI62BackMatter">
    <w:name w:val="MDPI_6.2_BackMatter"/>
    <w:qFormat/>
    <w:rsid w:val="000B2301"/>
    <w:pPr>
      <w:adjustRightInd w:val="0"/>
      <w:snapToGrid w:val="0"/>
      <w:spacing w:before="0" w:after="120" w:line="228" w:lineRule="auto"/>
      <w:ind w:left="2608" w:right="0"/>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0B2301"/>
    <w:pPr>
      <w:adjustRightInd w:val="0"/>
      <w:snapToGrid w:val="0"/>
      <w:spacing w:before="0" w:after="120" w:line="240" w:lineRule="atLeast"/>
      <w:ind w:left="0" w:right="113"/>
      <w:jc w:val="left"/>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0B2301"/>
    <w:pPr>
      <w:adjustRightInd w:val="0"/>
      <w:snapToGrid w:val="0"/>
      <w:spacing w:before="240" w:line="240" w:lineRule="atLeast"/>
      <w:ind w:left="0" w:right="113"/>
      <w:jc w:val="left"/>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0B2301"/>
    <w:pPr>
      <w:spacing w:before="240" w:line="260" w:lineRule="atLeast"/>
      <w:ind w:left="113" w:right="0"/>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0B2301"/>
    <w:pPr>
      <w:adjustRightInd w:val="0"/>
      <w:snapToGrid w:val="0"/>
      <w:spacing w:before="240" w:after="120" w:line="260" w:lineRule="atLeast"/>
      <w:ind w:left="0" w:right="0"/>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0B2301"/>
    <w:pPr>
      <w:adjustRightInd w:val="0"/>
      <w:snapToGrid w:val="0"/>
      <w:spacing w:before="240" w:after="120" w:line="260" w:lineRule="atLeast"/>
      <w:ind w:left="0" w:right="0"/>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0B2301"/>
    <w:pPr>
      <w:adjustRightInd w:val="0"/>
      <w:snapToGrid w:val="0"/>
      <w:spacing w:before="240" w:line="240" w:lineRule="atLeast"/>
      <w:ind w:left="0" w:right="113"/>
      <w:jc w:val="left"/>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0B2301"/>
    <w:pPr>
      <w:adjustRightInd w:val="0"/>
      <w:snapToGrid w:val="0"/>
      <w:spacing w:before="0" w:after="100" w:line="260" w:lineRule="atLeast"/>
      <w:ind w:left="0" w:right="0"/>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0B2301"/>
    <w:pPr>
      <w:adjustRightInd w:val="0"/>
      <w:snapToGrid w:val="0"/>
      <w:spacing w:before="120" w:after="120" w:line="240" w:lineRule="auto"/>
      <w:ind w:left="0" w:right="0"/>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0B2301"/>
    <w:pPr>
      <w:adjustRightInd w:val="0"/>
      <w:snapToGrid w:val="0"/>
      <w:spacing w:before="120" w:line="260" w:lineRule="atLeast"/>
      <w:ind w:left="0" w:right="0"/>
      <w:jc w:val="center"/>
    </w:pPr>
    <w:rPr>
      <w:rFonts w:ascii="Palatino Linotype" w:eastAsia="Times New Roman" w:hAnsi="Palatino Linotype" w:cs="Times New Roman"/>
      <w:color w:val="000000"/>
      <w:sz w:val="20"/>
      <w:szCs w:val="20"/>
      <w:lang w:eastAsia="de-DE"/>
    </w:rPr>
  </w:style>
  <w:style w:type="paragraph" w:customStyle="1" w:styleId="MDPIheader">
    <w:name w:val="MDPI_header"/>
    <w:qFormat/>
    <w:rsid w:val="000B2301"/>
    <w:pPr>
      <w:adjustRightInd w:val="0"/>
      <w:snapToGrid w:val="0"/>
      <w:spacing w:before="0" w:after="240" w:line="260" w:lineRule="atLeast"/>
      <w:ind w:left="0" w:right="0"/>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0B2301"/>
    <w:pPr>
      <w:spacing w:before="0" w:after="240" w:line="240" w:lineRule="auto"/>
      <w:ind w:left="0" w:right="0"/>
      <w:jc w:val="left"/>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0B2301"/>
    <w:pPr>
      <w:adjustRightInd w:val="0"/>
      <w:snapToGrid w:val="0"/>
      <w:spacing w:before="0" w:line="260" w:lineRule="atLeast"/>
      <w:ind w:left="0" w:right="0"/>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0B2301"/>
    <w:pPr>
      <w:spacing w:before="0" w:line="240" w:lineRule="auto"/>
      <w:ind w:left="0" w:right="0"/>
      <w:jc w:val="left"/>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0B2301"/>
    <w:pPr>
      <w:spacing w:before="0" w:line="260" w:lineRule="atLeast"/>
      <w:ind w:left="425" w:right="425" w:firstLine="284"/>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0B2301"/>
    <w:pPr>
      <w:adjustRightInd w:val="0"/>
      <w:snapToGrid w:val="0"/>
      <w:spacing w:before="0" w:after="240" w:line="260" w:lineRule="atLeast"/>
      <w:ind w:left="0" w:right="0"/>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0B2301"/>
  </w:style>
  <w:style w:type="paragraph" w:styleId="Bibliography">
    <w:name w:val="Bibliography"/>
    <w:basedOn w:val="Normal"/>
    <w:next w:val="Normal"/>
    <w:uiPriority w:val="37"/>
    <w:semiHidden/>
    <w:unhideWhenUsed/>
    <w:rsid w:val="000B2301"/>
  </w:style>
  <w:style w:type="paragraph" w:styleId="BodyText">
    <w:name w:val="Body Text"/>
    <w:link w:val="BodyTextChar"/>
    <w:uiPriority w:val="99"/>
    <w:rsid w:val="000B2301"/>
    <w:pPr>
      <w:spacing w:before="0" w:after="120" w:line="340" w:lineRule="atLeast"/>
      <w:ind w:left="0" w:right="0"/>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uiPriority w:val="99"/>
    <w:rsid w:val="000B2301"/>
    <w:rPr>
      <w:rFonts w:ascii="Palatino Linotype" w:eastAsia="SimSun" w:hAnsi="Palatino Linotype" w:cs="Times New Roman"/>
      <w:color w:val="000000"/>
      <w:sz w:val="24"/>
      <w:szCs w:val="20"/>
      <w:lang w:eastAsia="de-DE"/>
    </w:rPr>
  </w:style>
  <w:style w:type="character" w:styleId="CommentReference">
    <w:name w:val="annotation reference"/>
    <w:qFormat/>
    <w:rsid w:val="000B2301"/>
    <w:rPr>
      <w:sz w:val="21"/>
      <w:szCs w:val="21"/>
    </w:rPr>
  </w:style>
  <w:style w:type="paragraph" w:styleId="CommentText">
    <w:name w:val="annotation text"/>
    <w:basedOn w:val="Normal"/>
    <w:link w:val="CommentTextChar"/>
    <w:qFormat/>
    <w:rsid w:val="000B2301"/>
  </w:style>
  <w:style w:type="character" w:customStyle="1" w:styleId="CommentTextChar">
    <w:name w:val="Comment Text Char"/>
    <w:basedOn w:val="DefaultParagraphFont"/>
    <w:link w:val="CommentText"/>
    <w:rsid w:val="000B2301"/>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qFormat/>
    <w:rsid w:val="000B2301"/>
    <w:rPr>
      <w:b/>
      <w:bCs/>
    </w:rPr>
  </w:style>
  <w:style w:type="character" w:customStyle="1" w:styleId="CommentSubjectChar">
    <w:name w:val="Comment Subject Char"/>
    <w:basedOn w:val="CommentTextChar"/>
    <w:link w:val="CommentSubject"/>
    <w:rsid w:val="000B2301"/>
    <w:rPr>
      <w:rFonts w:ascii="Palatino Linotype" w:eastAsia="SimSun" w:hAnsi="Palatino Linotype" w:cs="Times New Roman"/>
      <w:b/>
      <w:bCs/>
      <w:noProof/>
      <w:color w:val="000000"/>
      <w:sz w:val="20"/>
      <w:szCs w:val="20"/>
      <w:lang w:eastAsia="zh-CN"/>
    </w:rPr>
  </w:style>
  <w:style w:type="character" w:styleId="EndnoteReference">
    <w:name w:val="endnote reference"/>
    <w:rsid w:val="000B2301"/>
    <w:rPr>
      <w:vertAlign w:val="superscript"/>
    </w:rPr>
  </w:style>
  <w:style w:type="paragraph" w:styleId="EndnoteText">
    <w:name w:val="endnote text"/>
    <w:basedOn w:val="Normal"/>
    <w:link w:val="EndnoteTextChar"/>
    <w:semiHidden/>
    <w:unhideWhenUsed/>
    <w:rsid w:val="000B2301"/>
    <w:pPr>
      <w:spacing w:line="240" w:lineRule="auto"/>
    </w:pPr>
  </w:style>
  <w:style w:type="character" w:customStyle="1" w:styleId="EndnoteTextChar">
    <w:name w:val="Endnote Text Char"/>
    <w:basedOn w:val="DefaultParagraphFont"/>
    <w:link w:val="EndnoteText"/>
    <w:semiHidden/>
    <w:rsid w:val="000B2301"/>
    <w:rPr>
      <w:rFonts w:ascii="Palatino Linotype" w:eastAsia="SimSun" w:hAnsi="Palatino Linotype" w:cs="Times New Roman"/>
      <w:noProof/>
      <w:color w:val="000000"/>
      <w:sz w:val="20"/>
      <w:szCs w:val="20"/>
      <w:lang w:eastAsia="zh-CN"/>
    </w:rPr>
  </w:style>
  <w:style w:type="character" w:styleId="FollowedHyperlink">
    <w:name w:val="FollowedHyperlink"/>
    <w:qFormat/>
    <w:rsid w:val="000B2301"/>
    <w:rPr>
      <w:color w:val="954F72"/>
      <w:u w:val="single"/>
    </w:rPr>
  </w:style>
  <w:style w:type="paragraph" w:styleId="FootnoteText">
    <w:name w:val="footnote text"/>
    <w:basedOn w:val="Normal"/>
    <w:link w:val="FootnoteTextChar"/>
    <w:semiHidden/>
    <w:unhideWhenUsed/>
    <w:rsid w:val="000B2301"/>
    <w:pPr>
      <w:spacing w:line="240" w:lineRule="auto"/>
    </w:pPr>
  </w:style>
  <w:style w:type="character" w:customStyle="1" w:styleId="FootnoteTextChar">
    <w:name w:val="Footnote Text Char"/>
    <w:basedOn w:val="DefaultParagraphFont"/>
    <w:link w:val="FootnoteText"/>
    <w:semiHidden/>
    <w:rsid w:val="000B2301"/>
    <w:rPr>
      <w:rFonts w:ascii="Palatino Linotype" w:eastAsia="SimSun" w:hAnsi="Palatino Linotype" w:cs="Times New Roman"/>
      <w:noProof/>
      <w:color w:val="000000"/>
      <w:sz w:val="20"/>
      <w:szCs w:val="20"/>
      <w:lang w:eastAsia="zh-CN"/>
    </w:rPr>
  </w:style>
  <w:style w:type="paragraph" w:styleId="NormalWeb">
    <w:name w:val="Normal (Web)"/>
    <w:basedOn w:val="Normal"/>
    <w:qFormat/>
    <w:rsid w:val="000B2301"/>
    <w:rPr>
      <w:szCs w:val="24"/>
    </w:rPr>
  </w:style>
  <w:style w:type="paragraph" w:customStyle="1" w:styleId="MsoFootnoteText0">
    <w:name w:val="MsoFootnoteText"/>
    <w:basedOn w:val="NormalWeb"/>
    <w:qFormat/>
    <w:rsid w:val="000B2301"/>
    <w:rPr>
      <w:rFonts w:ascii="Times New Roman" w:hAnsi="Times New Roman"/>
    </w:rPr>
  </w:style>
  <w:style w:type="character" w:styleId="PageNumber">
    <w:name w:val="page number"/>
    <w:rsid w:val="000B2301"/>
  </w:style>
  <w:style w:type="character" w:styleId="PlaceholderText">
    <w:name w:val="Placeholder Text"/>
    <w:uiPriority w:val="99"/>
    <w:semiHidden/>
    <w:rsid w:val="000B2301"/>
    <w:rPr>
      <w:color w:val="808080"/>
    </w:rPr>
  </w:style>
  <w:style w:type="paragraph" w:customStyle="1" w:styleId="MDPI71FootNotes">
    <w:name w:val="MDPI_7.1_FootNotes"/>
    <w:qFormat/>
    <w:rsid w:val="000B2301"/>
    <w:pPr>
      <w:numPr>
        <w:numId w:val="12"/>
      </w:numPr>
      <w:adjustRightInd w:val="0"/>
      <w:snapToGrid w:val="0"/>
      <w:spacing w:before="0" w:line="228" w:lineRule="auto"/>
      <w:ind w:right="0"/>
    </w:pPr>
    <w:rPr>
      <w:rFonts w:ascii="Palatino Linotype" w:eastAsia="DengXian" w:hAnsi="Palatino Linotype" w:cs="Times New Roman"/>
      <w:noProof/>
      <w:color w:val="000000"/>
      <w:sz w:val="18"/>
      <w:szCs w:val="20"/>
      <w:lang w:eastAsia="zh-CN"/>
    </w:rPr>
  </w:style>
  <w:style w:type="table" w:customStyle="1" w:styleId="TableNormal1">
    <w:name w:val="Table Normal1"/>
    <w:rsid w:val="000B2301"/>
    <w:pPr>
      <w:spacing w:before="0" w:line="240" w:lineRule="auto"/>
      <w:ind w:left="0" w:right="0"/>
      <w:jc w:val="left"/>
    </w:pPr>
    <w:rPr>
      <w:rFonts w:ascii="Times New Roman" w:eastAsia="Times New Roman" w:hAnsi="Times New Roman" w:cs="Times New Roman"/>
      <w:sz w:val="20"/>
      <w:szCs w:val="20"/>
      <w:lang w:eastAsia="it-IT"/>
    </w:rPr>
    <w:tblPr>
      <w:tblCellMar>
        <w:top w:w="0" w:type="dxa"/>
        <w:left w:w="0" w:type="dxa"/>
        <w:bottom w:w="0" w:type="dxa"/>
        <w:right w:w="0" w:type="dxa"/>
      </w:tblCellMar>
    </w:tblPr>
  </w:style>
  <w:style w:type="paragraph" w:styleId="Title">
    <w:name w:val="Title"/>
    <w:basedOn w:val="Normal"/>
    <w:next w:val="Normal"/>
    <w:link w:val="TitleChar"/>
    <w:qFormat/>
    <w:rsid w:val="000B2301"/>
    <w:pPr>
      <w:keepNext/>
      <w:keepLines/>
      <w:pBdr>
        <w:top w:val="nil"/>
        <w:left w:val="nil"/>
        <w:bottom w:val="nil"/>
        <w:right w:val="nil"/>
        <w:between w:val="nil"/>
        <w:bar w:val="nil"/>
      </w:pBdr>
      <w:suppressAutoHyphens/>
      <w:spacing w:before="480" w:after="120" w:line="1" w:lineRule="atLeast"/>
      <w:ind w:leftChars="-1" w:left="-1" w:hangingChars="1" w:hanging="1"/>
      <w:jc w:val="left"/>
      <w:textDirection w:val="btLr"/>
      <w:textAlignment w:val="top"/>
      <w:outlineLvl w:val="0"/>
    </w:pPr>
    <w:rPr>
      <w:rFonts w:ascii="Times New Roman" w:eastAsia="Times New Roman" w:hAnsi="Times New Roman"/>
      <w:b/>
      <w:noProof w:val="0"/>
      <w:color w:val="auto"/>
      <w:position w:val="-1"/>
      <w:sz w:val="72"/>
      <w:szCs w:val="72"/>
      <w:bdr w:val="nil"/>
      <w:lang w:eastAsia="en-US"/>
    </w:rPr>
  </w:style>
  <w:style w:type="character" w:customStyle="1" w:styleId="TitleChar">
    <w:name w:val="Title Char"/>
    <w:basedOn w:val="DefaultParagraphFont"/>
    <w:link w:val="Title"/>
    <w:rsid w:val="000B2301"/>
    <w:rPr>
      <w:rFonts w:ascii="Times New Roman" w:eastAsia="Times New Roman" w:hAnsi="Times New Roman" w:cs="Times New Roman"/>
      <w:b/>
      <w:position w:val="-1"/>
      <w:sz w:val="72"/>
      <w:szCs w:val="72"/>
      <w:bdr w:val="nil"/>
    </w:rPr>
  </w:style>
  <w:style w:type="table" w:customStyle="1" w:styleId="TableNormal11">
    <w:name w:val="Table Normal11"/>
    <w:rsid w:val="000B2301"/>
    <w:pPr>
      <w:pBdr>
        <w:top w:val="nil"/>
        <w:left w:val="nil"/>
        <w:bottom w:val="nil"/>
        <w:right w:val="nil"/>
        <w:between w:val="nil"/>
        <w:bar w:val="nil"/>
      </w:pBdr>
      <w:suppressAutoHyphens/>
      <w:spacing w:before="0" w:line="1" w:lineRule="atLeast"/>
      <w:ind w:leftChars="-1" w:left="-1" w:right="0" w:hangingChars="1" w:hanging="1"/>
      <w:jc w:val="left"/>
      <w:textDirection w:val="btLr"/>
      <w:textAlignment w:val="top"/>
      <w:outlineLvl w:val="0"/>
    </w:pPr>
    <w:rPr>
      <w:rFonts w:ascii="Times New Roman" w:eastAsia="Times New Roman" w:hAnsi="Times New Roman" w:cs="Times New Roman"/>
      <w:position w:val="-1"/>
      <w:sz w:val="20"/>
      <w:szCs w:val="20"/>
      <w:bdr w:val="nil"/>
      <w:lang w:val="it-IT" w:eastAsia="it-IT"/>
    </w:rPr>
    <w:tblPr>
      <w:tblInd w:w="0" w:type="dxa"/>
      <w:tblCellMar>
        <w:top w:w="0" w:type="dxa"/>
        <w:left w:w="0" w:type="dxa"/>
        <w:bottom w:w="0" w:type="dxa"/>
        <w:right w:w="0" w:type="dxa"/>
      </w:tblCellMar>
    </w:tblPr>
  </w:style>
  <w:style w:type="paragraph" w:customStyle="1" w:styleId="Corpo">
    <w:name w:val="Corpo"/>
    <w:rsid w:val="000B2301"/>
    <w:pPr>
      <w:pBdr>
        <w:top w:val="nil"/>
        <w:left w:val="nil"/>
        <w:bottom w:val="nil"/>
        <w:right w:val="nil"/>
        <w:between w:val="nil"/>
        <w:bar w:val="nil"/>
      </w:pBdr>
      <w:suppressAutoHyphens/>
      <w:spacing w:before="0" w:line="1" w:lineRule="atLeast"/>
      <w:ind w:leftChars="-1" w:left="-1" w:right="0" w:hangingChars="1" w:hanging="1"/>
      <w:jc w:val="left"/>
      <w:textDirection w:val="btLr"/>
      <w:textAlignment w:val="top"/>
      <w:outlineLvl w:val="0"/>
    </w:pPr>
    <w:rPr>
      <w:rFonts w:ascii="Helvetica Neue" w:eastAsia="Times New Roman" w:hAnsi="Helvetica Neue" w:cs="Arial Unicode MS"/>
      <w:color w:val="000000"/>
      <w:position w:val="-1"/>
      <w:bdr w:val="nil"/>
      <w:lang w:val="it-IT" w:eastAsia="it-IT"/>
    </w:rPr>
  </w:style>
  <w:style w:type="paragraph" w:customStyle="1" w:styleId="Didefault">
    <w:name w:val="Di default"/>
    <w:rsid w:val="000B2301"/>
    <w:pPr>
      <w:pBdr>
        <w:top w:val="nil"/>
        <w:left w:val="nil"/>
        <w:bottom w:val="nil"/>
        <w:right w:val="nil"/>
        <w:between w:val="nil"/>
        <w:bar w:val="nil"/>
      </w:pBdr>
      <w:suppressAutoHyphens/>
      <w:spacing w:before="0" w:line="1" w:lineRule="atLeast"/>
      <w:ind w:leftChars="-1" w:left="-1" w:right="0" w:hangingChars="1" w:hanging="1"/>
      <w:jc w:val="left"/>
      <w:textDirection w:val="btLr"/>
      <w:textAlignment w:val="top"/>
      <w:outlineLvl w:val="0"/>
    </w:pPr>
    <w:rPr>
      <w:rFonts w:ascii="Helvetica Neue" w:eastAsia="Times New Roman" w:hAnsi="Helvetica Neue" w:cs="Arial Unicode MS"/>
      <w:color w:val="000000"/>
      <w:position w:val="-1"/>
      <w:bdr w:val="nil"/>
      <w:lang w:val="it-IT" w:eastAsia="it-IT"/>
    </w:rPr>
  </w:style>
  <w:style w:type="character" w:customStyle="1" w:styleId="IntestazioneCarattere">
    <w:name w:val="Intestazione Carattere"/>
    <w:rsid w:val="000B2301"/>
    <w:rPr>
      <w:w w:val="100"/>
      <w:position w:val="-1"/>
      <w:sz w:val="24"/>
      <w:szCs w:val="24"/>
      <w:effect w:val="none"/>
      <w:vertAlign w:val="baseline"/>
      <w:cs w:val="0"/>
      <w:em w:val="none"/>
      <w:lang w:val="en-US" w:eastAsia="en-US"/>
    </w:rPr>
  </w:style>
  <w:style w:type="character" w:customStyle="1" w:styleId="PidipaginaCarattere">
    <w:name w:val="Piè di pagina Carattere"/>
    <w:rsid w:val="000B2301"/>
    <w:rPr>
      <w:w w:val="100"/>
      <w:position w:val="-1"/>
      <w:sz w:val="24"/>
      <w:szCs w:val="24"/>
      <w:effect w:val="none"/>
      <w:vertAlign w:val="baseline"/>
      <w:cs w:val="0"/>
      <w:em w:val="none"/>
      <w:lang w:val="en-US" w:eastAsia="en-US"/>
    </w:rPr>
  </w:style>
  <w:style w:type="character" w:customStyle="1" w:styleId="jlqj4b">
    <w:name w:val="jlqj4b"/>
    <w:rsid w:val="000B2301"/>
    <w:rPr>
      <w:w w:val="100"/>
      <w:position w:val="-1"/>
      <w:effect w:val="none"/>
      <w:vertAlign w:val="baseline"/>
      <w:cs w:val="0"/>
      <w:em w:val="none"/>
    </w:rPr>
  </w:style>
  <w:style w:type="paragraph" w:styleId="ListParagraph">
    <w:name w:val="List Paragraph"/>
    <w:basedOn w:val="Normal"/>
    <w:rsid w:val="000B2301"/>
    <w:pPr>
      <w:pBdr>
        <w:top w:val="nil"/>
        <w:left w:val="nil"/>
        <w:bottom w:val="nil"/>
        <w:right w:val="nil"/>
        <w:between w:val="nil"/>
        <w:bar w:val="nil"/>
      </w:pBdr>
      <w:suppressAutoHyphens/>
      <w:spacing w:line="1" w:lineRule="atLeast"/>
      <w:ind w:leftChars="-1" w:left="720" w:hangingChars="1" w:hanging="1"/>
      <w:contextualSpacing/>
      <w:jc w:val="left"/>
      <w:textDirection w:val="btLr"/>
      <w:textAlignment w:val="top"/>
      <w:outlineLvl w:val="0"/>
    </w:pPr>
    <w:rPr>
      <w:rFonts w:ascii="Times New Roman" w:eastAsia="Times New Roman" w:hAnsi="Times New Roman"/>
      <w:noProof w:val="0"/>
      <w:color w:val="auto"/>
      <w:position w:val="-1"/>
      <w:sz w:val="24"/>
      <w:szCs w:val="24"/>
      <w:bdr w:val="nil"/>
      <w:lang w:eastAsia="en-US"/>
    </w:rPr>
  </w:style>
  <w:style w:type="character" w:customStyle="1" w:styleId="CorpotestoCarattere">
    <w:name w:val="Corpo testo Carattere"/>
    <w:uiPriority w:val="99"/>
    <w:rsid w:val="000B2301"/>
    <w:rPr>
      <w:w w:val="100"/>
      <w:position w:val="-1"/>
      <w:sz w:val="22"/>
      <w:szCs w:val="22"/>
      <w:effect w:val="none"/>
      <w:bdr w:val="none" w:sz="0" w:space="0" w:color="auto"/>
      <w:vertAlign w:val="baseline"/>
      <w:cs w:val="0"/>
      <w:em w:val="none"/>
      <w:lang w:val="en-US" w:eastAsia="en-US"/>
    </w:rPr>
  </w:style>
  <w:style w:type="character" w:customStyle="1" w:styleId="docsum-authors">
    <w:name w:val="docsum-authors"/>
    <w:rsid w:val="000B2301"/>
    <w:rPr>
      <w:w w:val="100"/>
      <w:position w:val="-1"/>
      <w:effect w:val="none"/>
      <w:vertAlign w:val="baseline"/>
      <w:cs w:val="0"/>
      <w:em w:val="none"/>
    </w:rPr>
  </w:style>
  <w:style w:type="character" w:customStyle="1" w:styleId="element-citation">
    <w:name w:val="element-citation"/>
    <w:rsid w:val="000B2301"/>
    <w:rPr>
      <w:w w:val="100"/>
      <w:position w:val="-1"/>
      <w:effect w:val="none"/>
      <w:vertAlign w:val="baseline"/>
      <w:cs w:val="0"/>
      <w:em w:val="none"/>
    </w:rPr>
  </w:style>
  <w:style w:type="character" w:customStyle="1" w:styleId="highwire-citation-authors">
    <w:name w:val="highwire-citation-authors"/>
    <w:rsid w:val="000B2301"/>
    <w:rPr>
      <w:w w:val="100"/>
      <w:position w:val="-1"/>
      <w:effect w:val="none"/>
      <w:vertAlign w:val="baseline"/>
      <w:cs w:val="0"/>
      <w:em w:val="none"/>
    </w:rPr>
  </w:style>
  <w:style w:type="character" w:customStyle="1" w:styleId="highwire-citation-author">
    <w:name w:val="highwire-citation-author"/>
    <w:rsid w:val="000B2301"/>
    <w:rPr>
      <w:w w:val="100"/>
      <w:position w:val="-1"/>
      <w:effect w:val="none"/>
      <w:vertAlign w:val="baseline"/>
      <w:cs w:val="0"/>
      <w:em w:val="none"/>
    </w:rPr>
  </w:style>
  <w:style w:type="character" w:customStyle="1" w:styleId="nlm-surname">
    <w:name w:val="nlm-surname"/>
    <w:rsid w:val="000B2301"/>
    <w:rPr>
      <w:w w:val="100"/>
      <w:position w:val="-1"/>
      <w:effect w:val="none"/>
      <w:vertAlign w:val="baseline"/>
      <w:cs w:val="0"/>
      <w:em w:val="none"/>
    </w:rPr>
  </w:style>
  <w:style w:type="character" w:customStyle="1" w:styleId="docsum-journal-citation">
    <w:name w:val="docsum-journal-citation"/>
    <w:rsid w:val="000B2301"/>
    <w:rPr>
      <w:w w:val="100"/>
      <w:position w:val="-1"/>
      <w:effect w:val="none"/>
      <w:vertAlign w:val="baseline"/>
      <w:cs w:val="0"/>
      <w:em w:val="none"/>
    </w:rPr>
  </w:style>
  <w:style w:type="character" w:customStyle="1" w:styleId="TestocommentoCarattere">
    <w:name w:val="Testo commento Carattere"/>
    <w:rsid w:val="000B2301"/>
    <w:rPr>
      <w:w w:val="100"/>
      <w:position w:val="-1"/>
      <w:effect w:val="none"/>
      <w:vertAlign w:val="baseline"/>
      <w:cs w:val="0"/>
      <w:em w:val="none"/>
      <w:lang w:val="en-US" w:eastAsia="en-US"/>
    </w:rPr>
  </w:style>
  <w:style w:type="character" w:customStyle="1" w:styleId="SoggettocommentoCarattere">
    <w:name w:val="Soggetto commento Carattere"/>
    <w:rsid w:val="000B2301"/>
    <w:rPr>
      <w:b/>
      <w:bCs/>
      <w:w w:val="100"/>
      <w:position w:val="-1"/>
      <w:effect w:val="none"/>
      <w:vertAlign w:val="baseline"/>
      <w:cs w:val="0"/>
      <w:em w:val="none"/>
      <w:lang w:val="en-US" w:eastAsia="en-US"/>
    </w:rPr>
  </w:style>
  <w:style w:type="paragraph" w:styleId="Revision">
    <w:name w:val="Revision"/>
    <w:rsid w:val="000B2301"/>
    <w:pPr>
      <w:suppressAutoHyphens/>
      <w:spacing w:before="0" w:line="1" w:lineRule="atLeast"/>
      <w:ind w:leftChars="-1" w:left="-1" w:right="0" w:hangingChars="1" w:hanging="1"/>
      <w:jc w:val="left"/>
      <w:textDirection w:val="btLr"/>
      <w:textAlignment w:val="top"/>
      <w:outlineLvl w:val="0"/>
    </w:pPr>
    <w:rPr>
      <w:rFonts w:ascii="Times New Roman" w:eastAsia="Times New Roman" w:hAnsi="Times New Roman" w:cs="Times New Roman"/>
      <w:position w:val="-1"/>
      <w:sz w:val="24"/>
      <w:szCs w:val="24"/>
      <w:bdr w:val="nil"/>
    </w:rPr>
  </w:style>
  <w:style w:type="character" w:customStyle="1" w:styleId="Titolo2Carattere">
    <w:name w:val="Titolo 2 Carattere"/>
    <w:rsid w:val="000B2301"/>
    <w:rPr>
      <w:b/>
      <w:bCs/>
      <w:w w:val="100"/>
      <w:position w:val="-1"/>
      <w:sz w:val="36"/>
      <w:szCs w:val="36"/>
      <w:effect w:val="none"/>
      <w:bdr w:val="none" w:sz="0" w:space="0" w:color="auto"/>
      <w:vertAlign w:val="baseline"/>
      <w:cs w:val="0"/>
      <w:em w:val="none"/>
    </w:rPr>
  </w:style>
  <w:style w:type="character" w:customStyle="1" w:styleId="Titolo4Carattere">
    <w:name w:val="Titolo 4 Carattere"/>
    <w:rsid w:val="000B2301"/>
    <w:rPr>
      <w:rFonts w:ascii="Helvetica Neue" w:eastAsia="Times New Roman" w:hAnsi="Helvetica Neue" w:cs="Helvetica Neue"/>
      <w:i/>
      <w:iCs/>
      <w:color w:val="0079BF"/>
      <w:w w:val="100"/>
      <w:position w:val="-1"/>
      <w:sz w:val="24"/>
      <w:szCs w:val="24"/>
      <w:effect w:val="none"/>
      <w:vertAlign w:val="baseline"/>
      <w:cs w:val="0"/>
      <w:em w:val="none"/>
      <w:lang w:val="en-US" w:eastAsia="en-US"/>
    </w:rPr>
  </w:style>
  <w:style w:type="character" w:customStyle="1" w:styleId="position-number">
    <w:name w:val="position-number"/>
    <w:rsid w:val="000B2301"/>
    <w:rPr>
      <w:w w:val="100"/>
      <w:position w:val="-1"/>
      <w:effect w:val="none"/>
      <w:vertAlign w:val="baseline"/>
      <w:cs w:val="0"/>
      <w:em w:val="none"/>
    </w:rPr>
  </w:style>
  <w:style w:type="character" w:customStyle="1" w:styleId="citation-part">
    <w:name w:val="citation-part"/>
    <w:rsid w:val="000B2301"/>
    <w:rPr>
      <w:w w:val="100"/>
      <w:position w:val="-1"/>
      <w:effect w:val="none"/>
      <w:vertAlign w:val="baseline"/>
      <w:cs w:val="0"/>
      <w:em w:val="none"/>
    </w:rPr>
  </w:style>
  <w:style w:type="character" w:customStyle="1" w:styleId="docsum-pmid">
    <w:name w:val="docsum-pmid"/>
    <w:rsid w:val="000B2301"/>
    <w:rPr>
      <w:w w:val="100"/>
      <w:position w:val="-1"/>
      <w:effect w:val="none"/>
      <w:vertAlign w:val="baseline"/>
      <w:cs w:val="0"/>
      <w:em w:val="none"/>
    </w:rPr>
  </w:style>
  <w:style w:type="character" w:customStyle="1" w:styleId="publication-type">
    <w:name w:val="publication-type"/>
    <w:rsid w:val="000B2301"/>
    <w:rPr>
      <w:w w:val="100"/>
      <w:position w:val="-1"/>
      <w:effect w:val="none"/>
      <w:vertAlign w:val="baseline"/>
      <w:cs w:val="0"/>
      <w:em w:val="none"/>
    </w:rPr>
  </w:style>
  <w:style w:type="character" w:customStyle="1" w:styleId="linktext">
    <w:name w:val="link__text"/>
    <w:rsid w:val="000B2301"/>
    <w:rPr>
      <w:w w:val="100"/>
      <w:position w:val="-1"/>
      <w:effect w:val="none"/>
      <w:vertAlign w:val="baseline"/>
      <w:cs w:val="0"/>
      <w:em w:val="none"/>
    </w:rPr>
  </w:style>
  <w:style w:type="character" w:customStyle="1" w:styleId="text-meta">
    <w:name w:val="text-meta"/>
    <w:rsid w:val="000B2301"/>
    <w:rPr>
      <w:w w:val="100"/>
      <w:position w:val="-1"/>
      <w:effect w:val="none"/>
      <w:vertAlign w:val="baseline"/>
      <w:cs w:val="0"/>
      <w:em w:val="none"/>
    </w:rPr>
  </w:style>
  <w:style w:type="character" w:customStyle="1" w:styleId="Titolo1Carattere">
    <w:name w:val="Titolo 1 Carattere"/>
    <w:rsid w:val="000B2301"/>
    <w:rPr>
      <w:rFonts w:ascii="Calibri Light" w:eastAsia="Times New Roman" w:hAnsi="Calibri Light" w:cs="Times New Roman"/>
      <w:b/>
      <w:bCs/>
      <w:w w:val="100"/>
      <w:kern w:val="32"/>
      <w:position w:val="-1"/>
      <w:sz w:val="32"/>
      <w:szCs w:val="32"/>
      <w:effect w:val="none"/>
      <w:bdr w:val="nil"/>
      <w:vertAlign w:val="baseline"/>
      <w:cs w:val="0"/>
      <w:em w:val="none"/>
    </w:rPr>
  </w:style>
  <w:style w:type="character" w:customStyle="1" w:styleId="period">
    <w:name w:val="period"/>
    <w:rsid w:val="000B2301"/>
    <w:rPr>
      <w:w w:val="100"/>
      <w:position w:val="-1"/>
      <w:effect w:val="none"/>
      <w:vertAlign w:val="baseline"/>
      <w:cs w:val="0"/>
      <w:em w:val="none"/>
    </w:rPr>
  </w:style>
  <w:style w:type="character" w:customStyle="1" w:styleId="cit">
    <w:name w:val="cit"/>
    <w:rsid w:val="000B2301"/>
    <w:rPr>
      <w:w w:val="100"/>
      <w:position w:val="-1"/>
      <w:effect w:val="none"/>
      <w:vertAlign w:val="baseline"/>
      <w:cs w:val="0"/>
      <w:em w:val="none"/>
    </w:rPr>
  </w:style>
  <w:style w:type="character" w:customStyle="1" w:styleId="citation-doi">
    <w:name w:val="citation-doi"/>
    <w:rsid w:val="000B2301"/>
    <w:rPr>
      <w:w w:val="100"/>
      <w:position w:val="-1"/>
      <w:effect w:val="none"/>
      <w:vertAlign w:val="baseline"/>
      <w:cs w:val="0"/>
      <w:em w:val="none"/>
    </w:rPr>
  </w:style>
  <w:style w:type="character" w:customStyle="1" w:styleId="secondary-date">
    <w:name w:val="secondary-date"/>
    <w:rsid w:val="000B2301"/>
    <w:rPr>
      <w:w w:val="100"/>
      <w:position w:val="-1"/>
      <w:effect w:val="none"/>
      <w:vertAlign w:val="baseline"/>
      <w:cs w:val="0"/>
      <w:em w:val="none"/>
    </w:rPr>
  </w:style>
  <w:style w:type="character" w:customStyle="1" w:styleId="authors-list-item">
    <w:name w:val="authors-list-item"/>
    <w:rsid w:val="000B2301"/>
    <w:rPr>
      <w:w w:val="100"/>
      <w:position w:val="-1"/>
      <w:effect w:val="none"/>
      <w:vertAlign w:val="baseline"/>
      <w:cs w:val="0"/>
      <w:em w:val="none"/>
    </w:rPr>
  </w:style>
  <w:style w:type="character" w:customStyle="1" w:styleId="author-sup-separator">
    <w:name w:val="author-sup-separator"/>
    <w:rsid w:val="000B2301"/>
    <w:rPr>
      <w:w w:val="100"/>
      <w:position w:val="-1"/>
      <w:effect w:val="none"/>
      <w:vertAlign w:val="baseline"/>
      <w:cs w:val="0"/>
      <w:em w:val="none"/>
    </w:rPr>
  </w:style>
  <w:style w:type="character" w:customStyle="1" w:styleId="comma">
    <w:name w:val="comma"/>
    <w:rsid w:val="000B2301"/>
    <w:rPr>
      <w:w w:val="100"/>
      <w:position w:val="-1"/>
      <w:effect w:val="none"/>
      <w:vertAlign w:val="baseline"/>
      <w:cs w:val="0"/>
      <w:em w:val="none"/>
    </w:rPr>
  </w:style>
  <w:style w:type="character" w:customStyle="1" w:styleId="fm-vol-iss-date">
    <w:name w:val="fm-vol-iss-date"/>
    <w:rsid w:val="000B2301"/>
    <w:rPr>
      <w:w w:val="100"/>
      <w:position w:val="-1"/>
      <w:effect w:val="none"/>
      <w:vertAlign w:val="baseline"/>
      <w:cs w:val="0"/>
      <w:em w:val="none"/>
    </w:rPr>
  </w:style>
  <w:style w:type="character" w:customStyle="1" w:styleId="doi">
    <w:name w:val="doi"/>
    <w:rsid w:val="000B2301"/>
    <w:rPr>
      <w:w w:val="100"/>
      <w:position w:val="-1"/>
      <w:effect w:val="none"/>
      <w:vertAlign w:val="baseline"/>
      <w:cs w:val="0"/>
      <w:em w:val="none"/>
    </w:rPr>
  </w:style>
  <w:style w:type="character" w:customStyle="1" w:styleId="fm-citation-ids-label">
    <w:name w:val="fm-citation-ids-label"/>
    <w:rsid w:val="000B2301"/>
    <w:rPr>
      <w:w w:val="100"/>
      <w:position w:val="-1"/>
      <w:effect w:val="none"/>
      <w:vertAlign w:val="baseline"/>
      <w:cs w:val="0"/>
      <w:em w:val="none"/>
    </w:rPr>
  </w:style>
  <w:style w:type="character" w:customStyle="1" w:styleId="ref-journal">
    <w:name w:val="ref-journal"/>
    <w:rsid w:val="000B2301"/>
    <w:rPr>
      <w:w w:val="100"/>
      <w:position w:val="-1"/>
      <w:effect w:val="none"/>
      <w:vertAlign w:val="baseline"/>
      <w:cs w:val="0"/>
      <w:em w:val="none"/>
    </w:rPr>
  </w:style>
  <w:style w:type="character" w:customStyle="1" w:styleId="ref-vol">
    <w:name w:val="ref-vol"/>
    <w:rsid w:val="000B2301"/>
    <w:rPr>
      <w:w w:val="100"/>
      <w:position w:val="-1"/>
      <w:effect w:val="none"/>
      <w:vertAlign w:val="baseline"/>
      <w:cs w:val="0"/>
      <w:em w:val="none"/>
    </w:rPr>
  </w:style>
  <w:style w:type="character" w:customStyle="1" w:styleId="nowrap">
    <w:name w:val="nowrap"/>
    <w:rsid w:val="000B2301"/>
    <w:rPr>
      <w:w w:val="100"/>
      <w:position w:val="-1"/>
      <w:effect w:val="none"/>
      <w:vertAlign w:val="baseline"/>
      <w:cs w:val="0"/>
      <w:em w:val="none"/>
    </w:rPr>
  </w:style>
  <w:style w:type="paragraph" w:styleId="Subtitle">
    <w:name w:val="Subtitle"/>
    <w:basedOn w:val="Normal"/>
    <w:next w:val="Normal"/>
    <w:link w:val="SubtitleChar"/>
    <w:uiPriority w:val="11"/>
    <w:qFormat/>
    <w:rsid w:val="000B2301"/>
    <w:pPr>
      <w:keepNext/>
      <w:keepLines/>
      <w:pBdr>
        <w:top w:val="nil"/>
        <w:left w:val="nil"/>
        <w:bottom w:val="nil"/>
        <w:right w:val="nil"/>
        <w:between w:val="nil"/>
        <w:bar w:val="nil"/>
      </w:pBdr>
      <w:suppressAutoHyphens/>
      <w:spacing w:before="360" w:after="80" w:line="1" w:lineRule="atLeast"/>
      <w:ind w:leftChars="-1" w:left="-1" w:hangingChars="1" w:hanging="1"/>
      <w:jc w:val="left"/>
      <w:textDirection w:val="btLr"/>
      <w:textAlignment w:val="top"/>
      <w:outlineLvl w:val="0"/>
    </w:pPr>
    <w:rPr>
      <w:rFonts w:ascii="Georgia" w:eastAsia="Georgia" w:hAnsi="Georgia" w:cs="Georgia"/>
      <w:i/>
      <w:noProof w:val="0"/>
      <w:color w:val="666666"/>
      <w:position w:val="-1"/>
      <w:sz w:val="48"/>
      <w:szCs w:val="48"/>
      <w:bdr w:val="nil"/>
      <w:lang w:eastAsia="en-US"/>
    </w:rPr>
  </w:style>
  <w:style w:type="character" w:customStyle="1" w:styleId="SubtitleChar">
    <w:name w:val="Subtitle Char"/>
    <w:basedOn w:val="DefaultParagraphFont"/>
    <w:link w:val="Subtitle"/>
    <w:uiPriority w:val="11"/>
    <w:rsid w:val="000B2301"/>
    <w:rPr>
      <w:rFonts w:ascii="Georgia" w:eastAsia="Georgia" w:hAnsi="Georgia" w:cs="Georgia"/>
      <w:i/>
      <w:color w:val="666666"/>
      <w:position w:val="-1"/>
      <w:sz w:val="48"/>
      <w:szCs w:val="48"/>
      <w:bdr w:val="nil"/>
    </w:rPr>
  </w:style>
  <w:style w:type="table" w:customStyle="1" w:styleId="11">
    <w:name w:val="11"/>
    <w:basedOn w:val="TableNormal1"/>
    <w:rsid w:val="000B2301"/>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0B2301"/>
    <w:tblPr>
      <w:tblStyleRowBandSize w:val="1"/>
      <w:tblStyleColBandSize w:val="1"/>
      <w:tblCellMar>
        <w:top w:w="100" w:type="dxa"/>
        <w:left w:w="100" w:type="dxa"/>
        <w:bottom w:w="100" w:type="dxa"/>
        <w:right w:w="100" w:type="dxa"/>
      </w:tblCellMar>
    </w:tblPr>
  </w:style>
  <w:style w:type="table" w:customStyle="1" w:styleId="9">
    <w:name w:val="9"/>
    <w:basedOn w:val="TableNormal1"/>
    <w:rsid w:val="000B2301"/>
    <w:tblPr>
      <w:tblStyleRowBandSize w:val="1"/>
      <w:tblStyleColBandSize w:val="1"/>
      <w:tblCellMar>
        <w:left w:w="70" w:type="dxa"/>
        <w:right w:w="70" w:type="dxa"/>
      </w:tblCellMar>
    </w:tblPr>
  </w:style>
  <w:style w:type="table" w:customStyle="1" w:styleId="8">
    <w:name w:val="8"/>
    <w:basedOn w:val="TableNormal1"/>
    <w:rsid w:val="000B2301"/>
    <w:tblPr>
      <w:tblStyleRowBandSize w:val="1"/>
      <w:tblStyleColBandSize w:val="1"/>
      <w:tblCellMar>
        <w:top w:w="100" w:type="dxa"/>
        <w:left w:w="100" w:type="dxa"/>
        <w:bottom w:w="100" w:type="dxa"/>
        <w:right w:w="100" w:type="dxa"/>
      </w:tblCellMar>
    </w:tblPr>
  </w:style>
  <w:style w:type="table" w:customStyle="1" w:styleId="7">
    <w:name w:val="7"/>
    <w:basedOn w:val="TableNormal1"/>
    <w:rsid w:val="000B2301"/>
    <w:tblPr>
      <w:tblStyleRowBandSize w:val="1"/>
      <w:tblStyleColBandSize w:val="1"/>
    </w:tblPr>
  </w:style>
  <w:style w:type="table" w:customStyle="1" w:styleId="6">
    <w:name w:val="6"/>
    <w:basedOn w:val="TableNormal1"/>
    <w:rsid w:val="000B2301"/>
    <w:tblPr>
      <w:tblStyleRowBandSize w:val="1"/>
      <w:tblStyleColBandSize w:val="1"/>
      <w:tblCellMar>
        <w:left w:w="108" w:type="dxa"/>
        <w:right w:w="108" w:type="dxa"/>
      </w:tblCellMar>
    </w:tblPr>
  </w:style>
  <w:style w:type="table" w:customStyle="1" w:styleId="5">
    <w:name w:val="5"/>
    <w:basedOn w:val="TableNormal1"/>
    <w:rsid w:val="000B2301"/>
    <w:tblPr>
      <w:tblStyleRowBandSize w:val="1"/>
      <w:tblStyleColBandSize w:val="1"/>
      <w:tblCellMar>
        <w:left w:w="108" w:type="dxa"/>
        <w:right w:w="108" w:type="dxa"/>
      </w:tblCellMar>
    </w:tblPr>
  </w:style>
  <w:style w:type="table" w:customStyle="1" w:styleId="4">
    <w:name w:val="4"/>
    <w:basedOn w:val="TableNormal1"/>
    <w:rsid w:val="000B2301"/>
    <w:tblPr>
      <w:tblStyleRowBandSize w:val="1"/>
      <w:tblStyleColBandSize w:val="1"/>
      <w:tblCellMar>
        <w:left w:w="70" w:type="dxa"/>
        <w:right w:w="70" w:type="dxa"/>
      </w:tblCellMar>
    </w:tblPr>
  </w:style>
  <w:style w:type="table" w:customStyle="1" w:styleId="3">
    <w:name w:val="3"/>
    <w:basedOn w:val="TableNormal1"/>
    <w:rsid w:val="000B2301"/>
    <w:tblPr>
      <w:tblStyleRowBandSize w:val="1"/>
      <w:tblStyleColBandSize w:val="1"/>
      <w:tblCellMar>
        <w:left w:w="108" w:type="dxa"/>
        <w:right w:w="108" w:type="dxa"/>
      </w:tblCellMar>
    </w:tblPr>
  </w:style>
  <w:style w:type="table" w:customStyle="1" w:styleId="2">
    <w:name w:val="2"/>
    <w:basedOn w:val="TableNormal1"/>
    <w:rsid w:val="000B2301"/>
    <w:tblPr>
      <w:tblStyleRowBandSize w:val="1"/>
      <w:tblStyleColBandSize w:val="1"/>
      <w:tblCellMar>
        <w:top w:w="100" w:type="dxa"/>
        <w:left w:w="100" w:type="dxa"/>
        <w:bottom w:w="100" w:type="dxa"/>
        <w:right w:w="100" w:type="dxa"/>
      </w:tblCellMar>
    </w:tblPr>
  </w:style>
  <w:style w:type="table" w:customStyle="1" w:styleId="1">
    <w:name w:val="1"/>
    <w:basedOn w:val="TableNormal1"/>
    <w:rsid w:val="000B2301"/>
    <w:tblPr>
      <w:tblStyleRowBandSize w:val="1"/>
      <w:tblStyleColBandSize w:val="1"/>
      <w:tblCellMar>
        <w:top w:w="100" w:type="dxa"/>
        <w:left w:w="100" w:type="dxa"/>
        <w:bottom w:w="100" w:type="dxa"/>
        <w:right w:w="100" w:type="dxa"/>
      </w:tblCellMar>
    </w:tblPr>
  </w:style>
  <w:style w:type="character" w:styleId="Emphasis">
    <w:name w:val="Emphasis"/>
    <w:uiPriority w:val="20"/>
    <w:qFormat/>
    <w:rsid w:val="000B2301"/>
    <w:rPr>
      <w:i/>
      <w:iCs/>
    </w:rPr>
  </w:style>
  <w:style w:type="character" w:styleId="Strong">
    <w:name w:val="Strong"/>
    <w:uiPriority w:val="22"/>
    <w:qFormat/>
    <w:rsid w:val="000B2301"/>
    <w:rPr>
      <w:b/>
      <w:bCs/>
    </w:rPr>
  </w:style>
  <w:style w:type="character" w:customStyle="1" w:styleId="article-title">
    <w:name w:val="article-title"/>
    <w:basedOn w:val="DefaultParagraphFont"/>
    <w:rsid w:val="000B2301"/>
  </w:style>
  <w:style w:type="character" w:customStyle="1" w:styleId="citation-publication-date">
    <w:name w:val="citation-publication-date"/>
    <w:basedOn w:val="DefaultParagraphFont"/>
    <w:rsid w:val="000B2301"/>
  </w:style>
  <w:style w:type="paragraph" w:customStyle="1" w:styleId="AuthorList">
    <w:name w:val="Author List"/>
    <w:aliases w:val="Keywords,Abstract"/>
    <w:basedOn w:val="Subtitle"/>
    <w:next w:val="Normal"/>
    <w:uiPriority w:val="1"/>
    <w:qFormat/>
    <w:rsid w:val="00964E50"/>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line="240" w:lineRule="auto"/>
      <w:ind w:leftChars="0" w:left="0" w:firstLineChars="0" w:firstLine="0"/>
      <w:textDirection w:val="lrTb"/>
      <w:textAlignment w:val="auto"/>
      <w:outlineLvl w:val="9"/>
    </w:pPr>
    <w:rPr>
      <w:rFonts w:ascii="Times New Roman" w:eastAsiaTheme="minorHAnsi" w:hAnsi="Times New Roman" w:cs="Times New Roman"/>
      <w:b/>
      <w:i w:val="0"/>
      <w:color w:val="auto"/>
      <w:position w:val="0"/>
      <w:sz w:val="24"/>
      <w:szCs w:val="24"/>
      <w:bdr w:val="none" w:sz="0" w:space="0" w:color="auto"/>
    </w:rPr>
  </w:style>
  <w:style w:type="paragraph" w:customStyle="1" w:styleId="SupplementaryMaterial">
    <w:name w:val="Supplementary Material"/>
    <w:basedOn w:val="Title"/>
    <w:next w:val="Title"/>
    <w:qFormat/>
    <w:rsid w:val="00964E50"/>
    <w:pPr>
      <w:keepNext w:val="0"/>
      <w:keepLines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40" w:lineRule="auto"/>
      <w:ind w:leftChars="0" w:left="0" w:firstLineChars="0" w:firstLine="0"/>
      <w:jc w:val="center"/>
      <w:textDirection w:val="lrTb"/>
      <w:textAlignment w:val="auto"/>
      <w:outlineLvl w:val="9"/>
    </w:pPr>
    <w:rPr>
      <w:rFonts w:eastAsiaTheme="minorHAnsi"/>
      <w:i/>
      <w:position w:val="0"/>
      <w:sz w:val="32"/>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nico.tricarico@uniba.it" TargetMode="External"/><Relationship Id="rId5" Type="http://schemas.openxmlformats.org/officeDocument/2006/relationships/hyperlink" Target="mailto:giroran@tisc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13322</Words>
  <Characters>75938</Characters>
  <Application>Microsoft Office Word</Application>
  <DocSecurity>0</DocSecurity>
  <Lines>632</Lines>
  <Paragraphs>178</Paragraphs>
  <ScaleCrop>false</ScaleCrop>
  <Company/>
  <LinksUpToDate>false</LinksUpToDate>
  <CharactersWithSpaces>89082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Tricarico</dc:creator>
  <cp:keywords/>
  <dc:description/>
  <cp:lastModifiedBy>Domenico Tricarico</cp:lastModifiedBy>
  <cp:revision>14</cp:revision>
  <dcterms:created xsi:type="dcterms:W3CDTF">2022-11-23T06:37:00Z</dcterms:created>
  <dcterms:modified xsi:type="dcterms:W3CDTF">2023-04-04T12:45:00Z</dcterms:modified>
</cp:coreProperties>
</file>