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C3DA" w14:textId="41984663" w:rsidR="00D16970" w:rsidRPr="009A7518" w:rsidRDefault="00D16970" w:rsidP="00D16970">
      <w:pPr>
        <w:pStyle w:val="Caption"/>
      </w:pPr>
      <w:r>
        <w:t xml:space="preserve">Supplementary </w:t>
      </w:r>
      <w:r w:rsidRPr="00AF230F">
        <w:t xml:space="preserve">Table </w:t>
      </w:r>
      <w:r>
        <w:t>1</w:t>
      </w:r>
      <w:r w:rsidRPr="00AF230F">
        <w:t xml:space="preserve"> Studies evaluating the effect of disease modifying therapies on cancer risk and cervical cancer risk</w:t>
      </w:r>
    </w:p>
    <w:tbl>
      <w:tblPr>
        <w:tblStyle w:val="TableGrid"/>
        <w:tblpPr w:leftFromText="180" w:rightFromText="180" w:vertAnchor="text" w:horzAnchor="margin" w:tblpX="-578" w:tblpY="567"/>
        <w:tblW w:w="15310" w:type="dxa"/>
        <w:tblLayout w:type="fixed"/>
        <w:tblLook w:val="04A0" w:firstRow="1" w:lastRow="0" w:firstColumn="1" w:lastColumn="0" w:noHBand="0" w:noVBand="1"/>
      </w:tblPr>
      <w:tblGrid>
        <w:gridCol w:w="1560"/>
        <w:gridCol w:w="35"/>
        <w:gridCol w:w="1382"/>
        <w:gridCol w:w="27"/>
        <w:gridCol w:w="1249"/>
        <w:gridCol w:w="46"/>
        <w:gridCol w:w="1230"/>
        <w:gridCol w:w="34"/>
        <w:gridCol w:w="1100"/>
        <w:gridCol w:w="19"/>
        <w:gridCol w:w="1540"/>
        <w:gridCol w:w="14"/>
        <w:gridCol w:w="2538"/>
        <w:gridCol w:w="21"/>
        <w:gridCol w:w="2388"/>
        <w:gridCol w:w="26"/>
        <w:gridCol w:w="2101"/>
      </w:tblGrid>
      <w:tr w:rsidR="00D16970" w:rsidRPr="009A7518" w14:paraId="03A0C5D5" w14:textId="77777777" w:rsidTr="00BA7170">
        <w:trPr>
          <w:trHeight w:val="841"/>
        </w:trPr>
        <w:tc>
          <w:tcPr>
            <w:tcW w:w="1560" w:type="dxa"/>
          </w:tcPr>
          <w:p w14:paraId="17BA4DE0"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Authors</w:t>
            </w:r>
          </w:p>
        </w:tc>
        <w:tc>
          <w:tcPr>
            <w:tcW w:w="1417" w:type="dxa"/>
            <w:gridSpan w:val="2"/>
          </w:tcPr>
          <w:p w14:paraId="614A4F62"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Type of study</w:t>
            </w:r>
          </w:p>
        </w:tc>
        <w:tc>
          <w:tcPr>
            <w:tcW w:w="1276" w:type="dxa"/>
            <w:gridSpan w:val="2"/>
          </w:tcPr>
          <w:p w14:paraId="7AD4479A"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Location</w:t>
            </w:r>
          </w:p>
        </w:tc>
        <w:tc>
          <w:tcPr>
            <w:tcW w:w="1276" w:type="dxa"/>
            <w:gridSpan w:val="2"/>
          </w:tcPr>
          <w:p w14:paraId="3CCBD974"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Participants</w:t>
            </w:r>
          </w:p>
        </w:tc>
        <w:tc>
          <w:tcPr>
            <w:tcW w:w="1134" w:type="dxa"/>
            <w:gridSpan w:val="2"/>
          </w:tcPr>
          <w:p w14:paraId="73621061"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Index Period</w:t>
            </w:r>
          </w:p>
        </w:tc>
        <w:tc>
          <w:tcPr>
            <w:tcW w:w="1559" w:type="dxa"/>
            <w:gridSpan w:val="2"/>
          </w:tcPr>
          <w:p w14:paraId="141B3FE5"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DMTs</w:t>
            </w:r>
          </w:p>
        </w:tc>
        <w:tc>
          <w:tcPr>
            <w:tcW w:w="2552" w:type="dxa"/>
            <w:gridSpan w:val="2"/>
          </w:tcPr>
          <w:p w14:paraId="746EE1F8"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Results</w:t>
            </w:r>
          </w:p>
          <w:p w14:paraId="5CDFE69F"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Risk/Incidence/n= of overall cancer</w:t>
            </w:r>
          </w:p>
        </w:tc>
        <w:tc>
          <w:tcPr>
            <w:tcW w:w="2409" w:type="dxa"/>
            <w:gridSpan w:val="2"/>
          </w:tcPr>
          <w:p w14:paraId="149F4199"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Results</w:t>
            </w:r>
          </w:p>
          <w:p w14:paraId="3CA44A46"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Risk/Incidence/</w:t>
            </w:r>
            <w:proofErr w:type="gramStart"/>
            <w:r w:rsidRPr="009A7518">
              <w:rPr>
                <w:rFonts w:cs="Times New Roman"/>
                <w:b/>
                <w:bCs/>
                <w:sz w:val="20"/>
                <w:szCs w:val="20"/>
              </w:rPr>
              <w:t>n(</w:t>
            </w:r>
            <w:proofErr w:type="gramEnd"/>
            <w:r w:rsidRPr="009A7518">
              <w:rPr>
                <w:rFonts w:cs="Times New Roman"/>
                <w:b/>
                <w:bCs/>
                <w:sz w:val="20"/>
                <w:szCs w:val="20"/>
              </w:rPr>
              <w:t>%) of Cervical abnormalities</w:t>
            </w:r>
          </w:p>
        </w:tc>
        <w:tc>
          <w:tcPr>
            <w:tcW w:w="2127" w:type="dxa"/>
            <w:gridSpan w:val="2"/>
          </w:tcPr>
          <w:p w14:paraId="05C2220B" w14:textId="77777777" w:rsidR="00D16970" w:rsidRPr="009A7518" w:rsidRDefault="00D16970" w:rsidP="00B967CB">
            <w:pPr>
              <w:spacing w:line="276" w:lineRule="auto"/>
              <w:contextualSpacing/>
              <w:jc w:val="center"/>
              <w:rPr>
                <w:rFonts w:cs="Times New Roman"/>
                <w:b/>
                <w:bCs/>
                <w:sz w:val="20"/>
                <w:szCs w:val="20"/>
              </w:rPr>
            </w:pPr>
            <w:r w:rsidRPr="009A7518">
              <w:rPr>
                <w:rFonts w:cs="Times New Roman"/>
                <w:b/>
                <w:bCs/>
                <w:sz w:val="20"/>
                <w:szCs w:val="20"/>
              </w:rPr>
              <w:t>Interpretation</w:t>
            </w:r>
          </w:p>
        </w:tc>
      </w:tr>
      <w:tr w:rsidR="00D16970" w:rsidRPr="009A7518" w14:paraId="212C2318" w14:textId="77777777" w:rsidTr="00BA7170">
        <w:trPr>
          <w:trHeight w:val="552"/>
        </w:trPr>
        <w:tc>
          <w:tcPr>
            <w:tcW w:w="15310" w:type="dxa"/>
            <w:gridSpan w:val="17"/>
          </w:tcPr>
          <w:p w14:paraId="49D23AF2" w14:textId="77777777" w:rsidR="00D16970" w:rsidRPr="009A7518" w:rsidRDefault="00D16970" w:rsidP="00B967CB">
            <w:pPr>
              <w:spacing w:line="276" w:lineRule="auto"/>
              <w:contextualSpacing/>
              <w:rPr>
                <w:rFonts w:cs="Times New Roman"/>
                <w:sz w:val="20"/>
                <w:szCs w:val="20"/>
              </w:rPr>
            </w:pPr>
            <w:r w:rsidRPr="009A7518">
              <w:rPr>
                <w:rFonts w:cs="Times New Roman"/>
                <w:b/>
                <w:bCs/>
                <w:sz w:val="20"/>
                <w:szCs w:val="20"/>
              </w:rPr>
              <w:t xml:space="preserve">Analysis of grouped immunosuppression </w:t>
            </w:r>
          </w:p>
        </w:tc>
      </w:tr>
      <w:tr w:rsidR="00D16970" w:rsidRPr="009A7518" w14:paraId="10F7B43F" w14:textId="77777777" w:rsidTr="00BA7170">
        <w:tc>
          <w:tcPr>
            <w:tcW w:w="1560" w:type="dxa"/>
          </w:tcPr>
          <w:p w14:paraId="354B06A4" w14:textId="48F6495E"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sz w:val="20"/>
                <w:szCs w:val="20"/>
              </w:rPr>
              <w:t>Lebrun et al., 2008</w:t>
            </w:r>
            <w:r w:rsidRPr="009A7518">
              <w:rPr>
                <w:rFonts w:cs="Times New Roman"/>
                <w:sz w:val="20"/>
                <w:szCs w:val="20"/>
              </w:rPr>
              <w:fldChar w:fldCharType="begin"/>
            </w:r>
            <w:r w:rsidR="00B967CB">
              <w:rPr>
                <w:rFonts w:cs="Times New Roman"/>
                <w:sz w:val="20"/>
                <w:szCs w:val="20"/>
              </w:rPr>
              <w:instrText xml:space="preserve"> ADDIN ZOTERO_ITEM CSL_CITATION {"citationID":"NfVl7und","properties":{"formattedCitation":"(1)","plainCitation":"(1)","noteIndex":0},"citationItems":[{"id":559,"uris":["http://zotero.org/users/local/DBM3sz94/items/9MRP8GXM"],"itemData":{"id":559,"type":"article-journal","abstract":"Background Prior to the era of immunomodulating or immunosuppressive (IS) treatments Multiple Sclerosis (MS) was linked to reduced rates of cancer.\nMethod A descriptive study of MS patients with a documented oncological event was performed. From 1 January 1995 to 30 June 2006, we collected and studied the profile of 7418 MS patients gathered from nine French MS centers. We evaluated the incidence of cancer in a Cancer Risk In MS Cohort.\nResults Thirty one patients (1.75%) with confirmed MS had a history of cancer: mean age at MS diagnosis of 37.9 years and a mean age at cancer diagnosis of 46.4 years. The most frequent cancers were breast (34.5%), gynecological (12.5%), skin (10.2%), acute leukemia and lymphoma (5.9%), digestive (8.8%), kidney and bladder (5.1%), lung (3.4%) and central nervous system (3%). Calculated standardized incidence rates were 0.29 (0.17--0.45) for men and 0.53 (0.42--0.66) for women. The incidence of cancer in this MS population was lower than that expected for the general population. Matched to age, gender and histology, cancers in MS were associated with a young age and exposure to IS treatments. When considering all patients, treated patients had a 3-fold higher risk of developing cancer, if they had a history of IS ( P = 0.0035). For treated patients, the cancer sites were more likely the breast, the urinary tract, the digestive system and the skin.\nConclusion Our data suggest that MS patients do not have an increased risk of cancer. Rather for several types of cancer a significantly reduced risk was observed, except for breast cancer in women treated with IS. The relative increased risk of breast cancer in MS women under IS treatment warrants further attention. Multiple Sclerosis 2008; 14 399--405. http://msj.sagepub.com [PUBLICATION ABSTRACT]","container-title":"Multiple Sclerosis: Clinical and Laboratory Research","DOI":"https://doi.org/10.1177/1352458507083625","ISSN":"13524585","issue":"3","language":"English","license":"SAGE Publications © Apr 2008","note":"number-of-pages: 7\npublisher-place: London, United Kingdom\npublisher: Sage Publications Ltd.","page":"399-405","source":"ProQuest","title":"Cancer risk and impact of disease-modifying treatments in patients with multiple sclerosis","volume":"14","author":[{"family":"Lebrun","given":"Christine"},{"family":"Debouverie","given":"Marc"},{"family":"Vermersch","given":"Patrick"},{"family":"Clavelou","given":"Pierre"},{"family":"Rumbach","given":"Lucien"},{"family":"Seze","given":"Jérôme","non-dropping-particle":"de"},{"family":"Wiertlevski","given":"Sandrine"},{"family":"Defer","given":"Gilles"},{"family":"Gout","given":"Olivier"},{"family":"Berthier","given":"Frédéric"},{"family":"Danzon","given":"Arlette"}],"issued":{"date-parts":[["2008",4]]}}}],"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w:t>
            </w:r>
            <w:r w:rsidRPr="009A7518">
              <w:rPr>
                <w:rFonts w:cs="Times New Roman"/>
                <w:sz w:val="20"/>
                <w:szCs w:val="20"/>
              </w:rPr>
              <w:fldChar w:fldCharType="end"/>
            </w:r>
          </w:p>
        </w:tc>
        <w:tc>
          <w:tcPr>
            <w:tcW w:w="1417" w:type="dxa"/>
            <w:gridSpan w:val="2"/>
          </w:tcPr>
          <w:p w14:paraId="1A4AA0E4"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 xml:space="preserve">Descriptive study  </w:t>
            </w:r>
          </w:p>
        </w:tc>
        <w:tc>
          <w:tcPr>
            <w:tcW w:w="1276" w:type="dxa"/>
            <w:gridSpan w:val="2"/>
          </w:tcPr>
          <w:p w14:paraId="3C0B001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France </w:t>
            </w:r>
          </w:p>
        </w:tc>
        <w:tc>
          <w:tcPr>
            <w:tcW w:w="1276" w:type="dxa"/>
            <w:gridSpan w:val="2"/>
          </w:tcPr>
          <w:p w14:paraId="0D0FC4E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7418 MS patients</w:t>
            </w:r>
          </w:p>
          <w:p w14:paraId="3101BB7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5182 women </w:t>
            </w:r>
          </w:p>
        </w:tc>
        <w:tc>
          <w:tcPr>
            <w:tcW w:w="1134" w:type="dxa"/>
            <w:gridSpan w:val="2"/>
          </w:tcPr>
          <w:p w14:paraId="2A82A7F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1995 – 2006</w:t>
            </w:r>
          </w:p>
        </w:tc>
        <w:tc>
          <w:tcPr>
            <w:tcW w:w="1559" w:type="dxa"/>
            <w:gridSpan w:val="2"/>
          </w:tcPr>
          <w:p w14:paraId="71737F3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IM:  interferons beta 1a, 1b and GA</w:t>
            </w:r>
          </w:p>
          <w:p w14:paraId="76E4F0F8" w14:textId="77777777" w:rsidR="00D16970" w:rsidRPr="009A7518" w:rsidRDefault="00D16970" w:rsidP="00B967CB">
            <w:pPr>
              <w:spacing w:line="276" w:lineRule="auto"/>
              <w:contextualSpacing/>
              <w:rPr>
                <w:rFonts w:cs="Times New Roman"/>
                <w:sz w:val="20"/>
                <w:szCs w:val="20"/>
              </w:rPr>
            </w:pPr>
          </w:p>
          <w:p w14:paraId="47FD41B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IS: AZA, CTX, mitoxantrone and MTX</w:t>
            </w:r>
          </w:p>
        </w:tc>
        <w:tc>
          <w:tcPr>
            <w:tcW w:w="2552" w:type="dxa"/>
            <w:gridSpan w:val="2"/>
          </w:tcPr>
          <w:p w14:paraId="59CF11C6" w14:textId="116C65F2" w:rsidR="00D16970" w:rsidRPr="009A7518" w:rsidRDefault="00D16970" w:rsidP="00B967CB">
            <w:pPr>
              <w:spacing w:line="276" w:lineRule="auto"/>
              <w:contextualSpacing/>
              <w:rPr>
                <w:rFonts w:cs="Times New Roman"/>
                <w:b/>
                <w:bCs/>
                <w:color w:val="000000" w:themeColor="text1"/>
                <w:sz w:val="20"/>
                <w:szCs w:val="20"/>
              </w:rPr>
            </w:pPr>
            <w:r w:rsidRPr="009A7518">
              <w:rPr>
                <w:rFonts w:cs="Times New Roman"/>
                <w:b/>
                <w:bCs/>
                <w:color w:val="000000" w:themeColor="text1"/>
                <w:sz w:val="20"/>
                <w:szCs w:val="20"/>
              </w:rPr>
              <w:t>Risk</w:t>
            </w:r>
          </w:p>
          <w:p w14:paraId="77E9C247" w14:textId="3F94F07D"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IM only</w:t>
            </w:r>
          </w:p>
          <w:p w14:paraId="5DCF0677"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RR 0.8 (95% CI 0.32 – 2.02, p = 0.6357)</w:t>
            </w:r>
          </w:p>
          <w:p w14:paraId="6A37F9FD" w14:textId="77777777" w:rsidR="00D16970" w:rsidRPr="009A7518" w:rsidRDefault="00D16970" w:rsidP="00B967CB">
            <w:pPr>
              <w:spacing w:line="276" w:lineRule="auto"/>
              <w:contextualSpacing/>
              <w:rPr>
                <w:rFonts w:cs="Times New Roman"/>
                <w:color w:val="000000" w:themeColor="text1"/>
                <w:sz w:val="20"/>
                <w:szCs w:val="20"/>
              </w:rPr>
            </w:pPr>
          </w:p>
          <w:p w14:paraId="007E5B4C" w14:textId="4FDAB1B1"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IS only</w:t>
            </w:r>
          </w:p>
          <w:p w14:paraId="0A8113CE"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 xml:space="preserve"> RR 1.96 (0.84-4.61, 0.121) </w:t>
            </w:r>
          </w:p>
          <w:p w14:paraId="14E18B39" w14:textId="77777777" w:rsidR="00D16970" w:rsidRPr="009A7518" w:rsidRDefault="00D16970" w:rsidP="00B967CB">
            <w:pPr>
              <w:spacing w:line="276" w:lineRule="auto"/>
              <w:contextualSpacing/>
              <w:rPr>
                <w:rFonts w:cs="Times New Roman"/>
                <w:color w:val="000000" w:themeColor="text1"/>
                <w:sz w:val="20"/>
                <w:szCs w:val="20"/>
              </w:rPr>
            </w:pPr>
          </w:p>
          <w:p w14:paraId="2BA6D054" w14:textId="13DFBBAE"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IM + IS</w:t>
            </w:r>
          </w:p>
          <w:p w14:paraId="3992F4B4"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RR 0.54 (0.15-1.91, 0.3375)</w:t>
            </w:r>
          </w:p>
          <w:p w14:paraId="55C278D7" w14:textId="77777777" w:rsidR="00D16970" w:rsidRPr="009A7518" w:rsidRDefault="00D16970" w:rsidP="00B967CB">
            <w:pPr>
              <w:spacing w:line="276" w:lineRule="auto"/>
              <w:contextualSpacing/>
              <w:rPr>
                <w:rFonts w:cs="Times New Roman"/>
                <w:color w:val="000000" w:themeColor="text1"/>
                <w:sz w:val="20"/>
                <w:szCs w:val="20"/>
              </w:rPr>
            </w:pPr>
          </w:p>
          <w:p w14:paraId="67C7639C" w14:textId="067F50EF" w:rsidR="00B967CB"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Duration of exposure to IS increased risk</w:t>
            </w:r>
          </w:p>
          <w:p w14:paraId="20A2B15D" w14:textId="058C05CE"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IS/year RR 1.08 (95% CI 1.01-1.16, p = 0.0035)</w:t>
            </w:r>
          </w:p>
        </w:tc>
        <w:tc>
          <w:tcPr>
            <w:tcW w:w="2409" w:type="dxa"/>
            <w:gridSpan w:val="2"/>
          </w:tcPr>
          <w:p w14:paraId="1C7B0DC9" w14:textId="77777777" w:rsidR="00D16970" w:rsidRPr="009A7518" w:rsidRDefault="00D16970" w:rsidP="00B967CB">
            <w:pPr>
              <w:spacing w:line="276" w:lineRule="auto"/>
              <w:contextualSpacing/>
              <w:rPr>
                <w:rFonts w:cs="Times New Roman"/>
                <w:b/>
                <w:bCs/>
                <w:color w:val="000000" w:themeColor="text1"/>
                <w:sz w:val="20"/>
                <w:szCs w:val="20"/>
              </w:rPr>
            </w:pPr>
            <w:r w:rsidRPr="009A7518">
              <w:rPr>
                <w:rFonts w:cs="Times New Roman"/>
                <w:b/>
                <w:bCs/>
                <w:color w:val="000000" w:themeColor="text1"/>
                <w:sz w:val="20"/>
                <w:szCs w:val="20"/>
              </w:rPr>
              <w:t>n (%)</w:t>
            </w:r>
          </w:p>
          <w:p w14:paraId="37CC990F" w14:textId="5D5084A3" w:rsidR="00D16970" w:rsidRPr="009A7518" w:rsidRDefault="00D16970" w:rsidP="00B967CB">
            <w:pPr>
              <w:spacing w:line="276" w:lineRule="auto"/>
              <w:contextualSpacing/>
              <w:rPr>
                <w:rFonts w:cs="Times New Roman"/>
                <w:color w:val="000000" w:themeColor="text1"/>
                <w:sz w:val="20"/>
                <w:szCs w:val="20"/>
              </w:rPr>
            </w:pPr>
            <w:proofErr w:type="spellStart"/>
            <w:r w:rsidRPr="009A7518">
              <w:rPr>
                <w:rFonts w:cs="Times New Roman"/>
                <w:color w:val="000000" w:themeColor="text1"/>
                <w:sz w:val="20"/>
                <w:szCs w:val="20"/>
              </w:rPr>
              <w:t>Gynaecological</w:t>
            </w:r>
            <w:proofErr w:type="spellEnd"/>
            <w:r w:rsidRPr="009A7518">
              <w:rPr>
                <w:rFonts w:cs="Times New Roman"/>
                <w:color w:val="000000" w:themeColor="text1"/>
                <w:sz w:val="20"/>
                <w:szCs w:val="20"/>
              </w:rPr>
              <w:t xml:space="preserve"> cancer (ovarian, cervix, uterine) </w:t>
            </w:r>
          </w:p>
          <w:p w14:paraId="3F18A167" w14:textId="74FD5AAC"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IM only</w:t>
            </w:r>
          </w:p>
          <w:p w14:paraId="7CC8E1C7" w14:textId="0FA23357" w:rsidR="00D16970"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5 (0.22%</w:t>
            </w:r>
            <w:r w:rsidR="00B967CB">
              <w:rPr>
                <w:rFonts w:cs="Times New Roman"/>
                <w:color w:val="000000" w:themeColor="text1"/>
                <w:sz w:val="20"/>
                <w:szCs w:val="20"/>
              </w:rPr>
              <w:t>)</w:t>
            </w:r>
          </w:p>
          <w:p w14:paraId="5C9846DA" w14:textId="77777777" w:rsidR="00B967CB" w:rsidRPr="009A7518" w:rsidRDefault="00B967CB" w:rsidP="00B967CB">
            <w:pPr>
              <w:spacing w:line="276" w:lineRule="auto"/>
              <w:contextualSpacing/>
              <w:rPr>
                <w:rFonts w:cs="Times New Roman"/>
                <w:color w:val="000000" w:themeColor="text1"/>
                <w:sz w:val="20"/>
                <w:szCs w:val="20"/>
              </w:rPr>
            </w:pPr>
          </w:p>
          <w:p w14:paraId="418A902B" w14:textId="42C5CEBA"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IS only</w:t>
            </w:r>
          </w:p>
          <w:p w14:paraId="02CAB39C" w14:textId="58E30684" w:rsidR="00D16970"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3 (0.41%)</w:t>
            </w:r>
          </w:p>
          <w:p w14:paraId="187DD052" w14:textId="77777777" w:rsidR="00B967CB" w:rsidRPr="009A7518" w:rsidRDefault="00B967CB" w:rsidP="00B967CB">
            <w:pPr>
              <w:spacing w:line="276" w:lineRule="auto"/>
              <w:contextualSpacing/>
              <w:rPr>
                <w:rFonts w:cs="Times New Roman"/>
                <w:color w:val="000000" w:themeColor="text1"/>
                <w:sz w:val="20"/>
                <w:szCs w:val="20"/>
              </w:rPr>
            </w:pPr>
          </w:p>
          <w:p w14:paraId="3559130E" w14:textId="2BB72CD8"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IM + IS</w:t>
            </w:r>
          </w:p>
          <w:p w14:paraId="353CE072"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2 (0.44%)</w:t>
            </w:r>
          </w:p>
          <w:p w14:paraId="7B7B5685"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 xml:space="preserve">(P = 0.75) </w:t>
            </w:r>
          </w:p>
        </w:tc>
        <w:tc>
          <w:tcPr>
            <w:tcW w:w="2127" w:type="dxa"/>
            <w:gridSpan w:val="2"/>
          </w:tcPr>
          <w:p w14:paraId="45B315BE" w14:textId="30371C3B" w:rsidR="00D16970"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Treatment with IM, IS only and IM + IS exposure did not increase overall cancer risk</w:t>
            </w:r>
            <w:r w:rsidR="00B967CB">
              <w:rPr>
                <w:rFonts w:cs="Times New Roman"/>
                <w:color w:val="000000" w:themeColor="text1"/>
                <w:sz w:val="20"/>
                <w:szCs w:val="20"/>
              </w:rPr>
              <w:t>.</w:t>
            </w:r>
          </w:p>
          <w:p w14:paraId="7667777E" w14:textId="77777777" w:rsidR="00B967CB" w:rsidRPr="009A7518" w:rsidRDefault="00B967CB" w:rsidP="00B967CB">
            <w:pPr>
              <w:spacing w:line="276" w:lineRule="auto"/>
              <w:contextualSpacing/>
              <w:rPr>
                <w:rFonts w:cs="Times New Roman"/>
                <w:color w:val="000000" w:themeColor="text1"/>
                <w:sz w:val="20"/>
                <w:szCs w:val="20"/>
              </w:rPr>
            </w:pPr>
          </w:p>
          <w:p w14:paraId="0255E362" w14:textId="4D42CDE9" w:rsidR="00D16970"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Risk of cancer increased with increasing duration of IS exposure.</w:t>
            </w:r>
          </w:p>
          <w:p w14:paraId="16E2529E" w14:textId="77777777" w:rsidR="00B967CB" w:rsidRPr="009A7518" w:rsidRDefault="00B967CB" w:rsidP="00B967CB">
            <w:pPr>
              <w:spacing w:line="276" w:lineRule="auto"/>
              <w:contextualSpacing/>
              <w:rPr>
                <w:rFonts w:cs="Times New Roman"/>
                <w:color w:val="000000" w:themeColor="text1"/>
                <w:sz w:val="20"/>
                <w:szCs w:val="20"/>
              </w:rPr>
            </w:pPr>
          </w:p>
          <w:p w14:paraId="3400D369"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 xml:space="preserve">Risk of </w:t>
            </w:r>
            <w:proofErr w:type="spellStart"/>
            <w:r w:rsidRPr="009A7518">
              <w:rPr>
                <w:rFonts w:cs="Times New Roman"/>
                <w:color w:val="000000" w:themeColor="text1"/>
                <w:sz w:val="20"/>
                <w:szCs w:val="20"/>
              </w:rPr>
              <w:t>gynaecological</w:t>
            </w:r>
            <w:proofErr w:type="spellEnd"/>
            <w:r>
              <w:rPr>
                <w:rFonts w:cs="Times New Roman"/>
                <w:color w:val="000000" w:themeColor="text1"/>
                <w:sz w:val="20"/>
                <w:szCs w:val="20"/>
              </w:rPr>
              <w:t xml:space="preserve"> </w:t>
            </w:r>
            <w:r w:rsidRPr="009A7518">
              <w:rPr>
                <w:rFonts w:cs="Times New Roman"/>
                <w:color w:val="000000" w:themeColor="text1"/>
                <w:sz w:val="20"/>
                <w:szCs w:val="20"/>
              </w:rPr>
              <w:t xml:space="preserve">cancer not increased in patients treated with IM or IS. </w:t>
            </w:r>
          </w:p>
          <w:p w14:paraId="1EBB2E74" w14:textId="77777777" w:rsidR="00D16970" w:rsidRPr="009A7518" w:rsidRDefault="00D16970" w:rsidP="00B967CB">
            <w:pPr>
              <w:spacing w:line="276" w:lineRule="auto"/>
              <w:contextualSpacing/>
              <w:rPr>
                <w:rFonts w:cs="Times New Roman"/>
                <w:color w:val="000000" w:themeColor="text1"/>
                <w:sz w:val="20"/>
                <w:szCs w:val="20"/>
              </w:rPr>
            </w:pPr>
          </w:p>
          <w:p w14:paraId="0DF1D150"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 xml:space="preserve"> </w:t>
            </w:r>
          </w:p>
        </w:tc>
      </w:tr>
      <w:tr w:rsidR="00D16970" w:rsidRPr="009A7518" w14:paraId="660467CE" w14:textId="77777777" w:rsidTr="00BA7170">
        <w:tc>
          <w:tcPr>
            <w:tcW w:w="1560" w:type="dxa"/>
          </w:tcPr>
          <w:p w14:paraId="09CA819F" w14:textId="7E48B5B4" w:rsidR="00D16970" w:rsidRPr="009A7518" w:rsidRDefault="00D16970" w:rsidP="00B967CB">
            <w:pPr>
              <w:spacing w:line="276" w:lineRule="auto"/>
              <w:contextualSpacing/>
              <w:rPr>
                <w:rFonts w:cs="Times New Roman"/>
                <w:sz w:val="20"/>
                <w:szCs w:val="20"/>
              </w:rPr>
            </w:pPr>
            <w:proofErr w:type="spellStart"/>
            <w:r w:rsidRPr="009A7518">
              <w:rPr>
                <w:rFonts w:cs="Times New Roman"/>
                <w:color w:val="000000" w:themeColor="text1"/>
                <w:sz w:val="20"/>
                <w:szCs w:val="20"/>
                <w:shd w:val="clear" w:color="auto" w:fill="FFFFFF"/>
              </w:rPr>
              <w:t>Dugué</w:t>
            </w:r>
            <w:proofErr w:type="spellEnd"/>
            <w:r w:rsidRPr="009A7518">
              <w:rPr>
                <w:rFonts w:cs="Times New Roman"/>
                <w:color w:val="000000" w:themeColor="text1"/>
                <w:sz w:val="20"/>
                <w:szCs w:val="20"/>
                <w:shd w:val="clear" w:color="auto" w:fill="FFFFFF"/>
              </w:rPr>
              <w:t xml:space="preserve"> et al., 2015</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{"citationID":"jKRpWicE","properties":{"formattedCitation":"(2)","plainCitation":"(2)","noteIndex":0},"citationItems":[{"id":409,"uris":["http://zotero.org/users/local/DBM3sz94/items/KIR8F8RC"],"itemData":{"id":409,"type":"article-journal","abstract":"Severely immunosuppressed individuals have a strongly increased risk of cervical cancer. In patients with autoimmune diseases (AID), who have defects in their immune system and receive immunosuppressants, the risk of cervical cancer is less clear. We conducted a cohort study, using Danish nationwide population-based registers including information on AID diagnoses, immunosuppressant intake, cervical screening participation, and cervical cancer incidence. Standardized incidence ratios (SIR) were computed to compare the risk of cervical cancer in AID patients to that of the general population. Hazard ratios (HR) from time-dependent Cox models stratified by AID were used to explore the effect of the most frequently used immunosuppressants, taking into account potential dose-response relationships and lag times between drug exposure and cervical cancer development. Cervical screening coverage of patients with AIDs was compared to the general population. Among 341,758 patients with AIDs, the risk of cervical cancer was not higher than in the general population (SIR = 1.0, 95% CI: 0.9-1.1, based on 720 cases). The intake of immunosuppressants was generally not associated with the risk, apart from azathioprine. The crude HR comparing the period of exposure versus non-exposure to azathioprine was 1.4 (95% CI: 0.9-2.1). Furthermore, the risk was substantially increased in patients who received a high cumulative dose of azathioprine (HR = 2.2, 95% CI = 1.2-3.9), and appeared to be highest when considering that the immunosuppressant exposure would take 5 years to trigger cervical cancer. Patients with AIDs had similarly high screening rates as the general population. Although most patients with AIDs do not have an increased risk of cervical cancer, those taking substantial amounts of azathioprine might need more stringent cervical screening measures.","container-title":"International Journal of Cancer","DOI":"10.1002/ijc.29209","ISSN":"1097-0215","issue":"6","journalAbbreviation":"Int J Cancer","language":"eng","note":"PMID: 25220731","page":"E711-719","source":"PubMed","title":"Risk of cervical cancer in women with autoimmune diseases, in relation with their use of immunosuppressants and screening: population-based cohort study","title-short":"Risk of cervical cancer in women with autoimmune diseases, in relation with their use of immunosuppressants and screening","volume":"136","author":[{"family":"Dugué","given":"Pierre-Antoine"},{"family":"Rebolj","given":"Matejka"},{"family":"Hallas","given":"Jesper"},{"family":"Garred","given":"Peter"},{"family":"Lynge","given":"Elsebeth"}],"issued":{"date-parts":[["2015",3,15]]}}}],"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(2)</w:t>
            </w:r>
            <w:r w:rsidRPr="009A7518">
              <w:rPr>
                <w:rFonts w:cs="Times New Roman"/>
                <w:color w:val="000000" w:themeColor="text1"/>
                <w:sz w:val="20"/>
                <w:szCs w:val="20"/>
                <w:shd w:val="clear" w:color="auto" w:fill="FFFFFF"/>
              </w:rPr>
              <w:fldChar w:fldCharType="end"/>
            </w:r>
          </w:p>
        </w:tc>
        <w:tc>
          <w:tcPr>
            <w:tcW w:w="1417" w:type="dxa"/>
            <w:gridSpan w:val="2"/>
          </w:tcPr>
          <w:p w14:paraId="38DB751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Cohort study  </w:t>
            </w:r>
          </w:p>
        </w:tc>
        <w:tc>
          <w:tcPr>
            <w:tcW w:w="1276" w:type="dxa"/>
            <w:gridSpan w:val="2"/>
          </w:tcPr>
          <w:p w14:paraId="56280CB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Denmark</w:t>
            </w:r>
          </w:p>
        </w:tc>
        <w:tc>
          <w:tcPr>
            <w:tcW w:w="1276" w:type="dxa"/>
            <w:gridSpan w:val="2"/>
          </w:tcPr>
          <w:p w14:paraId="597D5B2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14403 MS patients  </w:t>
            </w:r>
          </w:p>
        </w:tc>
        <w:tc>
          <w:tcPr>
            <w:tcW w:w="1134" w:type="dxa"/>
            <w:gridSpan w:val="2"/>
          </w:tcPr>
          <w:p w14:paraId="391F566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1977-2010</w:t>
            </w:r>
          </w:p>
        </w:tc>
        <w:tc>
          <w:tcPr>
            <w:tcW w:w="1559" w:type="dxa"/>
            <w:gridSpan w:val="2"/>
          </w:tcPr>
          <w:p w14:paraId="0242F98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Antimetabolites (MTX, AZA)</w:t>
            </w:r>
          </w:p>
          <w:p w14:paraId="5E6B5B6D" w14:textId="77777777" w:rsidR="00D16970" w:rsidRPr="009A7518" w:rsidRDefault="00D16970" w:rsidP="00B967CB">
            <w:pPr>
              <w:spacing w:line="276" w:lineRule="auto"/>
              <w:contextualSpacing/>
              <w:rPr>
                <w:rFonts w:cs="Times New Roman"/>
                <w:sz w:val="20"/>
                <w:szCs w:val="20"/>
              </w:rPr>
            </w:pPr>
          </w:p>
          <w:p w14:paraId="579F44F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Systemic corticosteroids </w:t>
            </w:r>
          </w:p>
          <w:p w14:paraId="14254C1D" w14:textId="77777777" w:rsidR="00D16970" w:rsidRPr="009A7518" w:rsidRDefault="00D16970" w:rsidP="00B967CB">
            <w:pPr>
              <w:spacing w:line="276" w:lineRule="auto"/>
              <w:contextualSpacing/>
              <w:rPr>
                <w:rFonts w:cs="Times New Roman"/>
                <w:sz w:val="20"/>
                <w:szCs w:val="20"/>
              </w:rPr>
            </w:pPr>
          </w:p>
          <w:p w14:paraId="75E5B79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 xml:space="preserve">Other immunosuppressants </w:t>
            </w:r>
          </w:p>
          <w:p w14:paraId="08C131DE" w14:textId="77777777" w:rsidR="00D16970" w:rsidRPr="009A7518" w:rsidRDefault="00D16970" w:rsidP="00B967CB">
            <w:pPr>
              <w:spacing w:line="276" w:lineRule="auto"/>
              <w:contextualSpacing/>
              <w:rPr>
                <w:rFonts w:cs="Times New Roman"/>
                <w:sz w:val="20"/>
                <w:szCs w:val="20"/>
              </w:rPr>
            </w:pPr>
          </w:p>
        </w:tc>
        <w:tc>
          <w:tcPr>
            <w:tcW w:w="2552" w:type="dxa"/>
            <w:gridSpan w:val="2"/>
          </w:tcPr>
          <w:p w14:paraId="76A2B7A2"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lastRenderedPageBreak/>
              <w:t xml:space="preserve">NR </w:t>
            </w:r>
          </w:p>
        </w:tc>
        <w:tc>
          <w:tcPr>
            <w:tcW w:w="2409" w:type="dxa"/>
            <w:gridSpan w:val="2"/>
          </w:tcPr>
          <w:p w14:paraId="5B6BC593" w14:textId="4AC9ECF9"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50877ED4" w14:textId="0C8B384B" w:rsidR="00D16970" w:rsidRPr="009A7518" w:rsidRDefault="00D16970" w:rsidP="00B967CB">
            <w:pPr>
              <w:spacing w:line="276" w:lineRule="auto"/>
              <w:contextualSpacing/>
              <w:rPr>
                <w:rFonts w:cs="Times New Roman"/>
                <w:sz w:val="20"/>
                <w:szCs w:val="20"/>
              </w:rPr>
            </w:pPr>
            <w:r w:rsidRPr="009A7518">
              <w:rPr>
                <w:rFonts w:cs="Times New Roman"/>
                <w:sz w:val="20"/>
                <w:szCs w:val="20"/>
              </w:rPr>
              <w:t>Treatment vs non-treatment</w:t>
            </w:r>
          </w:p>
          <w:p w14:paraId="79197077" w14:textId="27E5A834" w:rsidR="00D16970" w:rsidRDefault="00D16970" w:rsidP="00B967CB">
            <w:pPr>
              <w:spacing w:line="276" w:lineRule="auto"/>
              <w:contextualSpacing/>
              <w:rPr>
                <w:rFonts w:cs="Times New Roman"/>
                <w:sz w:val="20"/>
                <w:szCs w:val="20"/>
              </w:rPr>
            </w:pPr>
            <w:r w:rsidRPr="009A7518">
              <w:rPr>
                <w:rFonts w:cs="Times New Roman"/>
                <w:sz w:val="20"/>
                <w:szCs w:val="20"/>
              </w:rPr>
              <w:t>HR = 1.0 (95% CI 0.8–1.2)</w:t>
            </w:r>
          </w:p>
          <w:p w14:paraId="3072A2FE" w14:textId="77777777" w:rsidR="00B967CB" w:rsidRPr="009A7518" w:rsidRDefault="00B967CB" w:rsidP="00B967CB">
            <w:pPr>
              <w:spacing w:line="276" w:lineRule="auto"/>
              <w:contextualSpacing/>
              <w:rPr>
                <w:rFonts w:cs="Times New Roman"/>
                <w:sz w:val="20"/>
                <w:szCs w:val="20"/>
              </w:rPr>
            </w:pPr>
          </w:p>
          <w:p w14:paraId="382C929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Antimetabolites </w:t>
            </w:r>
          </w:p>
          <w:p w14:paraId="173AE0D1" w14:textId="38E3A46B" w:rsidR="00D16970" w:rsidRDefault="00D16970" w:rsidP="00B967CB">
            <w:pPr>
              <w:spacing w:line="276" w:lineRule="auto"/>
              <w:contextualSpacing/>
              <w:rPr>
                <w:rFonts w:cs="Times New Roman"/>
                <w:sz w:val="20"/>
                <w:szCs w:val="20"/>
              </w:rPr>
            </w:pPr>
            <w:r w:rsidRPr="009A7518">
              <w:rPr>
                <w:rFonts w:cs="Times New Roman"/>
                <w:sz w:val="20"/>
                <w:szCs w:val="20"/>
              </w:rPr>
              <w:t xml:space="preserve">HR 1.1 (95% CI 0.9-1.5) </w:t>
            </w:r>
          </w:p>
          <w:p w14:paraId="102774EA" w14:textId="77777777" w:rsidR="00B967CB" w:rsidRPr="009A7518" w:rsidRDefault="00B967CB" w:rsidP="00B967CB">
            <w:pPr>
              <w:spacing w:line="276" w:lineRule="auto"/>
              <w:contextualSpacing/>
              <w:rPr>
                <w:rFonts w:cs="Times New Roman"/>
                <w:sz w:val="20"/>
                <w:szCs w:val="20"/>
              </w:rPr>
            </w:pPr>
          </w:p>
          <w:p w14:paraId="57DF2D2D" w14:textId="54BCF8E4" w:rsidR="00D16970" w:rsidRDefault="00D16970" w:rsidP="00B967CB">
            <w:pPr>
              <w:spacing w:line="276" w:lineRule="auto"/>
              <w:contextualSpacing/>
              <w:rPr>
                <w:rFonts w:cs="Times New Roman"/>
                <w:sz w:val="20"/>
                <w:szCs w:val="20"/>
              </w:rPr>
            </w:pPr>
            <w:r w:rsidRPr="009A7518">
              <w:rPr>
                <w:rFonts w:cs="Times New Roman"/>
                <w:sz w:val="20"/>
                <w:szCs w:val="20"/>
              </w:rPr>
              <w:t>Corticosteroids HR 0.9 (95% CI 0.7-1.2)</w:t>
            </w:r>
          </w:p>
          <w:p w14:paraId="70A53265" w14:textId="77777777" w:rsidR="00B967CB" w:rsidRPr="009A7518" w:rsidRDefault="00B967CB" w:rsidP="00B967CB">
            <w:pPr>
              <w:spacing w:line="276" w:lineRule="auto"/>
              <w:contextualSpacing/>
              <w:rPr>
                <w:rFonts w:cs="Times New Roman"/>
                <w:sz w:val="20"/>
                <w:szCs w:val="20"/>
              </w:rPr>
            </w:pPr>
          </w:p>
          <w:p w14:paraId="27D4ED9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Other IS</w:t>
            </w:r>
          </w:p>
          <w:p w14:paraId="2EAB9652"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t>HR 0.5 (95% CI 0.2-1.7</w:t>
            </w:r>
            <w:r w:rsidRPr="009A7518">
              <w:rPr>
                <w:rFonts w:cs="Times New Roman"/>
                <w:color w:val="000000" w:themeColor="text1"/>
                <w:sz w:val="20"/>
                <w:szCs w:val="20"/>
              </w:rPr>
              <w:t>)</w:t>
            </w:r>
          </w:p>
        </w:tc>
        <w:tc>
          <w:tcPr>
            <w:tcW w:w="2127" w:type="dxa"/>
            <w:gridSpan w:val="2"/>
          </w:tcPr>
          <w:p w14:paraId="07B280D0" w14:textId="69303DBD"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lastRenderedPageBreak/>
              <w:t>Treatment did not increase cervical cancer risk</w:t>
            </w:r>
            <w:r w:rsidR="00B967CB">
              <w:rPr>
                <w:rFonts w:cs="Times New Roman"/>
                <w:sz w:val="20"/>
                <w:szCs w:val="20"/>
              </w:rPr>
              <w:t>.</w:t>
            </w:r>
          </w:p>
        </w:tc>
      </w:tr>
      <w:tr w:rsidR="00D16970" w:rsidRPr="009A7518" w14:paraId="37CEC1E8" w14:textId="77777777" w:rsidTr="00BA7170">
        <w:tc>
          <w:tcPr>
            <w:tcW w:w="1560" w:type="dxa"/>
          </w:tcPr>
          <w:p w14:paraId="520F252C" w14:textId="3A351D99" w:rsidR="00D16970" w:rsidRPr="009A7518" w:rsidRDefault="00D16970" w:rsidP="00B967CB">
            <w:pPr>
              <w:spacing w:line="276" w:lineRule="auto"/>
              <w:contextualSpacing/>
              <w:rPr>
                <w:rFonts w:cs="Times New Roman"/>
                <w:color w:val="000000" w:themeColor="text1"/>
                <w:sz w:val="20"/>
                <w:szCs w:val="20"/>
                <w:shd w:val="clear" w:color="auto" w:fill="FFFFFF"/>
              </w:rPr>
            </w:pPr>
            <w:proofErr w:type="spellStart"/>
            <w:r w:rsidRPr="009A7518">
              <w:rPr>
                <w:rFonts w:cs="Times New Roman"/>
                <w:color w:val="000000" w:themeColor="text1"/>
                <w:sz w:val="20"/>
                <w:szCs w:val="20"/>
                <w:shd w:val="clear" w:color="auto" w:fill="FFFFFF"/>
              </w:rPr>
              <w:t>Ragonese</w:t>
            </w:r>
            <w:proofErr w:type="spellEnd"/>
            <w:r w:rsidRPr="009A7518">
              <w:rPr>
                <w:rFonts w:cs="Times New Roman"/>
                <w:color w:val="000000" w:themeColor="text1"/>
                <w:sz w:val="20"/>
                <w:szCs w:val="20"/>
                <w:shd w:val="clear" w:color="auto" w:fill="FFFFFF"/>
              </w:rPr>
              <w:t xml:space="preserve"> et al.,2017</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{"citationID":"a27q41eb1el","properties":{"formattedCitation":"(3)","plainCitation":"(3)","noteIndex":0},"citationItems":[{"id":1495,"uris":["http://zotero.org/users/local/DBM3sz94/items/YG3QSUBU"],"itemData":{"id":1495,"type":"article-journal","abstract":"Background\nThe association between multiple sclerosis (MS) and cancer has long been investigated with conflicting results. Several reports suggest an increased cancer risk among MS patients treated with immunosuppressant (IS) drugs.\n\nMethods\nWe performed a cohort study including MS patients recruited at the Neurological Department of the University of Palermo. Mean follow-up period was ten years for the whole cohort. We calculated cancer incidence among patients treated with IS. Incidence rates were compared in the cohort by calculating the relative risk according to length and dose of exposure to IS. Cancer incidence among MS patients was compared to cancer incidence in the general population of Sicily in similar age groups.\n\nResults\nOn an overall cohort of 531 MS patients (346 women and 185 men) exposed to IS, we estimated a crude incidence rate for cancer of 2.26% (2.02% in women, 2.7% in men). Cancer risk was higher compared to rates observed among an equal number of patients not exposed to IS, and to the risk in the general population in Sicily at similar age groups (adjusted HR: 11.05; CI 1.67–73.3; p = 0.013).\n\nConclusion\nThe present study showed a higher cancer risk in MS patients associated only to previous IS exposure. Studies on long-term outcomes are essential to evaluate the possibility that treatment options that need to be considered for a long time-period may modify risk for life threatening diseases.","container-title":"BMC Neurology","DOI":"10.1186/s12883-017-0932-0","ISSN":"1471-2377","journalAbbreviation":"BMC Neurol","note":"PMID: 28789625\nPMCID: PMC5549380","page":"155","source":"PubMed Central","title":"Association between multiple sclerosis, cancer risk, and immunosuppressant treatment: a cohort study","title-short":"Association between multiple sclerosis, cancer risk, and immunosuppressant treatment","volume":"17","author":[{"family":"Ragonese","given":"Paolo"},{"family":"Aridon","given":"Paolo"},{"family":"Vazzoler","given":"Giulia"},{"family":"Mazzola","given":"Maria Antonietta"},{"family":"Lo Re","given":"Vincenzina"},{"family":"Lo Re","given":"Marianna"},{"family":"Realmuto","given":"Sabrina"},{"family":"Alessi","given":"Simona"},{"family":"D’Amelio","given":"Marco"},{"family":"Savettieri","given":"Giovanni"},{"family":"Salemi","given":"Giuseppe"}],"issued":{"date-parts":[["2017",8,8]]}}}],"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(3)</w:t>
            </w:r>
            <w:r w:rsidRPr="009A7518">
              <w:rPr>
                <w:rFonts w:cs="Times New Roman"/>
                <w:color w:val="000000" w:themeColor="text1"/>
                <w:sz w:val="20"/>
                <w:szCs w:val="20"/>
                <w:shd w:val="clear" w:color="auto" w:fill="FFFFFF"/>
              </w:rPr>
              <w:fldChar w:fldCharType="end"/>
            </w:r>
            <w:r w:rsidRPr="009A7518">
              <w:rPr>
                <w:rFonts w:cs="Times New Roman"/>
                <w:color w:val="000000" w:themeColor="text1"/>
                <w:sz w:val="20"/>
                <w:szCs w:val="20"/>
                <w:shd w:val="clear" w:color="auto" w:fill="FFFFFF"/>
              </w:rPr>
              <w:t xml:space="preserve"> </w:t>
            </w:r>
          </w:p>
        </w:tc>
        <w:tc>
          <w:tcPr>
            <w:tcW w:w="1417" w:type="dxa"/>
            <w:gridSpan w:val="2"/>
          </w:tcPr>
          <w:p w14:paraId="2A11F2E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Cohort study </w:t>
            </w:r>
          </w:p>
        </w:tc>
        <w:tc>
          <w:tcPr>
            <w:tcW w:w="1276" w:type="dxa"/>
            <w:gridSpan w:val="2"/>
          </w:tcPr>
          <w:p w14:paraId="0DA18E8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Italy </w:t>
            </w:r>
          </w:p>
        </w:tc>
        <w:tc>
          <w:tcPr>
            <w:tcW w:w="1276" w:type="dxa"/>
            <w:gridSpan w:val="2"/>
          </w:tcPr>
          <w:p w14:paraId="09E55A0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531 MS patients </w:t>
            </w:r>
          </w:p>
        </w:tc>
        <w:tc>
          <w:tcPr>
            <w:tcW w:w="1134" w:type="dxa"/>
            <w:gridSpan w:val="2"/>
          </w:tcPr>
          <w:p w14:paraId="3EBBDD5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1994 - 2011</w:t>
            </w:r>
          </w:p>
        </w:tc>
        <w:tc>
          <w:tcPr>
            <w:tcW w:w="1559" w:type="dxa"/>
            <w:gridSpan w:val="2"/>
          </w:tcPr>
          <w:p w14:paraId="4826424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IS: MTX, AZA, CTX</w:t>
            </w:r>
          </w:p>
        </w:tc>
        <w:tc>
          <w:tcPr>
            <w:tcW w:w="2552" w:type="dxa"/>
            <w:gridSpan w:val="2"/>
          </w:tcPr>
          <w:p w14:paraId="7ECA173A"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Risk </w:t>
            </w:r>
          </w:p>
          <w:p w14:paraId="29EA0010" w14:textId="7ABD7C4F" w:rsidR="00D16970" w:rsidRDefault="00D16970" w:rsidP="00B967CB">
            <w:pPr>
              <w:spacing w:line="276" w:lineRule="auto"/>
              <w:contextualSpacing/>
              <w:rPr>
                <w:rFonts w:cs="Times New Roman"/>
                <w:sz w:val="20"/>
                <w:szCs w:val="20"/>
              </w:rPr>
            </w:pPr>
            <w:r w:rsidRPr="009A7518">
              <w:rPr>
                <w:rFonts w:cs="Times New Roman"/>
                <w:sz w:val="20"/>
                <w:szCs w:val="20"/>
              </w:rPr>
              <w:t xml:space="preserve">Cancer </w:t>
            </w:r>
          </w:p>
          <w:p w14:paraId="5256DE2E" w14:textId="77777777" w:rsidR="00B967CB" w:rsidRPr="009A7518" w:rsidRDefault="00B967CB" w:rsidP="00B967CB">
            <w:pPr>
              <w:spacing w:line="276" w:lineRule="auto"/>
              <w:contextualSpacing/>
              <w:rPr>
                <w:rFonts w:cs="Times New Roman"/>
                <w:sz w:val="20"/>
                <w:szCs w:val="20"/>
              </w:rPr>
            </w:pPr>
          </w:p>
          <w:p w14:paraId="1111202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IS treatment</w:t>
            </w:r>
          </w:p>
          <w:p w14:paraId="590C71A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Adjusted HR: 11.05; CI 1.67–73.3; p =0.013</w:t>
            </w:r>
          </w:p>
          <w:p w14:paraId="4D7117E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tc>
        <w:tc>
          <w:tcPr>
            <w:tcW w:w="2409" w:type="dxa"/>
            <w:gridSpan w:val="2"/>
          </w:tcPr>
          <w:p w14:paraId="06AF5CB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10842010" w14:textId="699671BC" w:rsidR="00D16970" w:rsidRPr="009A7518" w:rsidRDefault="00D16970" w:rsidP="00B967CB">
            <w:pPr>
              <w:spacing w:line="276" w:lineRule="auto"/>
              <w:contextualSpacing/>
              <w:rPr>
                <w:rFonts w:cs="Times New Roman"/>
                <w:sz w:val="20"/>
                <w:szCs w:val="20"/>
              </w:rPr>
            </w:pPr>
            <w:r w:rsidRPr="009A7518">
              <w:rPr>
                <w:rFonts w:cs="Times New Roman"/>
                <w:sz w:val="20"/>
                <w:szCs w:val="20"/>
              </w:rPr>
              <w:t>Increased risk of cancer in patients exposed to IS therapy</w:t>
            </w:r>
            <w:r w:rsidR="00B967CB">
              <w:rPr>
                <w:rFonts w:cs="Times New Roman"/>
                <w:sz w:val="20"/>
                <w:szCs w:val="20"/>
              </w:rPr>
              <w:t>.</w:t>
            </w:r>
          </w:p>
        </w:tc>
      </w:tr>
      <w:tr w:rsidR="00D16970" w:rsidRPr="009A7518" w14:paraId="178620AF" w14:textId="77777777" w:rsidTr="00BA7170">
        <w:tc>
          <w:tcPr>
            <w:tcW w:w="1560" w:type="dxa"/>
          </w:tcPr>
          <w:p w14:paraId="11F1AEAF" w14:textId="3ACDE9DB" w:rsidR="00D16970" w:rsidRPr="009A7518" w:rsidRDefault="00D16970" w:rsidP="00B967CB">
            <w:pPr>
              <w:spacing w:line="276" w:lineRule="auto"/>
              <w:contextualSpacing/>
              <w:rPr>
                <w:rFonts w:cs="Times New Roman"/>
                <w:color w:val="000000" w:themeColor="text1"/>
                <w:sz w:val="20"/>
                <w:szCs w:val="20"/>
                <w:shd w:val="clear" w:color="auto" w:fill="FFFFFF"/>
              </w:rPr>
            </w:pPr>
            <w:proofErr w:type="spellStart"/>
            <w:r w:rsidRPr="009A7518">
              <w:rPr>
                <w:rFonts w:cs="Times New Roman"/>
                <w:color w:val="000000" w:themeColor="text1"/>
                <w:sz w:val="20"/>
                <w:szCs w:val="20"/>
                <w:shd w:val="clear" w:color="auto" w:fill="FFFFFF"/>
              </w:rPr>
              <w:t>Moisset</w:t>
            </w:r>
            <w:proofErr w:type="spellEnd"/>
            <w:r w:rsidRPr="009A7518">
              <w:rPr>
                <w:rFonts w:cs="Times New Roman"/>
                <w:color w:val="000000" w:themeColor="text1"/>
                <w:sz w:val="20"/>
                <w:szCs w:val="20"/>
                <w:shd w:val="clear" w:color="auto" w:fill="FFFFFF"/>
              </w:rPr>
              <w:t xml:space="preserve"> et al., 2017</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{"citationID":"a21k34ruppv","properties":{"formattedCitation":"(4)","plainCitation":"(4)","noteIndex":0},"citationItems":[{"id":1513,"uris":["http://zotero.org/users/local/DBM3sz94/items/5RV5FVKH"],"itemData":{"id":1513,"type":"article-journal","abstract":"Background\nStudies of cancer prevalence have produced conflicting results concerning the relative risk of overall and specific sub-types of cancer in patients with multiple sclerosis (MS). Contemporary controls and information on tobacco use and alcohol consumption are generally missing from previous studies.\n\nObjectives\nTo evaluate lifetime cancer prevalence in a large cohort of MS patients relative to appropriate controls.\n\nMethods\nWe conducted a case-control study, using a postal survey of a cohort of MS patients. Of the 1574 questionnaires sent, 1107 could be used for statistical analysis. Data from 1568 controls were prospectively collected using the same self-administered survey among consecutive out-patients in a single neurology department. Propensity scores matched on age, gender, and history of smoking and alcohol consumption were calculated.\n\nResults\nAmong the MS patients, 7.32% had ever presented with a cancer, whereas 12,63% of the controls had, leading to a bootstrap matched odds ratio (OR) of 0.63; 95% CI 0.57–0.70. Although only exploratory, the use of DMT (immunomodulators or immunosupressants) did not appear to increase this risk (p = 0.42). The disease course also did not affect cancer prevalence.\n\nConclusion\nMS was associated with a reduced overall cancer risk.","container-title":"PLoS ONE","DOI":"10.1371/journal.pone.0188120","ISSN":"1932-6203","issue":"11","journalAbbreviation":"PLoS One","note":"PMID: 29176769\nPMCID: PMC5703510","page":"e0188120","source":"PubMed Central","title":"Decreased prevalence of cancer in patients with multiple sclerosis: A case-control study","title-short":"Decreased prevalence of cancer in patients with multiple sclerosis","volume":"12","author":[{"family":"Moisset","given":"Xavier"},{"family":"Perié","given":"Maud"},{"family":"Pereira","given":"Bruno"},{"family":"Dumont","given":"Emilie"},{"family":"Lebrun-Frenay","given":"Christine"},{"family":"Lesage","given":"François-Xavier"},{"family":"Dutheil","given":"Frederic"},{"family":"Taithe","given":"Frederic"},{"family":"Clavelou","given":"Pierre"}],"issued":{"date-parts":[["2017",11,27]]}}}],"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(4)</w:t>
            </w:r>
            <w:r w:rsidRPr="009A7518">
              <w:rPr>
                <w:rFonts w:cs="Times New Roman"/>
                <w:color w:val="000000" w:themeColor="text1"/>
                <w:sz w:val="20"/>
                <w:szCs w:val="20"/>
                <w:shd w:val="clear" w:color="auto" w:fill="FFFFFF"/>
              </w:rPr>
              <w:fldChar w:fldCharType="end"/>
            </w:r>
          </w:p>
        </w:tc>
        <w:tc>
          <w:tcPr>
            <w:tcW w:w="1417" w:type="dxa"/>
            <w:gridSpan w:val="2"/>
          </w:tcPr>
          <w:p w14:paraId="7FC73B6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Case-control study </w:t>
            </w:r>
          </w:p>
        </w:tc>
        <w:tc>
          <w:tcPr>
            <w:tcW w:w="1276" w:type="dxa"/>
            <w:gridSpan w:val="2"/>
          </w:tcPr>
          <w:p w14:paraId="193EB15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France </w:t>
            </w:r>
          </w:p>
        </w:tc>
        <w:tc>
          <w:tcPr>
            <w:tcW w:w="1276" w:type="dxa"/>
            <w:gridSpan w:val="2"/>
          </w:tcPr>
          <w:p w14:paraId="152719A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1107 MS patients </w:t>
            </w:r>
          </w:p>
          <w:p w14:paraId="180EC4A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1568 controls </w:t>
            </w:r>
          </w:p>
        </w:tc>
        <w:tc>
          <w:tcPr>
            <w:tcW w:w="1134" w:type="dxa"/>
            <w:gridSpan w:val="2"/>
          </w:tcPr>
          <w:p w14:paraId="0999FC2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2014-2015</w:t>
            </w:r>
          </w:p>
        </w:tc>
        <w:tc>
          <w:tcPr>
            <w:tcW w:w="1559" w:type="dxa"/>
            <w:gridSpan w:val="2"/>
          </w:tcPr>
          <w:p w14:paraId="736A34D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IM: Interferon</w:t>
            </w:r>
            <w:r w:rsidRPr="009A7518">
              <w:rPr>
                <w:rFonts w:cs="Times New Roman"/>
                <w:sz w:val="20"/>
                <w:szCs w:val="20"/>
              </w:rPr>
              <w:sym w:font="Symbol" w:char="F062"/>
            </w:r>
            <w:r w:rsidRPr="009A7518">
              <w:rPr>
                <w:rFonts w:cs="Times New Roman"/>
                <w:sz w:val="20"/>
                <w:szCs w:val="20"/>
              </w:rPr>
              <w:t>, GA, DMF</w:t>
            </w:r>
          </w:p>
          <w:p w14:paraId="4C79CE15" w14:textId="77777777" w:rsidR="00D16970" w:rsidRPr="009A7518" w:rsidRDefault="00D16970" w:rsidP="00B967CB">
            <w:pPr>
              <w:spacing w:line="276" w:lineRule="auto"/>
              <w:contextualSpacing/>
              <w:rPr>
                <w:rFonts w:cs="Times New Roman"/>
                <w:sz w:val="20"/>
                <w:szCs w:val="20"/>
              </w:rPr>
            </w:pPr>
          </w:p>
          <w:p w14:paraId="77E3DB7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IS: FTY, NTZ, Mitoxantrone, MTX, AZA </w:t>
            </w:r>
          </w:p>
          <w:p w14:paraId="7B6723E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CTX, MMF, Teriflunomide, RIX</w:t>
            </w:r>
          </w:p>
        </w:tc>
        <w:tc>
          <w:tcPr>
            <w:tcW w:w="2552" w:type="dxa"/>
            <w:gridSpan w:val="2"/>
          </w:tcPr>
          <w:p w14:paraId="3ED9D77F"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462CF6F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Multivariate analysis</w:t>
            </w:r>
          </w:p>
          <w:p w14:paraId="460BDED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Risk of cancer with IM DMT use </w:t>
            </w:r>
          </w:p>
          <w:p w14:paraId="5070A7E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OR 1.22 (95% CI 0.632.35; p=0.55)</w:t>
            </w:r>
          </w:p>
          <w:p w14:paraId="0CE66C44" w14:textId="77777777" w:rsidR="00D16970" w:rsidRPr="009A7518" w:rsidRDefault="00D16970" w:rsidP="00B967CB">
            <w:pPr>
              <w:spacing w:line="276" w:lineRule="auto"/>
              <w:contextualSpacing/>
              <w:rPr>
                <w:rFonts w:cs="Times New Roman"/>
                <w:sz w:val="20"/>
                <w:szCs w:val="20"/>
              </w:rPr>
            </w:pPr>
          </w:p>
          <w:p w14:paraId="7ED41F4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Risk of cancer with IS DMT use </w:t>
            </w:r>
          </w:p>
          <w:p w14:paraId="2AC0D7F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OR 0.82 (95% CI 0.33–2.06; p=0.67)</w:t>
            </w:r>
          </w:p>
          <w:p w14:paraId="4328D074" w14:textId="77777777" w:rsidR="00D16970" w:rsidRPr="009A7518" w:rsidRDefault="00D16970" w:rsidP="00B967CB">
            <w:pPr>
              <w:spacing w:line="276" w:lineRule="auto"/>
              <w:contextualSpacing/>
              <w:rPr>
                <w:rFonts w:cs="Times New Roman"/>
                <w:sz w:val="20"/>
                <w:szCs w:val="20"/>
              </w:rPr>
            </w:pPr>
          </w:p>
          <w:p w14:paraId="0FD1C9C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Risk of cancer with IS &amp; IM DMT use </w:t>
            </w:r>
          </w:p>
          <w:p w14:paraId="7E37D19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OR 0.78 95% CI 0.331.80; p=0.55)</w:t>
            </w:r>
          </w:p>
        </w:tc>
        <w:tc>
          <w:tcPr>
            <w:tcW w:w="2409" w:type="dxa"/>
            <w:gridSpan w:val="2"/>
          </w:tcPr>
          <w:p w14:paraId="3E71051F" w14:textId="77777777" w:rsidR="00D16970" w:rsidRPr="009A7518" w:rsidRDefault="00D16970" w:rsidP="00B967CB">
            <w:pPr>
              <w:spacing w:line="276" w:lineRule="auto"/>
              <w:contextualSpacing/>
              <w:rPr>
                <w:rFonts w:cs="Times New Roman"/>
                <w:b/>
                <w:bCs/>
                <w:color w:val="000000" w:themeColor="text1"/>
                <w:sz w:val="20"/>
                <w:szCs w:val="20"/>
                <w:lang w:val="en-CA"/>
              </w:rPr>
            </w:pPr>
            <w:r w:rsidRPr="009A7518">
              <w:rPr>
                <w:rFonts w:cs="Times New Roman"/>
                <w:b/>
                <w:bCs/>
                <w:color w:val="000000" w:themeColor="text1"/>
                <w:sz w:val="20"/>
                <w:szCs w:val="20"/>
                <w:lang w:val="en-CA"/>
              </w:rPr>
              <w:t>n (%)</w:t>
            </w:r>
          </w:p>
          <w:p w14:paraId="10DE39A0" w14:textId="77777777" w:rsidR="00D16970" w:rsidRPr="009A7518" w:rsidRDefault="00D16970" w:rsidP="00B967CB">
            <w:pPr>
              <w:spacing w:line="276" w:lineRule="auto"/>
              <w:contextualSpacing/>
              <w:rPr>
                <w:rFonts w:cs="Times New Roman"/>
                <w:color w:val="000000" w:themeColor="text1"/>
                <w:sz w:val="20"/>
                <w:szCs w:val="20"/>
                <w:lang w:val="en-CA"/>
              </w:rPr>
            </w:pPr>
            <w:r w:rsidRPr="009A7518">
              <w:rPr>
                <w:rFonts w:cs="Times New Roman"/>
                <w:color w:val="000000" w:themeColor="text1"/>
                <w:sz w:val="20"/>
                <w:szCs w:val="20"/>
                <w:lang w:val="en-CA"/>
              </w:rPr>
              <w:t xml:space="preserve">Gynaecological cancers </w:t>
            </w:r>
          </w:p>
          <w:p w14:paraId="38556DEA" w14:textId="77777777" w:rsidR="00D16970" w:rsidRPr="009A7518" w:rsidRDefault="00D16970" w:rsidP="00B967CB">
            <w:pPr>
              <w:spacing w:line="276" w:lineRule="auto"/>
              <w:contextualSpacing/>
              <w:rPr>
                <w:rFonts w:cs="Times New Roman"/>
                <w:color w:val="000000" w:themeColor="text1"/>
                <w:sz w:val="20"/>
                <w:szCs w:val="20"/>
                <w:lang w:val="en-CA"/>
              </w:rPr>
            </w:pPr>
            <w:r w:rsidRPr="009A7518">
              <w:rPr>
                <w:rFonts w:cs="Times New Roman"/>
                <w:color w:val="000000" w:themeColor="text1"/>
                <w:sz w:val="20"/>
                <w:szCs w:val="20"/>
                <w:lang w:val="en-CA"/>
              </w:rPr>
              <w:t>MS</w:t>
            </w:r>
          </w:p>
          <w:p w14:paraId="40668C17" w14:textId="77777777" w:rsidR="00D16970" w:rsidRPr="009A7518" w:rsidRDefault="00D16970" w:rsidP="00B967CB">
            <w:pPr>
              <w:spacing w:line="276" w:lineRule="auto"/>
              <w:contextualSpacing/>
              <w:rPr>
                <w:rFonts w:cs="Times New Roman"/>
                <w:color w:val="000000" w:themeColor="text1"/>
                <w:sz w:val="20"/>
                <w:szCs w:val="20"/>
                <w:lang w:val="en-CA"/>
              </w:rPr>
            </w:pPr>
            <w:r w:rsidRPr="009A7518">
              <w:rPr>
                <w:rFonts w:cs="Times New Roman"/>
                <w:color w:val="000000" w:themeColor="text1"/>
                <w:sz w:val="20"/>
                <w:szCs w:val="20"/>
                <w:lang w:val="en-CA"/>
              </w:rPr>
              <w:t>13 (1.17%)</w:t>
            </w:r>
          </w:p>
          <w:p w14:paraId="39191F47" w14:textId="77777777" w:rsidR="00D16970" w:rsidRPr="009A7518" w:rsidRDefault="00D16970" w:rsidP="00B967CB">
            <w:pPr>
              <w:spacing w:line="276" w:lineRule="auto"/>
              <w:contextualSpacing/>
              <w:rPr>
                <w:rFonts w:cs="Times New Roman"/>
                <w:color w:val="000000" w:themeColor="text1"/>
                <w:sz w:val="20"/>
                <w:szCs w:val="20"/>
                <w:lang w:val="en-CA"/>
              </w:rPr>
            </w:pPr>
          </w:p>
          <w:p w14:paraId="13D1C73B" w14:textId="77777777" w:rsidR="00D16970" w:rsidRPr="009A7518" w:rsidRDefault="00D16970" w:rsidP="00B967CB">
            <w:pPr>
              <w:spacing w:line="276" w:lineRule="auto"/>
              <w:contextualSpacing/>
              <w:rPr>
                <w:rFonts w:cs="Times New Roman"/>
                <w:color w:val="000000" w:themeColor="text1"/>
                <w:sz w:val="20"/>
                <w:szCs w:val="20"/>
                <w:lang w:val="en-CA"/>
              </w:rPr>
            </w:pPr>
            <w:r w:rsidRPr="009A7518">
              <w:rPr>
                <w:rFonts w:cs="Times New Roman"/>
                <w:color w:val="000000" w:themeColor="text1"/>
                <w:sz w:val="20"/>
                <w:szCs w:val="20"/>
                <w:lang w:val="en-CA"/>
              </w:rPr>
              <w:t xml:space="preserve">Controls </w:t>
            </w:r>
          </w:p>
          <w:p w14:paraId="71D4CD24" w14:textId="77777777" w:rsidR="00D16970" w:rsidRPr="009A7518" w:rsidRDefault="00D16970" w:rsidP="00B967CB">
            <w:pPr>
              <w:spacing w:line="276" w:lineRule="auto"/>
              <w:contextualSpacing/>
              <w:rPr>
                <w:rFonts w:cs="Times New Roman"/>
                <w:b/>
                <w:bCs/>
                <w:sz w:val="20"/>
                <w:szCs w:val="20"/>
              </w:rPr>
            </w:pPr>
            <w:r w:rsidRPr="009A7518">
              <w:rPr>
                <w:rFonts w:cs="Times New Roman"/>
                <w:color w:val="000000" w:themeColor="text1"/>
                <w:sz w:val="20"/>
                <w:szCs w:val="20"/>
                <w:lang w:val="en-CA"/>
              </w:rPr>
              <w:t>28 (2.93%)</w:t>
            </w:r>
          </w:p>
        </w:tc>
        <w:tc>
          <w:tcPr>
            <w:tcW w:w="2127" w:type="dxa"/>
            <w:gridSpan w:val="2"/>
          </w:tcPr>
          <w:p w14:paraId="0BCECC73" w14:textId="25597E0B" w:rsidR="00D16970" w:rsidRPr="009A7518" w:rsidRDefault="00D16970" w:rsidP="00B967CB">
            <w:pPr>
              <w:spacing w:line="276" w:lineRule="auto"/>
              <w:contextualSpacing/>
              <w:rPr>
                <w:rFonts w:cs="Times New Roman"/>
                <w:sz w:val="20"/>
                <w:szCs w:val="20"/>
              </w:rPr>
            </w:pPr>
            <w:r w:rsidRPr="009A7518">
              <w:rPr>
                <w:rFonts w:cs="Times New Roman"/>
                <w:sz w:val="20"/>
                <w:szCs w:val="20"/>
              </w:rPr>
              <w:t>DMT use (immunomodulators immunosuppressants) did not increase the risk of cancer</w:t>
            </w:r>
            <w:r w:rsidR="00B967CB">
              <w:rPr>
                <w:rFonts w:cs="Times New Roman"/>
                <w:sz w:val="20"/>
                <w:szCs w:val="20"/>
              </w:rPr>
              <w:t>.</w:t>
            </w:r>
          </w:p>
        </w:tc>
      </w:tr>
      <w:tr w:rsidR="00D16970" w:rsidRPr="009A7518" w14:paraId="0079D15F" w14:textId="77777777" w:rsidTr="00BA7170">
        <w:tc>
          <w:tcPr>
            <w:tcW w:w="1560" w:type="dxa"/>
          </w:tcPr>
          <w:p w14:paraId="0FA0A94D" w14:textId="6D5B6214"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D’Amico et al., 2019</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{"citationID":"a20eprg8fcv","properties":{"formattedCitation":"(5)","plainCitation":"(5)","noteIndex":0},"citationItems":[{"id":1594,"uris":["http://zotero.org/users/local/DBM3sz94/items/7XX4XG6A"],"itemData":{"id":1594,"type":"article-journal","abstract":"Introduction: The complexity of understanding cancer risk in MS is increased by inconsistencies in study design, and the lack of age-, sex-, and ethnicity-specific risk estimates. Aims of our study were to estimate the incidence of cancers in the MS population of Catania (Italy) and to evaluate the impact of disease-modifying treatments (DMTs) in cancer risk., Materials and Methods: We screened 2,730 PwMS according to the MS criteria of Mc Donald 2010 referring to MS center of Catania in the period between 2003 and 2013. We matched database of MS patients with the Integrated Cancer of Catania-Messina-Siracusae-Enna. We calculated age and sex specific standardized incidence ratios (SIR) and the relative risk (RR) of developing cancer in MS patients treated with at least two different DMTs compared to who received one or no treatment., Results: Out of 2,730, 1,180 MS patients (67.1% females; mean age 41.2 ± 12.9) were enrolled. We found 36 cancers. Global SIR was 1.18 (CI95% 0.78–1.58), with a significantly higher risk in men with a range age of 20 to 50 years [2.84; (CI95% 1.59–4.09)] and in women over 50 years [1.82 (CI95% 1.08–2.55)]. RR of developing cancer was 1.99 (CI95% 1.14–3.45) in MS patients switching one DMT and 3.38 (CI95% 1.83–6.22) in who switched at least twice., Discussion: Our results demonstrated that cancer risk was not increased in our MS population; but age and sex different distribution may partly drive cancer risk. Higher cancer risk in MS patients switching more than two DMTs should take into account in treatment decision making.","container-title":"Frontiers in Neurology","DOI":"10.3389/fneur.2019.00337","ISSN":"1664-2295","journalAbbreviation":"Front Neurol","note":"PMID: 31024431\nPMCID: PMC6469363","page":"337","source":"PubMed Central","title":"Cancer Risk and Multiple Sclerosis: Evidence From a Large Italian Cohort","title-short":"Cancer Risk and Multiple Sclerosis","volume":"10","author":[{"family":"D'Amico","given":"Emanuele"},{"family":"Chisari","given":"Clara G."},{"family":"Arena","given":"Sebastiano"},{"family":"Zanghì","given":"Aurora"},{"family":"Toscano","given":"Simona"},{"family":"Lo Fermo","given":"Salvatore"},{"family":"Maimone","given":"Davide"},{"family":"Castaing","given":"Marine"},{"family":"Sciacca","given":"Salvatore"},{"family":"Zappia","given":"Mario"},{"family":"Patti","given":"Francesco"}],"issued":{"date-parts":[["2019",4,10]]}}}],"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(5)</w:t>
            </w:r>
            <w:r w:rsidRPr="009A7518">
              <w:rPr>
                <w:rFonts w:cs="Times New Roman"/>
                <w:color w:val="000000" w:themeColor="text1"/>
                <w:sz w:val="20"/>
                <w:szCs w:val="20"/>
                <w:shd w:val="clear" w:color="auto" w:fill="FFFFFF"/>
              </w:rPr>
              <w:fldChar w:fldCharType="end"/>
            </w:r>
          </w:p>
        </w:tc>
        <w:tc>
          <w:tcPr>
            <w:tcW w:w="1417" w:type="dxa"/>
            <w:gridSpan w:val="2"/>
          </w:tcPr>
          <w:p w14:paraId="218BACA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Observational study  </w:t>
            </w:r>
          </w:p>
        </w:tc>
        <w:tc>
          <w:tcPr>
            <w:tcW w:w="1276" w:type="dxa"/>
            <w:gridSpan w:val="2"/>
          </w:tcPr>
          <w:p w14:paraId="066AD5D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Spain</w:t>
            </w:r>
          </w:p>
        </w:tc>
        <w:tc>
          <w:tcPr>
            <w:tcW w:w="1276" w:type="dxa"/>
            <w:gridSpan w:val="2"/>
          </w:tcPr>
          <w:p w14:paraId="4B9B414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1180 MS patients </w:t>
            </w:r>
          </w:p>
          <w:p w14:paraId="1E24DB6D" w14:textId="77777777" w:rsidR="00D16970" w:rsidRPr="009A7518" w:rsidRDefault="00D16970" w:rsidP="00B967CB">
            <w:pPr>
              <w:spacing w:line="276" w:lineRule="auto"/>
              <w:contextualSpacing/>
              <w:rPr>
                <w:rFonts w:cs="Times New Roman"/>
                <w:sz w:val="20"/>
                <w:szCs w:val="20"/>
              </w:rPr>
            </w:pPr>
          </w:p>
        </w:tc>
        <w:tc>
          <w:tcPr>
            <w:tcW w:w="1134" w:type="dxa"/>
            <w:gridSpan w:val="2"/>
          </w:tcPr>
          <w:p w14:paraId="07029DC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2003-2013</w:t>
            </w:r>
          </w:p>
        </w:tc>
        <w:tc>
          <w:tcPr>
            <w:tcW w:w="1559" w:type="dxa"/>
            <w:gridSpan w:val="2"/>
          </w:tcPr>
          <w:p w14:paraId="0A6B58C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IM: Interferon</w:t>
            </w:r>
            <w:r w:rsidRPr="009A7518">
              <w:rPr>
                <w:rFonts w:cs="Times New Roman"/>
                <w:sz w:val="20"/>
                <w:szCs w:val="20"/>
              </w:rPr>
              <w:sym w:font="Symbol" w:char="F062"/>
            </w:r>
            <w:r w:rsidRPr="009A7518">
              <w:rPr>
                <w:rFonts w:cs="Times New Roman"/>
                <w:sz w:val="20"/>
                <w:szCs w:val="20"/>
              </w:rPr>
              <w:t>, GA</w:t>
            </w:r>
          </w:p>
          <w:p w14:paraId="53386A7B" w14:textId="77777777" w:rsidR="00D16970" w:rsidRPr="009A7518" w:rsidRDefault="00D16970" w:rsidP="00B967CB">
            <w:pPr>
              <w:spacing w:line="276" w:lineRule="auto"/>
              <w:contextualSpacing/>
              <w:rPr>
                <w:rFonts w:cs="Times New Roman"/>
                <w:sz w:val="20"/>
                <w:szCs w:val="20"/>
              </w:rPr>
            </w:pPr>
          </w:p>
          <w:p w14:paraId="3659DB6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 xml:space="preserve">IS: MTZ, Mitoxantrone, FTY, AZA, NTZ </w:t>
            </w:r>
          </w:p>
          <w:p w14:paraId="30420B41" w14:textId="77777777" w:rsidR="00D16970" w:rsidRPr="009A7518" w:rsidRDefault="00D16970" w:rsidP="00B967CB">
            <w:pPr>
              <w:spacing w:line="276" w:lineRule="auto"/>
              <w:contextualSpacing/>
              <w:rPr>
                <w:rFonts w:cs="Times New Roman"/>
                <w:sz w:val="20"/>
                <w:szCs w:val="20"/>
              </w:rPr>
            </w:pPr>
          </w:p>
        </w:tc>
        <w:tc>
          <w:tcPr>
            <w:tcW w:w="2552" w:type="dxa"/>
            <w:gridSpan w:val="2"/>
          </w:tcPr>
          <w:p w14:paraId="70B68F7B"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lastRenderedPageBreak/>
              <w:t>Risk</w:t>
            </w:r>
          </w:p>
          <w:p w14:paraId="26AB5DD7" w14:textId="64BA8559" w:rsidR="00D16970" w:rsidRDefault="00D16970" w:rsidP="00B967CB">
            <w:pPr>
              <w:spacing w:line="276" w:lineRule="auto"/>
              <w:contextualSpacing/>
              <w:rPr>
                <w:rFonts w:cs="Times New Roman"/>
                <w:sz w:val="20"/>
                <w:szCs w:val="20"/>
              </w:rPr>
            </w:pPr>
            <w:r w:rsidRPr="009A7518">
              <w:rPr>
                <w:rFonts w:cs="Times New Roman"/>
                <w:sz w:val="20"/>
                <w:szCs w:val="20"/>
              </w:rPr>
              <w:t xml:space="preserve">Cancer </w:t>
            </w:r>
          </w:p>
          <w:p w14:paraId="629A9241" w14:textId="77777777" w:rsidR="00B967CB" w:rsidRPr="009A7518" w:rsidRDefault="00B967CB" w:rsidP="00B967CB">
            <w:pPr>
              <w:spacing w:line="276" w:lineRule="auto"/>
              <w:contextualSpacing/>
              <w:rPr>
                <w:rFonts w:cs="Times New Roman"/>
                <w:sz w:val="20"/>
                <w:szCs w:val="20"/>
              </w:rPr>
            </w:pPr>
          </w:p>
          <w:p w14:paraId="173BDA3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DMT </w:t>
            </w:r>
          </w:p>
          <w:p w14:paraId="6E2E88E0" w14:textId="754531C0" w:rsidR="00D16970" w:rsidRDefault="00D16970" w:rsidP="00B967CB">
            <w:pPr>
              <w:spacing w:line="276" w:lineRule="auto"/>
              <w:contextualSpacing/>
              <w:rPr>
                <w:rFonts w:cs="Times New Roman"/>
                <w:sz w:val="20"/>
                <w:szCs w:val="20"/>
              </w:rPr>
            </w:pPr>
            <w:r w:rsidRPr="009A7518">
              <w:rPr>
                <w:rFonts w:cs="Times New Roman"/>
                <w:sz w:val="20"/>
                <w:szCs w:val="20"/>
              </w:rPr>
              <w:lastRenderedPageBreak/>
              <w:t>RR = 1.03 (CI 95% 0.56–1.41)</w:t>
            </w:r>
          </w:p>
          <w:p w14:paraId="7A929712" w14:textId="77777777" w:rsidR="00B967CB" w:rsidRPr="009A7518" w:rsidRDefault="00B967CB" w:rsidP="00B967CB">
            <w:pPr>
              <w:spacing w:line="276" w:lineRule="auto"/>
              <w:contextualSpacing/>
              <w:rPr>
                <w:rFonts w:cs="Times New Roman"/>
                <w:sz w:val="20"/>
                <w:szCs w:val="20"/>
              </w:rPr>
            </w:pPr>
          </w:p>
          <w:p w14:paraId="0A45FBF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DMT-switch </w:t>
            </w:r>
          </w:p>
          <w:p w14:paraId="39E0706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RR = 1.17 CI 95% (1.02–2.34)</w:t>
            </w:r>
          </w:p>
          <w:p w14:paraId="7243E272" w14:textId="77777777" w:rsidR="00D16970" w:rsidRPr="009A7518" w:rsidRDefault="00D16970" w:rsidP="00B967CB">
            <w:pPr>
              <w:spacing w:line="276" w:lineRule="auto"/>
              <w:contextualSpacing/>
              <w:rPr>
                <w:rFonts w:cs="Times New Roman"/>
                <w:sz w:val="20"/>
                <w:szCs w:val="20"/>
              </w:rPr>
            </w:pPr>
          </w:p>
          <w:p w14:paraId="31532BD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One DMT switch </w:t>
            </w:r>
          </w:p>
          <w:p w14:paraId="5EC6D89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RR = 1.99 (CI 95% 1.14–3.45)</w:t>
            </w:r>
          </w:p>
          <w:p w14:paraId="0D70C74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p w14:paraId="3A99597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&gt;/=2 DMT switch</w:t>
            </w:r>
          </w:p>
          <w:p w14:paraId="2809007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3.38 (CI95% 1.83–6.22) in.</w:t>
            </w:r>
          </w:p>
        </w:tc>
        <w:tc>
          <w:tcPr>
            <w:tcW w:w="2409" w:type="dxa"/>
            <w:gridSpan w:val="2"/>
          </w:tcPr>
          <w:p w14:paraId="7C62D85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No cervical abnormality reported</w:t>
            </w:r>
          </w:p>
        </w:tc>
        <w:tc>
          <w:tcPr>
            <w:tcW w:w="2127" w:type="dxa"/>
            <w:gridSpan w:val="2"/>
          </w:tcPr>
          <w:p w14:paraId="7711C9DB" w14:textId="5EE9A92B" w:rsidR="00D16970" w:rsidRPr="009A7518" w:rsidRDefault="00D16970" w:rsidP="00B967CB">
            <w:pPr>
              <w:spacing w:line="276" w:lineRule="auto"/>
              <w:contextualSpacing/>
              <w:rPr>
                <w:rFonts w:cs="Times New Roman"/>
                <w:sz w:val="20"/>
                <w:szCs w:val="20"/>
              </w:rPr>
            </w:pPr>
            <w:r w:rsidRPr="009A7518">
              <w:rPr>
                <w:rFonts w:cs="Times New Roman"/>
                <w:sz w:val="20"/>
                <w:szCs w:val="20"/>
              </w:rPr>
              <w:t>Higher cancer risk in MS patients switching more than two DMTs</w:t>
            </w:r>
            <w:r w:rsidR="00B967CB">
              <w:rPr>
                <w:rFonts w:cs="Times New Roman"/>
                <w:sz w:val="20"/>
                <w:szCs w:val="20"/>
              </w:rPr>
              <w:t>.</w:t>
            </w:r>
          </w:p>
        </w:tc>
      </w:tr>
      <w:tr w:rsidR="00D16970" w:rsidRPr="009A7518" w14:paraId="1023C71F" w14:textId="77777777" w:rsidTr="00BA7170">
        <w:tc>
          <w:tcPr>
            <w:tcW w:w="1560" w:type="dxa"/>
          </w:tcPr>
          <w:p w14:paraId="5C61D1E6" w14:textId="521051C9"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Gil‑Bernal et al., 2021</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{"citationID":"a15eau69shk","properties":{"formattedCitation":"(6)","plainCitation":"(6)","noteIndex":0},"citationItems":[{"id":1532,"uris":["http://zotero.org/users/local/DBM3sz94/items/3UHQY39J"],"itemData":{"id":1532,"type":"article-journal","abstract":"Neoplasm development in Multiple Sclerosis (MS) patients treated with disease-modifying therapies (DMTs) has been widely discussed. The aim of this work is to determine neoplasm frequency, relationship with the prescription pattern of DMTs, and influence of the patients’ baseline characteristics. Data from 250 MS outpatients were collected during the period 1981–2019 from the medical records of the Neurology Service of the HUPM (Hospital Universitario Puerta del Mar)—in Southern Spain—and analysed using Cox models. Neoplasm prevalence was 24%, mainly located on the skin, with cancer prevalence as expected for MS (6.8%). Latency period from MS onset to neoplasm diagnosis was 10.4 ± 6.9 years (median 9.30 [0.9–30.5]). During the observation period β-IFN (70.4% of patients), glatiramer acetate (30.4%), natalizumab (16.8%), fingolimod (24.8%), dimethyl fumarate (24.0%), alemtuzumab (6.0%), and teriflunomide (4.8%) were administered as monotherapy. Change of pattern in step therapy was significantly different in cancer patients vs unaffected individuals (p = 0.011) (29.4% did not receive DMTs [p = 0.000]). Extended Cox model: Smoking (HR = 3.938, CI 95% 1.392–11.140, p = 0.010), being female (HR = 2.006, 1.070–3.760, p = 0.030), and age at MS diagnosis (AGE-DG) (HR = 1.036, 1.012–1.061, p = 0.004) were risk factors for neoplasm development. Secondary progressive MS (SPMS) phenotype (HR = 0.179, 0.042–0.764, p = 0.020) and treatment-time with IFN (HR = 0.923, 0.873–0.977, p = 0.006) or DMF (HR = 0.725, 0.507–1.036, p = 0.077) were protective factors. Tobacco and IFN lost their negative/positive influence as survival time increased. Cox PH model: Tobacco/AGE-DG interaction was a risk factor for cancer (HR = 1.099, 1.001–1.208, p = 0.049), followed by FLM treatment-time (HR = 1.219, 0.979–1.517). In conclusion, smoking, female sex, and AGE-DG were risk factors, and SPMS and IFN treatment-time were protective factors for neoplasm development; smoking/AGE-DG interaction was the main cancer risk factor.","container-title":"Scientific Reports","DOI":"10.1038/s41598-021-91912-x","ISSN":"2045-2322","journalAbbreviation":"Sci Rep","note":"PMID: 34131191\nPMCID: PMC8206070","page":"12533","source":"PubMed Central","title":"Potential risk of disease modifying therapies on neoplasm development and coadjutant factors in multiple sclerosis outpatients","volume":"11","author":[{"family":"Gil-Bernal","given":"Rosalía"},{"family":"González-Caballero","given":"Juan Luis"},{"family":"Espinosa-Rosso","given":"Raúl"},{"family":"Gómez-Gómez","given":"Carmen"}],"issued":{"date-parts":[["2021",6,15]]}}}],"schema":"https://github.com/citation-style-language/schema/raw/master/csl-citation.json"}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(6)</w:t>
            </w:r>
            <w:r w:rsidRPr="009A7518">
              <w:rPr>
                <w:rFonts w:cs="Times New Roman"/>
                <w:color w:val="000000" w:themeColor="text1"/>
                <w:sz w:val="20"/>
                <w:szCs w:val="20"/>
                <w:shd w:val="clear" w:color="auto" w:fill="FFFFFF"/>
              </w:rPr>
              <w:fldChar w:fldCharType="end"/>
            </w:r>
            <w:r w:rsidRPr="009A7518">
              <w:rPr>
                <w:rFonts w:cs="Times New Roman"/>
                <w:color w:val="000000" w:themeColor="text1"/>
                <w:sz w:val="20"/>
                <w:szCs w:val="20"/>
                <w:shd w:val="clear" w:color="auto" w:fill="FFFFFF"/>
              </w:rPr>
              <w:t xml:space="preserve"> </w:t>
            </w:r>
          </w:p>
        </w:tc>
        <w:tc>
          <w:tcPr>
            <w:tcW w:w="1417" w:type="dxa"/>
            <w:gridSpan w:val="2"/>
          </w:tcPr>
          <w:p w14:paraId="2FBE3AB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Retrospective observational study  </w:t>
            </w:r>
          </w:p>
        </w:tc>
        <w:tc>
          <w:tcPr>
            <w:tcW w:w="1276" w:type="dxa"/>
            <w:gridSpan w:val="2"/>
          </w:tcPr>
          <w:p w14:paraId="2FDFAC2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Spain</w:t>
            </w:r>
          </w:p>
        </w:tc>
        <w:tc>
          <w:tcPr>
            <w:tcW w:w="1276" w:type="dxa"/>
            <w:gridSpan w:val="2"/>
          </w:tcPr>
          <w:p w14:paraId="32DCA2B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250 MS patients</w:t>
            </w:r>
          </w:p>
          <w:p w14:paraId="555C4AE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232 on DMT  </w:t>
            </w:r>
          </w:p>
        </w:tc>
        <w:tc>
          <w:tcPr>
            <w:tcW w:w="1134" w:type="dxa"/>
            <w:gridSpan w:val="2"/>
          </w:tcPr>
          <w:p w14:paraId="50B2981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1981-2019</w:t>
            </w:r>
          </w:p>
        </w:tc>
        <w:tc>
          <w:tcPr>
            <w:tcW w:w="1559" w:type="dxa"/>
            <w:gridSpan w:val="2"/>
          </w:tcPr>
          <w:p w14:paraId="6E81CD8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p>
          <w:p w14:paraId="04B7653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GA </w:t>
            </w:r>
          </w:p>
          <w:p w14:paraId="0AB3352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Teriflunomide </w:t>
            </w:r>
          </w:p>
          <w:p w14:paraId="180B76F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DMF</w:t>
            </w:r>
          </w:p>
          <w:p w14:paraId="0ADF61A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NTZ</w:t>
            </w:r>
          </w:p>
          <w:p w14:paraId="36B23CE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FTY</w:t>
            </w:r>
          </w:p>
          <w:p w14:paraId="6ED73FB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Alemtuzumab </w:t>
            </w:r>
          </w:p>
          <w:p w14:paraId="52B40222" w14:textId="77777777" w:rsidR="00D16970" w:rsidRPr="009A7518" w:rsidRDefault="00D16970" w:rsidP="00B967CB">
            <w:pPr>
              <w:spacing w:line="276" w:lineRule="auto"/>
              <w:contextualSpacing/>
              <w:rPr>
                <w:rFonts w:cs="Times New Roman"/>
                <w:sz w:val="20"/>
                <w:szCs w:val="20"/>
              </w:rPr>
            </w:pPr>
          </w:p>
        </w:tc>
        <w:tc>
          <w:tcPr>
            <w:tcW w:w="2552" w:type="dxa"/>
            <w:gridSpan w:val="2"/>
          </w:tcPr>
          <w:p w14:paraId="5EC2A419"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Risk </w:t>
            </w:r>
          </w:p>
          <w:p w14:paraId="6C1E3370"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Time of Interferon</w:t>
            </w:r>
            <w:r w:rsidRPr="009A7518">
              <w:rPr>
                <w:rFonts w:cs="Times New Roman"/>
                <w:sz w:val="20"/>
                <w:szCs w:val="20"/>
              </w:rPr>
              <w:sym w:font="Symbol" w:char="F062"/>
            </w:r>
            <w:r w:rsidRPr="009A7518">
              <w:rPr>
                <w:rFonts w:cs="Times New Roman"/>
                <w:sz w:val="20"/>
                <w:szCs w:val="20"/>
              </w:rPr>
              <w:t xml:space="preserve"> use</w:t>
            </w:r>
          </w:p>
          <w:p w14:paraId="5DA8402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0.923 (95% CI 0.873–0.977, p = 0.006)</w:t>
            </w:r>
          </w:p>
          <w:p w14:paraId="1AB20ABC" w14:textId="77777777" w:rsidR="00D16970" w:rsidRPr="009A7518" w:rsidRDefault="00D16970" w:rsidP="00B967CB">
            <w:pPr>
              <w:spacing w:line="276" w:lineRule="auto"/>
              <w:contextualSpacing/>
              <w:rPr>
                <w:rFonts w:cs="Times New Roman"/>
                <w:sz w:val="20"/>
                <w:szCs w:val="20"/>
              </w:rPr>
            </w:pPr>
          </w:p>
          <w:p w14:paraId="3B529DB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Time of DMF use</w:t>
            </w:r>
          </w:p>
          <w:p w14:paraId="6B798A5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 0.725 (95% CI 0.507-1.036, p = 0.077)</w:t>
            </w:r>
          </w:p>
          <w:p w14:paraId="30BDE88E" w14:textId="77777777" w:rsidR="00D16970" w:rsidRPr="009A7518" w:rsidRDefault="00D16970" w:rsidP="00B967CB">
            <w:pPr>
              <w:spacing w:line="276" w:lineRule="auto"/>
              <w:contextualSpacing/>
              <w:rPr>
                <w:rFonts w:cs="Times New Roman"/>
                <w:sz w:val="20"/>
                <w:szCs w:val="20"/>
              </w:rPr>
            </w:pPr>
          </w:p>
          <w:p w14:paraId="008F504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Time of FTY use </w:t>
            </w:r>
          </w:p>
          <w:p w14:paraId="150677B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 1.219 (95% CI 0.979 – 1.517, p = 0.133)</w:t>
            </w:r>
          </w:p>
        </w:tc>
        <w:tc>
          <w:tcPr>
            <w:tcW w:w="2409" w:type="dxa"/>
            <w:gridSpan w:val="2"/>
          </w:tcPr>
          <w:p w14:paraId="342BD13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10053A1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 xml:space="preserve"> and DMF use were protective against neoplasm development. </w:t>
            </w:r>
          </w:p>
          <w:p w14:paraId="3392CBDA" w14:textId="77777777" w:rsidR="00D16970" w:rsidRPr="009A7518" w:rsidRDefault="00D16970" w:rsidP="00B967CB">
            <w:pPr>
              <w:spacing w:line="276" w:lineRule="auto"/>
              <w:contextualSpacing/>
              <w:rPr>
                <w:rFonts w:cs="Times New Roman"/>
                <w:sz w:val="20"/>
                <w:szCs w:val="20"/>
              </w:rPr>
            </w:pPr>
          </w:p>
          <w:p w14:paraId="21A34892" w14:textId="77777777" w:rsidR="00D16970" w:rsidRPr="009A7518" w:rsidRDefault="00D16970" w:rsidP="00B967CB">
            <w:pPr>
              <w:spacing w:line="276" w:lineRule="auto"/>
              <w:contextualSpacing/>
              <w:rPr>
                <w:rFonts w:cs="Times New Roman"/>
                <w:sz w:val="20"/>
                <w:szCs w:val="20"/>
              </w:rPr>
            </w:pPr>
          </w:p>
        </w:tc>
      </w:tr>
      <w:tr w:rsidR="00D16970" w:rsidRPr="009A7518" w14:paraId="7ECBA5BD" w14:textId="77777777" w:rsidTr="00BA7170">
        <w:tc>
          <w:tcPr>
            <w:tcW w:w="1560" w:type="dxa"/>
          </w:tcPr>
          <w:p w14:paraId="479AA353" w14:textId="24E220FB" w:rsidR="00D16970" w:rsidRPr="009A7518" w:rsidRDefault="00D16970" w:rsidP="00B967CB">
            <w:pPr>
              <w:spacing w:line="276" w:lineRule="auto"/>
              <w:contextualSpacing/>
              <w:rPr>
                <w:rFonts w:cs="Times New Roman"/>
                <w:color w:val="000000" w:themeColor="text1"/>
                <w:sz w:val="20"/>
                <w:szCs w:val="20"/>
                <w:shd w:val="clear" w:color="auto" w:fill="FFFFFF"/>
              </w:rPr>
            </w:pPr>
            <w:proofErr w:type="spellStart"/>
            <w:r w:rsidRPr="009A7518">
              <w:rPr>
                <w:rFonts w:cs="Times New Roman"/>
                <w:color w:val="000000" w:themeColor="text1"/>
                <w:sz w:val="20"/>
                <w:szCs w:val="20"/>
                <w:shd w:val="clear" w:color="auto" w:fill="FFFFFF"/>
              </w:rPr>
              <w:t>Mariottini</w:t>
            </w:r>
            <w:proofErr w:type="spellEnd"/>
            <w:r w:rsidRPr="009A7518">
              <w:rPr>
                <w:rFonts w:cs="Times New Roman"/>
                <w:color w:val="000000" w:themeColor="text1"/>
                <w:sz w:val="20"/>
                <w:szCs w:val="20"/>
                <w:shd w:val="clear" w:color="auto" w:fill="FFFFFF"/>
              </w:rPr>
              <w:t xml:space="preserve"> et al., 2022</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{"citationID":"a2jvo048g8j","properties":{"formattedCitation":"(7)","plainCitation":"(7)","noteIndex":0},"citationItems":[{"id":1548,"uris":["http://zotero.org/users/local/DBM3sz94/items/6IJY559Q"],"itemData":{"id":1548,"type":"article-journal","abstract":"BACKGROUND: Conflicting data are currently available on the risk of malignancies in people affected by multiple sclerosis (pwMS), and the potential relative contribution to this risk of disease-modifying therapies (DMTs) is still debated. Moreover, data on the long-term prognosis of pwMS mostly derive from natural history studies and updated observations during the treatment era are lacking.\nMETHODS: Incidence of cancer and mortality were analysed in a pwMS cohort of residents of Tuscany over a 17-year period of observation during the treatment era and compared with the rates observed in a 1:10 sex- and age-matched control population resident in the same geographical area.\nRESULTS: Six-hundred and sixty-one pwMS were included; median age 43 years (range 19-80); 87% affected by relapsing-remitting MS. Sixty-eight percent of the cases were exposed to DMTs over the study period. Age and sex standardized incidence of malignancy did not differ between the groups: 3.9 × 1000 (95% confidence interval, CI, 3.75-4.15) person-years and 4.1 × 1000 (95% CI 3.76-4.42) person-years in the MS and control cohorts, respectively. The most frequent cancers reported in pwMS were breast, gastrointestinal and gynaecological cancers. Standardized mortality rates were 2.0 × 1000 person-years (95% CI 1.58-2.37) and 2.4 × 1000 (95% CI 2.03-2.78) person-years in the MS and control cohorts, respectively, and did not differ between groups, also after excluding traumatic cause-of-death (1.6 vs 1.7).\nCONCLUSIONS: The incidence of cancer and mortality did not differ between pwMS and the general population residing in the same geographical area, suggesting that life expectancy of pwMS has improved over the treatment era.","container-title":"Multiple Sclerosis and Related Disorders","DOI":"10.1016/j.msard.2022.103679","ISSN":"2211-0356","journalAbbreviation":"Mult Scler Relat Disord","language":"eng","note":"PMID: 35217486","page":"103679","source":"PubMed","title":"Incidence of malignant neoplasms and mortality in people affected by multiple sclerosis in the epoch of disease-modifying treatments: A population-based study on Tuscan residents","title-short":"Incidence of malignant neoplasms and mortality in people affected by multiple sclerosis in the epoch of disease-modifying treatments","volume":"60","author":[{"family":"Mariottini","given":"Alice"},{"family":"Forci","given":"Benedetta"},{"family":"Gualdani","given":"Elisa"},{"family":"Romoli","given":"Monica"},{"family":"Repice","given":"Anna Maria"},{"family":"Barilaro","given":"Alessandro"},{"family":"Mechi","given":"Claudia"},{"family":"Massacesi","given":"Luca"},{"family":"Francesconi","given":"Paolo"}],"issued":{"date-parts":[["2022",4]]}}}],"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(7)</w:t>
            </w:r>
            <w:r w:rsidRPr="009A7518">
              <w:rPr>
                <w:rFonts w:cs="Times New Roman"/>
                <w:color w:val="000000" w:themeColor="text1"/>
                <w:sz w:val="20"/>
                <w:szCs w:val="20"/>
                <w:shd w:val="clear" w:color="auto" w:fill="FFFFFF"/>
              </w:rPr>
              <w:fldChar w:fldCharType="end"/>
            </w:r>
            <w:r w:rsidRPr="009A7518">
              <w:rPr>
                <w:rFonts w:cs="Times New Roman"/>
                <w:color w:val="000000" w:themeColor="text1"/>
                <w:sz w:val="20"/>
                <w:szCs w:val="20"/>
                <w:shd w:val="clear" w:color="auto" w:fill="FFFFFF"/>
              </w:rPr>
              <w:t xml:space="preserve"> </w:t>
            </w:r>
          </w:p>
        </w:tc>
        <w:tc>
          <w:tcPr>
            <w:tcW w:w="1417" w:type="dxa"/>
            <w:gridSpan w:val="2"/>
          </w:tcPr>
          <w:p w14:paraId="12788C0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Case-control study </w:t>
            </w:r>
          </w:p>
        </w:tc>
        <w:tc>
          <w:tcPr>
            <w:tcW w:w="1276" w:type="dxa"/>
            <w:gridSpan w:val="2"/>
          </w:tcPr>
          <w:p w14:paraId="35A15EE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Italy </w:t>
            </w:r>
          </w:p>
        </w:tc>
        <w:tc>
          <w:tcPr>
            <w:tcW w:w="1276" w:type="dxa"/>
            <w:gridSpan w:val="2"/>
          </w:tcPr>
          <w:p w14:paraId="0AC2CD1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661 </w:t>
            </w:r>
            <w:proofErr w:type="spellStart"/>
            <w:r w:rsidRPr="009A7518">
              <w:rPr>
                <w:rFonts w:cs="Times New Roman"/>
                <w:sz w:val="20"/>
                <w:szCs w:val="20"/>
              </w:rPr>
              <w:t>pwMS</w:t>
            </w:r>
            <w:proofErr w:type="spellEnd"/>
            <w:r w:rsidRPr="009A7518">
              <w:rPr>
                <w:rFonts w:cs="Times New Roman"/>
                <w:sz w:val="20"/>
                <w:szCs w:val="20"/>
              </w:rPr>
              <w:t xml:space="preserve"> (68% exposed to DMTs) </w:t>
            </w:r>
          </w:p>
        </w:tc>
        <w:tc>
          <w:tcPr>
            <w:tcW w:w="1134" w:type="dxa"/>
            <w:gridSpan w:val="2"/>
          </w:tcPr>
          <w:p w14:paraId="6E439B6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2002 - 2018</w:t>
            </w:r>
          </w:p>
        </w:tc>
        <w:tc>
          <w:tcPr>
            <w:tcW w:w="1559" w:type="dxa"/>
            <w:gridSpan w:val="2"/>
          </w:tcPr>
          <w:p w14:paraId="32AE0F1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GA</w:t>
            </w:r>
          </w:p>
          <w:p w14:paraId="5A85E09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-1A</w:t>
            </w:r>
          </w:p>
          <w:p w14:paraId="5D06B92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--1B</w:t>
            </w:r>
          </w:p>
          <w:p w14:paraId="65FA105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DMF</w:t>
            </w:r>
          </w:p>
          <w:p w14:paraId="4552C20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Teriflunomide </w:t>
            </w:r>
          </w:p>
          <w:p w14:paraId="12E9BB1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p w14:paraId="2BBB3E9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NTZ</w:t>
            </w:r>
          </w:p>
          <w:p w14:paraId="495C190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Alemtuzumab</w:t>
            </w:r>
          </w:p>
          <w:p w14:paraId="6D388E3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Cladribine</w:t>
            </w:r>
          </w:p>
          <w:p w14:paraId="2DB48CB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Ocrelizumab</w:t>
            </w:r>
          </w:p>
          <w:p w14:paraId="02869C3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Rituximab </w:t>
            </w:r>
          </w:p>
          <w:p w14:paraId="01231CF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Mitoxantrone </w:t>
            </w:r>
          </w:p>
          <w:p w14:paraId="3B1AA0F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AZA </w:t>
            </w:r>
          </w:p>
          <w:p w14:paraId="079E434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CYP </w:t>
            </w:r>
          </w:p>
          <w:p w14:paraId="5D86A9F7" w14:textId="77777777" w:rsidR="00D16970" w:rsidRPr="009A7518" w:rsidRDefault="00D16970" w:rsidP="00B967CB">
            <w:pPr>
              <w:spacing w:line="276" w:lineRule="auto"/>
              <w:contextualSpacing/>
              <w:rPr>
                <w:rFonts w:cs="Times New Roman"/>
                <w:sz w:val="20"/>
                <w:szCs w:val="20"/>
              </w:rPr>
            </w:pPr>
          </w:p>
        </w:tc>
        <w:tc>
          <w:tcPr>
            <w:tcW w:w="2552" w:type="dxa"/>
            <w:gridSpan w:val="2"/>
          </w:tcPr>
          <w:p w14:paraId="12336005"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lastRenderedPageBreak/>
              <w:t xml:space="preserve">Incidence </w:t>
            </w:r>
          </w:p>
          <w:p w14:paraId="57F759E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incidence of malignancy</w:t>
            </w:r>
          </w:p>
          <w:p w14:paraId="47402A8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MS cohort:  3.9/ 1000 </w:t>
            </w:r>
            <w:proofErr w:type="spellStart"/>
            <w:r w:rsidRPr="009A7518">
              <w:rPr>
                <w:rFonts w:cs="Times New Roman"/>
                <w:sz w:val="20"/>
                <w:szCs w:val="20"/>
              </w:rPr>
              <w:t>py</w:t>
            </w:r>
            <w:proofErr w:type="spellEnd"/>
            <w:r w:rsidRPr="009A7518">
              <w:rPr>
                <w:rFonts w:cs="Times New Roman"/>
                <w:sz w:val="20"/>
                <w:szCs w:val="20"/>
              </w:rPr>
              <w:t xml:space="preserve"> (95% CI 3.75–4.15)</w:t>
            </w:r>
          </w:p>
          <w:p w14:paraId="03ACB82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Control cohort: 4.1/ 1000py (95% CI 3.76 –4.42) person-years</w:t>
            </w:r>
          </w:p>
          <w:p w14:paraId="142105E9" w14:textId="77777777" w:rsidR="00D16970" w:rsidRPr="009A7518" w:rsidRDefault="00D16970" w:rsidP="00B967CB">
            <w:pPr>
              <w:spacing w:line="276" w:lineRule="auto"/>
              <w:contextualSpacing/>
              <w:rPr>
                <w:rFonts w:cs="Times New Roman"/>
                <w:sz w:val="20"/>
                <w:szCs w:val="20"/>
              </w:rPr>
            </w:pPr>
          </w:p>
          <w:p w14:paraId="51EC8466"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lastRenderedPageBreak/>
              <w:t>SMR</w:t>
            </w:r>
          </w:p>
          <w:p w14:paraId="79A0253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MS cohort: 2.0/1000 </w:t>
            </w:r>
            <w:proofErr w:type="spellStart"/>
            <w:r w:rsidRPr="009A7518">
              <w:rPr>
                <w:rFonts w:cs="Times New Roman"/>
                <w:sz w:val="20"/>
                <w:szCs w:val="20"/>
              </w:rPr>
              <w:t>py</w:t>
            </w:r>
            <w:proofErr w:type="spellEnd"/>
            <w:r w:rsidRPr="009A7518">
              <w:rPr>
                <w:rFonts w:cs="Times New Roman"/>
                <w:sz w:val="20"/>
                <w:szCs w:val="20"/>
              </w:rPr>
              <w:t xml:space="preserve"> (95% CI 1.58–2.37)</w:t>
            </w:r>
          </w:p>
          <w:p w14:paraId="0FC0282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Control cohort: 2.0 / 1000 </w:t>
            </w:r>
            <w:proofErr w:type="spellStart"/>
            <w:r w:rsidRPr="009A7518">
              <w:rPr>
                <w:rFonts w:cs="Times New Roman"/>
                <w:sz w:val="20"/>
                <w:szCs w:val="20"/>
              </w:rPr>
              <w:t>py</w:t>
            </w:r>
            <w:proofErr w:type="spellEnd"/>
            <w:r w:rsidRPr="009A7518">
              <w:rPr>
                <w:rFonts w:cs="Times New Roman"/>
                <w:sz w:val="20"/>
                <w:szCs w:val="20"/>
              </w:rPr>
              <w:t xml:space="preserve"> (95% CI 1.58–2.37)</w:t>
            </w:r>
          </w:p>
        </w:tc>
        <w:tc>
          <w:tcPr>
            <w:tcW w:w="2409" w:type="dxa"/>
            <w:gridSpan w:val="2"/>
          </w:tcPr>
          <w:p w14:paraId="59D198DD"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lastRenderedPageBreak/>
              <w:t>n (%)</w:t>
            </w:r>
          </w:p>
          <w:p w14:paraId="58E24CAC" w14:textId="77777777"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Gynaecological</w:t>
            </w:r>
            <w:proofErr w:type="spellEnd"/>
            <w:r>
              <w:rPr>
                <w:rFonts w:cs="Times New Roman"/>
                <w:sz w:val="20"/>
                <w:szCs w:val="20"/>
              </w:rPr>
              <w:t xml:space="preserve"> </w:t>
            </w:r>
            <w:r w:rsidRPr="009A7518">
              <w:rPr>
                <w:rFonts w:cs="Times New Roman"/>
                <w:sz w:val="20"/>
                <w:szCs w:val="20"/>
              </w:rPr>
              <w:t xml:space="preserve">cancer </w:t>
            </w:r>
          </w:p>
          <w:p w14:paraId="7CA43C0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MS </w:t>
            </w:r>
          </w:p>
          <w:p w14:paraId="439F8E5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5 (22%) </w:t>
            </w:r>
          </w:p>
          <w:p w14:paraId="5B2489A1" w14:textId="77777777" w:rsidR="00D16970" w:rsidRPr="009A7518" w:rsidRDefault="00D16970" w:rsidP="00B967CB">
            <w:pPr>
              <w:spacing w:line="276" w:lineRule="auto"/>
              <w:contextualSpacing/>
              <w:rPr>
                <w:rFonts w:cs="Times New Roman"/>
                <w:b/>
                <w:bCs/>
                <w:sz w:val="20"/>
                <w:szCs w:val="20"/>
              </w:rPr>
            </w:pPr>
          </w:p>
          <w:p w14:paraId="23C0C027"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Controls </w:t>
            </w:r>
          </w:p>
          <w:p w14:paraId="349869C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12 (5%) </w:t>
            </w:r>
          </w:p>
        </w:tc>
        <w:tc>
          <w:tcPr>
            <w:tcW w:w="2127" w:type="dxa"/>
            <w:gridSpan w:val="2"/>
          </w:tcPr>
          <w:p w14:paraId="561E56A0" w14:textId="6F578FB0"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Incidence of cancer and mortality did not differ between </w:t>
            </w:r>
            <w:proofErr w:type="spellStart"/>
            <w:r w:rsidRPr="009A7518">
              <w:rPr>
                <w:rFonts w:cs="Times New Roman"/>
                <w:sz w:val="20"/>
                <w:szCs w:val="20"/>
              </w:rPr>
              <w:t>pwMS</w:t>
            </w:r>
            <w:proofErr w:type="spellEnd"/>
            <w:r w:rsidRPr="009A7518">
              <w:rPr>
                <w:rFonts w:cs="Times New Roman"/>
                <w:sz w:val="20"/>
                <w:szCs w:val="20"/>
              </w:rPr>
              <w:t xml:space="preserve"> and the general population</w:t>
            </w:r>
            <w:r w:rsidR="00B967CB">
              <w:rPr>
                <w:rFonts w:cs="Times New Roman"/>
                <w:sz w:val="20"/>
                <w:szCs w:val="20"/>
              </w:rPr>
              <w:t>.</w:t>
            </w:r>
          </w:p>
          <w:p w14:paraId="64EE0A78" w14:textId="77777777" w:rsidR="00D16970" w:rsidRPr="009A7518" w:rsidRDefault="00D16970" w:rsidP="00B967CB">
            <w:pPr>
              <w:spacing w:line="276" w:lineRule="auto"/>
              <w:contextualSpacing/>
              <w:rPr>
                <w:rFonts w:cs="Times New Roman"/>
                <w:sz w:val="20"/>
                <w:szCs w:val="20"/>
              </w:rPr>
            </w:pPr>
          </w:p>
          <w:p w14:paraId="1B148F56" w14:textId="450BC37E"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Higher incidence of </w:t>
            </w:r>
            <w:proofErr w:type="spellStart"/>
            <w:r w:rsidRPr="009A7518">
              <w:rPr>
                <w:rFonts w:cs="Times New Roman"/>
                <w:sz w:val="20"/>
                <w:szCs w:val="20"/>
              </w:rPr>
              <w:t>gynaecologic</w:t>
            </w:r>
            <w:r>
              <w:rPr>
                <w:rFonts w:cs="Times New Roman"/>
                <w:sz w:val="20"/>
                <w:szCs w:val="20"/>
              </w:rPr>
              <w:t>al</w:t>
            </w:r>
            <w:proofErr w:type="spellEnd"/>
            <w:r w:rsidRPr="009A7518">
              <w:rPr>
                <w:rFonts w:cs="Times New Roman"/>
                <w:sz w:val="20"/>
                <w:szCs w:val="20"/>
              </w:rPr>
              <w:t xml:space="preserve"> cancer seen in the MS </w:t>
            </w:r>
            <w:r w:rsidRPr="009A7518">
              <w:rPr>
                <w:rFonts w:cs="Times New Roman"/>
                <w:sz w:val="20"/>
                <w:szCs w:val="20"/>
              </w:rPr>
              <w:lastRenderedPageBreak/>
              <w:t>population compared with controls</w:t>
            </w:r>
            <w:r w:rsidR="00B967CB">
              <w:rPr>
                <w:rFonts w:cs="Times New Roman"/>
                <w:sz w:val="20"/>
                <w:szCs w:val="20"/>
              </w:rPr>
              <w:t>.</w:t>
            </w:r>
            <w:r w:rsidRPr="009A7518">
              <w:rPr>
                <w:rFonts w:cs="Times New Roman"/>
                <w:sz w:val="20"/>
                <w:szCs w:val="20"/>
              </w:rPr>
              <w:t xml:space="preserve"> </w:t>
            </w:r>
          </w:p>
        </w:tc>
      </w:tr>
      <w:tr w:rsidR="00D16970" w:rsidRPr="009A7518" w14:paraId="1B773974" w14:textId="77777777" w:rsidTr="00BA7170">
        <w:tc>
          <w:tcPr>
            <w:tcW w:w="15310" w:type="dxa"/>
            <w:gridSpan w:val="17"/>
          </w:tcPr>
          <w:p w14:paraId="65A23925" w14:textId="77777777" w:rsidR="00D16970" w:rsidRPr="00AF230F" w:rsidRDefault="00D16970" w:rsidP="00B967CB">
            <w:pPr>
              <w:pStyle w:val="NormalWeb"/>
              <w:spacing w:line="276" w:lineRule="auto"/>
              <w:contextualSpacing/>
              <w:rPr>
                <w:b/>
                <w:bCs/>
                <w:color w:val="000000" w:themeColor="text1"/>
                <w:sz w:val="20"/>
                <w:szCs w:val="20"/>
                <w:shd w:val="clear" w:color="auto" w:fill="FFFFFF"/>
              </w:rPr>
            </w:pPr>
            <w:r w:rsidRPr="00AF230F">
              <w:rPr>
                <w:b/>
                <w:bCs/>
                <w:color w:val="000000" w:themeColor="text1"/>
                <w:sz w:val="20"/>
                <w:szCs w:val="20"/>
                <w:shd w:val="clear" w:color="auto" w:fill="FFFFFF"/>
              </w:rPr>
              <w:t xml:space="preserve">Low efficacy therapies: Interferons and </w:t>
            </w:r>
            <w:r w:rsidRPr="00AF230F">
              <w:rPr>
                <w:b/>
                <w:bCs/>
                <w:sz w:val="20"/>
                <w:szCs w:val="20"/>
              </w:rPr>
              <w:t>Glatiramer</w:t>
            </w:r>
            <w:r w:rsidRPr="00AF230F">
              <w:rPr>
                <w:b/>
                <w:bCs/>
                <w:color w:val="000000" w:themeColor="text1"/>
                <w:sz w:val="20"/>
                <w:szCs w:val="20"/>
                <w:shd w:val="clear" w:color="auto" w:fill="FFFFFF"/>
              </w:rPr>
              <w:t xml:space="preserve"> acetate </w:t>
            </w:r>
          </w:p>
        </w:tc>
      </w:tr>
      <w:tr w:rsidR="00D16970" w:rsidRPr="009A7518" w14:paraId="23AB0504" w14:textId="77777777" w:rsidTr="00BA7170">
        <w:tc>
          <w:tcPr>
            <w:tcW w:w="1560" w:type="dxa"/>
          </w:tcPr>
          <w:p w14:paraId="47E3D807" w14:textId="7F4990D2"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Kappos</w:t>
            </w:r>
            <w:proofErr w:type="spellEnd"/>
            <w:r w:rsidRPr="009A7518">
              <w:rPr>
                <w:rFonts w:cs="Times New Roman"/>
                <w:sz w:val="20"/>
                <w:szCs w:val="20"/>
              </w:rPr>
              <w:t xml:space="preserve"> et al., 2006</w:t>
            </w:r>
            <w:r w:rsidRPr="009A7518">
              <w:rPr>
                <w:rFonts w:cs="Times New Roman"/>
                <w:sz w:val="20"/>
                <w:szCs w:val="20"/>
              </w:rPr>
              <w:fldChar w:fldCharType="begin"/>
            </w:r>
            <w:r w:rsidR="00B967CB">
              <w:rPr>
                <w:rFonts w:cs="Times New Roman"/>
                <w:sz w:val="20"/>
                <w:szCs w:val="20"/>
              </w:rPr>
              <w:instrText xml:space="preserve"> ADDIN ZOTERO_ITEM CSL_CITATION {"citationID":"tIQihLwl","properties":{"formattedCitation":"(8)","plainCitation":"(8)","noteIndex":0},"citationItems":[{"id":1050,"uris":["http://zotero.org/users/local/DBM3sz94/items/VFBAUMM7"],"itemData":{"id":1050,"type":"article-journal","abstract":"Objective: To assess efficacy, safety, and tolerability of every-other-day interferon beta-1b treatment in patients with a first clinical event suggestive of multiple sclerosis (MS) (clinically isolated syndrome).\nMethods: We conducted a multicenter, randomized, double-blind, placebo-controlled trial. Patients with a first clinical demyelinating event and at least two clinically silent brain MRI lesions were randomized to interferon beta-1b (IFNB-1b) 250 μg subcutaneously (SC) every other day (EOD) (n = 292) or placebo (n = 176), until clinically definite MS (CDMS) was diagnosed or they had been followed for 24 months.\nResults: After 2 years, 45% of placebo patients had converted to CDMS (Kaplan-Meier estimate; primary outcome measure) and 85% fulfilled the McDonald criteria (co-primary outcome measure). Overall interferon beta-1b delayed the time to diagnosis of CDMS (p &lt; 0.0001) and McDonald MS (p &lt; 0.00001). Hazard ratios (95% CI) were 0.50 (0.36 to 0.70) for CDMS and 0.54 (0.43 to 0.67) for McDonald MS favoring treatment with IFNB-1b. Treatment was well tolerated, as indicated by the low rate of patients dropping out of the study before CDMS was reached (6.6% overall, 7.2% in the IFNB-1b group).\nConclusions: Interferon beta-1b 250 μg subcutaneously every other day delayed conversion to clinically definite multiple sclerosis, and should be considered as a therapeutic option in patients presenting with a first clinical event suggestive of multiple sclerosis.","container-title":"Neurology","DOI":"10.1212/01.wnl.0000237641.33768.8d","ISSN":"0028-3878, 1526-632X","issue":"7","language":"en","license":"© 2006","note":"publisher: Wolters Kluwer Health, Inc. on behalf of the American Academy of Neurology\nsection: Articles\nPMID: 16914693","page":"1242-1249","source":"n-neurology-org.ap1.proxy.openathens.net","title":"Treatment with interferon beta-1b delays conversion to clinically definite and McDonald MS in patients with clinically isolated syndromes","volume":"67","author":[{"family":"Kappos","given":"L."},{"family":"Polman","given":"C. H."},{"family":"Freedman","given":"M. S."},{"family":"Edan","given":"G."},{"family":"Hartung","given":"H. P."},{"family":"Miller","given":"D. H."},{"family":"Montalban","given":"X."},{"family":"Barkhof","given":"F."},{"family":"Bauer","given":"L."},{"family":"Jakobs","given":"P."},{"family":"Pohl","given":"C."},{"family":"Sandbrink","given":"R."}],"issued":{"date-parts":[["2006",10,10]]}}}],"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(8)</w:t>
            </w:r>
            <w:r w:rsidRPr="009A7518">
              <w:rPr>
                <w:rFonts w:cs="Times New Roman"/>
                <w:sz w:val="20"/>
                <w:szCs w:val="20"/>
              </w:rPr>
              <w:fldChar w:fldCharType="end"/>
            </w:r>
            <w:r w:rsidRPr="009A7518">
              <w:rPr>
                <w:rFonts w:cs="Times New Roman"/>
                <w:sz w:val="20"/>
                <w:szCs w:val="20"/>
              </w:rPr>
              <w:t xml:space="preserve"> </w:t>
            </w:r>
          </w:p>
          <w:p w14:paraId="0AE369ED" w14:textId="77777777" w:rsidR="00D16970" w:rsidRPr="009A7518" w:rsidRDefault="00D16970" w:rsidP="00B967CB">
            <w:pPr>
              <w:spacing w:line="276" w:lineRule="auto"/>
              <w:contextualSpacing/>
              <w:rPr>
                <w:rFonts w:cs="Times New Roman"/>
                <w:sz w:val="20"/>
                <w:szCs w:val="20"/>
              </w:rPr>
            </w:pPr>
          </w:p>
          <w:p w14:paraId="5163535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BENEFIT </w:t>
            </w:r>
          </w:p>
          <w:p w14:paraId="6A81B4F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NCT00185211</w:t>
            </w:r>
          </w:p>
          <w:p w14:paraId="0D08E2BE"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tc>
        <w:tc>
          <w:tcPr>
            <w:tcW w:w="1417" w:type="dxa"/>
            <w:gridSpan w:val="2"/>
          </w:tcPr>
          <w:p w14:paraId="28EF5988"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 xml:space="preserve">Phase 3 Placebo-controlled trial </w:t>
            </w:r>
            <w:r w:rsidRPr="009A7518">
              <w:rPr>
                <w:rStyle w:val="apple-converted-space"/>
                <w:rFonts w:cs="Times New Roman"/>
                <w:color w:val="000000"/>
                <w:shd w:val="clear" w:color="auto" w:fill="FFFFFF"/>
              </w:rPr>
              <w:t> </w:t>
            </w:r>
          </w:p>
          <w:p w14:paraId="014A8D54" w14:textId="77777777" w:rsidR="00D16970" w:rsidRPr="009A7518" w:rsidRDefault="00D16970" w:rsidP="00B967CB">
            <w:pPr>
              <w:spacing w:line="276" w:lineRule="auto"/>
              <w:contextualSpacing/>
              <w:rPr>
                <w:rFonts w:cs="Times New Roman"/>
                <w:sz w:val="20"/>
                <w:szCs w:val="20"/>
              </w:rPr>
            </w:pPr>
          </w:p>
        </w:tc>
        <w:tc>
          <w:tcPr>
            <w:tcW w:w="1276" w:type="dxa"/>
            <w:gridSpan w:val="2"/>
          </w:tcPr>
          <w:p w14:paraId="241C779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73252F9A" w14:textId="77777777" w:rsidR="00D16970" w:rsidRPr="009A7518" w:rsidRDefault="00D16970" w:rsidP="00B967CB">
            <w:pPr>
              <w:spacing w:line="276" w:lineRule="auto"/>
              <w:contextualSpacing/>
              <w:rPr>
                <w:rFonts w:cs="Times New Roman"/>
                <w:sz w:val="20"/>
                <w:szCs w:val="20"/>
              </w:rPr>
            </w:pPr>
            <w:proofErr w:type="gramStart"/>
            <w:r w:rsidRPr="009A7518">
              <w:rPr>
                <w:rFonts w:cs="Times New Roman"/>
                <w:color w:val="000000"/>
                <w:sz w:val="20"/>
                <w:szCs w:val="20"/>
                <w:shd w:val="clear" w:color="auto" w:fill="FFFFFF"/>
              </w:rPr>
              <w:t xml:space="preserve">292 </w:t>
            </w:r>
            <w:r w:rsidRPr="009A7518">
              <w:rPr>
                <w:rFonts w:cs="Times New Roman"/>
                <w:sz w:val="20"/>
                <w:szCs w:val="20"/>
              </w:rPr>
              <w:t xml:space="preserve"> Interferon</w:t>
            </w:r>
            <w:proofErr w:type="gramEnd"/>
            <w:r w:rsidRPr="009A7518">
              <w:rPr>
                <w:rFonts w:cs="Times New Roman"/>
                <w:sz w:val="20"/>
                <w:szCs w:val="20"/>
              </w:rPr>
              <w:sym w:font="Symbol" w:char="F062"/>
            </w:r>
            <w:r w:rsidRPr="009A7518">
              <w:rPr>
                <w:rFonts w:cs="Times New Roman"/>
                <w:sz w:val="20"/>
                <w:szCs w:val="20"/>
              </w:rPr>
              <w:t>-1b</w:t>
            </w:r>
          </w:p>
          <w:p w14:paraId="74A0186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176 Placebo </w:t>
            </w:r>
          </w:p>
        </w:tc>
        <w:tc>
          <w:tcPr>
            <w:tcW w:w="1134" w:type="dxa"/>
            <w:gridSpan w:val="2"/>
          </w:tcPr>
          <w:p w14:paraId="3CD5D80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2002-2008 </w:t>
            </w:r>
          </w:p>
        </w:tc>
        <w:tc>
          <w:tcPr>
            <w:tcW w:w="1559" w:type="dxa"/>
            <w:gridSpan w:val="2"/>
          </w:tcPr>
          <w:p w14:paraId="72CC6013"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-1b</w:t>
            </w:r>
          </w:p>
        </w:tc>
        <w:tc>
          <w:tcPr>
            <w:tcW w:w="2552" w:type="dxa"/>
            <w:gridSpan w:val="2"/>
          </w:tcPr>
          <w:p w14:paraId="258E9E3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cancer reported </w:t>
            </w:r>
          </w:p>
          <w:p w14:paraId="6B5820E8" w14:textId="77777777" w:rsidR="00D16970" w:rsidRPr="009A7518" w:rsidRDefault="00D16970" w:rsidP="00B967CB">
            <w:pPr>
              <w:spacing w:line="276" w:lineRule="auto"/>
              <w:contextualSpacing/>
              <w:rPr>
                <w:rFonts w:cs="Times New Roman"/>
                <w:color w:val="000000" w:themeColor="text1"/>
                <w:sz w:val="20"/>
                <w:szCs w:val="20"/>
              </w:rPr>
            </w:pPr>
          </w:p>
        </w:tc>
        <w:tc>
          <w:tcPr>
            <w:tcW w:w="2409" w:type="dxa"/>
            <w:gridSpan w:val="2"/>
          </w:tcPr>
          <w:p w14:paraId="2EF3535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cervical abnormality reported </w:t>
            </w:r>
          </w:p>
        </w:tc>
        <w:tc>
          <w:tcPr>
            <w:tcW w:w="2127" w:type="dxa"/>
            <w:gridSpan w:val="2"/>
          </w:tcPr>
          <w:p w14:paraId="47D0787C" w14:textId="77777777" w:rsidR="00D16970" w:rsidRPr="009A7518" w:rsidRDefault="00D16970" w:rsidP="00B967CB">
            <w:pPr>
              <w:spacing w:line="276" w:lineRule="auto"/>
              <w:contextualSpacing/>
              <w:rPr>
                <w:rFonts w:cs="Times New Roman"/>
                <w:sz w:val="20"/>
                <w:szCs w:val="20"/>
              </w:rPr>
            </w:pPr>
          </w:p>
        </w:tc>
      </w:tr>
      <w:tr w:rsidR="00D16970" w:rsidRPr="009A7518" w14:paraId="39AF3B30" w14:textId="77777777" w:rsidTr="00BA7170">
        <w:tc>
          <w:tcPr>
            <w:tcW w:w="1560" w:type="dxa"/>
          </w:tcPr>
          <w:p w14:paraId="72EC275E" w14:textId="7D3B88A3"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O’Connor et al., 2009</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{"citationID":"yhN6sqBe","properties":{"formattedCitation":"(9)","plainCitation":"(9)","noteIndex":0},"citationItems":[{"id":995,"uris":["http://zotero.org/users/local/DBM3sz94/items/RDVT3LZB"],"itemData":{"id":995,"type":"article-journal","abstract":"Background The aim of the Betaferon Eﬃcacy Yielding Outcomes of a New Dose (BEYOND) trial was to compare the eﬃcacy, safety, and tolerability of 250 μg or 500 μg interferon beta-1b with glatiramer acetate for treating relapsingremitting multiple sclerosis.","container-title":"The Lancet Neurology","DOI":"10.1016/S1474-4422(09)70226-1","ISSN":"14744422","issue":"10","journalAbbreviation":"The Lancet Neurology","language":"en","page":"889-897","source":"DOI.org (Crossref)","title":"250 μg or 500 μg interferon beta-1b versus 20 mg glatiramer acetate in relapsing-remitting multiple sclerosis: a prospective, randomised, multicentre study","title-short":"250 μg or 500 μg interferon beta-1b versus 20 mg glatiramer acetate in relapsing-remitting multiple sclerosis","volume":"8","author":[{"family":"O'Connor","given":"Paul"},{"family":"Filippi","given":"Massimo"},{"family":"Arnason","given":"Barry"},{"family":"Comi","given":"Giancarlo"},{"family":"Cook","given":"Stuart"},{"family":"Goodin","given":"Douglas"},{"family":"Hartung","given":"Hans-Peter"},{"family":"Jeffery","given":"Douglas"},{"family":"Kappos","given":"Ludwig"},{"family":"Boateng","given":"Francis"},{"family":"Filippov","given":"Vitali"},{"family":"Groth","given":"Maria"},{"family":"Knappertz","given":"Volker"},{"family":"Kraus","given":"Christian"},{"family":"Sandbrink","given":"Rupert"},{"family":"Pohl","given":"Christoph"},{"family":"Bogumil","given":"Timon"}],"issued":{"date-parts":[["2009",10]]}}}],"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(9)</w:t>
            </w:r>
            <w:r w:rsidRPr="009A7518">
              <w:rPr>
                <w:rFonts w:cs="Times New Roman"/>
                <w:color w:val="000000" w:themeColor="text1"/>
                <w:sz w:val="20"/>
                <w:szCs w:val="20"/>
                <w:shd w:val="clear" w:color="auto" w:fill="FFFFFF"/>
              </w:rPr>
              <w:fldChar w:fldCharType="end"/>
            </w:r>
            <w:r w:rsidRPr="009A7518">
              <w:rPr>
                <w:rFonts w:cs="Times New Roman"/>
                <w:color w:val="000000" w:themeColor="text1"/>
                <w:sz w:val="20"/>
                <w:szCs w:val="20"/>
                <w:shd w:val="clear" w:color="auto" w:fill="FFFFFF"/>
              </w:rPr>
              <w:t xml:space="preserve"> </w:t>
            </w:r>
          </w:p>
          <w:p w14:paraId="68AF34D6"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p w14:paraId="248AE0F7"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BEYOND</w:t>
            </w:r>
          </w:p>
          <w:p w14:paraId="7EE53ACB"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NCT00099502</w:t>
            </w:r>
          </w:p>
        </w:tc>
        <w:tc>
          <w:tcPr>
            <w:tcW w:w="1417" w:type="dxa"/>
            <w:gridSpan w:val="2"/>
          </w:tcPr>
          <w:p w14:paraId="3B0D807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 xml:space="preserve"> control trial </w:t>
            </w:r>
          </w:p>
        </w:tc>
        <w:tc>
          <w:tcPr>
            <w:tcW w:w="1276" w:type="dxa"/>
            <w:gridSpan w:val="2"/>
          </w:tcPr>
          <w:p w14:paraId="100760A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0612C7D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1796 Interferon</w:t>
            </w:r>
            <w:r w:rsidRPr="009A7518">
              <w:rPr>
                <w:rFonts w:cs="Times New Roman"/>
                <w:sz w:val="20"/>
                <w:szCs w:val="20"/>
              </w:rPr>
              <w:sym w:font="Symbol" w:char="F062"/>
            </w:r>
            <w:r w:rsidRPr="009A7518">
              <w:rPr>
                <w:rFonts w:cs="Times New Roman"/>
                <w:sz w:val="20"/>
                <w:szCs w:val="20"/>
              </w:rPr>
              <w:t>-1b</w:t>
            </w:r>
          </w:p>
          <w:p w14:paraId="19889A2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448 GA</w:t>
            </w:r>
          </w:p>
        </w:tc>
        <w:tc>
          <w:tcPr>
            <w:tcW w:w="1134" w:type="dxa"/>
            <w:gridSpan w:val="2"/>
          </w:tcPr>
          <w:p w14:paraId="288DD1D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2003-2005 </w:t>
            </w:r>
          </w:p>
        </w:tc>
        <w:tc>
          <w:tcPr>
            <w:tcW w:w="1559" w:type="dxa"/>
            <w:gridSpan w:val="2"/>
          </w:tcPr>
          <w:p w14:paraId="63B7BD2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-1b</w:t>
            </w:r>
          </w:p>
          <w:p w14:paraId="1AE08D23"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t>GA</w:t>
            </w:r>
          </w:p>
        </w:tc>
        <w:tc>
          <w:tcPr>
            <w:tcW w:w="2552" w:type="dxa"/>
            <w:gridSpan w:val="2"/>
          </w:tcPr>
          <w:p w14:paraId="339336E1"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t>No cancer reported</w:t>
            </w:r>
          </w:p>
        </w:tc>
        <w:tc>
          <w:tcPr>
            <w:tcW w:w="2409" w:type="dxa"/>
            <w:gridSpan w:val="2"/>
          </w:tcPr>
          <w:p w14:paraId="31AD344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r w:rsidRPr="009A7518" w:rsidDel="00FC2D01">
              <w:rPr>
                <w:rFonts w:cs="Times New Roman"/>
                <w:sz w:val="20"/>
                <w:szCs w:val="20"/>
              </w:rPr>
              <w:t xml:space="preserve"> </w:t>
            </w:r>
          </w:p>
        </w:tc>
        <w:tc>
          <w:tcPr>
            <w:tcW w:w="2127" w:type="dxa"/>
            <w:gridSpan w:val="2"/>
          </w:tcPr>
          <w:p w14:paraId="5CBC2A4A" w14:textId="77777777" w:rsidR="00D16970" w:rsidRPr="009A7518" w:rsidRDefault="00D16970" w:rsidP="00B967CB">
            <w:pPr>
              <w:spacing w:line="276" w:lineRule="auto"/>
              <w:contextualSpacing/>
              <w:rPr>
                <w:rFonts w:cs="Times New Roman"/>
                <w:sz w:val="20"/>
                <w:szCs w:val="20"/>
              </w:rPr>
            </w:pPr>
          </w:p>
        </w:tc>
      </w:tr>
      <w:tr w:rsidR="00D16970" w:rsidRPr="009A7518" w14:paraId="010A2774" w14:textId="77777777" w:rsidTr="00BA7170">
        <w:tc>
          <w:tcPr>
            <w:tcW w:w="1560" w:type="dxa"/>
          </w:tcPr>
          <w:p w14:paraId="127E8645" w14:textId="27663B3C" w:rsidR="00D16970" w:rsidRPr="009A7518" w:rsidRDefault="00D16970" w:rsidP="00B967CB">
            <w:pPr>
              <w:spacing w:line="276" w:lineRule="auto"/>
              <w:contextualSpacing/>
              <w:rPr>
                <w:rFonts w:cs="Times New Roman"/>
                <w:color w:val="000000" w:themeColor="text1"/>
                <w:sz w:val="20"/>
                <w:szCs w:val="20"/>
                <w:shd w:val="clear" w:color="auto" w:fill="FFFFFF"/>
              </w:rPr>
            </w:pPr>
            <w:proofErr w:type="spellStart"/>
            <w:r w:rsidRPr="009A7518">
              <w:rPr>
                <w:rFonts w:cs="Times New Roman"/>
                <w:color w:val="000000" w:themeColor="text1"/>
                <w:sz w:val="20"/>
                <w:szCs w:val="20"/>
                <w:shd w:val="clear" w:color="auto" w:fill="FFFFFF"/>
              </w:rPr>
              <w:t>Reder</w:t>
            </w:r>
            <w:proofErr w:type="spellEnd"/>
            <w:r w:rsidRPr="009A7518">
              <w:rPr>
                <w:rFonts w:cs="Times New Roman"/>
                <w:color w:val="000000" w:themeColor="text1"/>
                <w:sz w:val="20"/>
                <w:szCs w:val="20"/>
                <w:shd w:val="clear" w:color="auto" w:fill="FFFFFF"/>
              </w:rPr>
              <w:t xml:space="preserve"> et al., 2010</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{"citationID":"Ddgp29fD","properties":{"formattedCitation":"(10)","plainCitation":"(10)","noteIndex":0},"citationItems":[{"id":997,"uris":["http://zotero.org/users/local/DBM3sz94/items/AGPLDLCQ"],"itemData":{"id":997,"type":"article-journal","abstract":"Objective: The 16-Year Long-Term Follow-Up (LTF) to the pivotal interferon-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trial explored clinical, MRI, cognitive, and patient-reported outcomes. Here, we report the safety assessments.\nMethods: In the pivotal study, 372 patients were randomized to placebo (n ϭ 123),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50 ␮g (n ϭ 125), or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250 ␮g (n ϭ 124) subcutaneously every other day for up to 5 years. Sixteen years later, patients were asked to participate in this cross-sectional follow-up study. No particular therapy was stipulated during follow-up. Adverse events experienced since the pivotal trial were recorded. Neutralizing antibodies (NAbs) to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were measured using the myxovirus protein A induction assay. Statistical analyses were descriptive.\nResults: In total, 88.2% of patients (328/372) were identified. Some centers achieved 100% ascertainment, obviating selection bias. Treatment-related adverse events (e.g., leukopenia and liver and thyroid dysfunction) reported by LTF participants were in keeping with those previously established. Based on a follow-up period that includes 2,000 patient-years of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treatment, no new adverse events were observed that were associated with long-term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exposure. By LTF, NAbs to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disappeared in the majority (76%) of NAb-positive patients. NAb status during the pivotal study appeared to have no impact on long-term clinical and MRI outcomes. There were more deaths among patients assigned to placebo in the pivotal study (20/109 [18.3%]) compared with patients who received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50 ␮g (9/108 [8.3%]) or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250 ␮g (6/111 [5.4%]).\nConclusion: The results from the 16-Year Long-Term Follow-Up study support the long-term safety of interferon-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-1b therapy in multiple sclerosis. Classification of evidence: This study provides Class III evidence that patients with relapsingremitting MS taking IFN</w:instrText>
            </w:r>
            <w:r w:rsidR="00B967CB">
              <w:rPr>
                <w:rFonts w:ascii="Segoe UI Symbol" w:hAnsi="Segoe UI Symbol" w:cs="Segoe UI Symbol"/>
                <w:color w:val="000000" w:themeColor="text1"/>
                <w:sz w:val="20"/>
                <w:szCs w:val="20"/>
                <w:shd w:val="clear" w:color="auto" w:fill="FFFFFF"/>
              </w:rPr>
              <w:instrText>␤</w:instrText>
            </w:r>
            <w:r w:rsidR="00B967CB">
              <w:rPr>
                <w:rFonts w:cs="Times New Roman"/>
                <w:color w:val="000000" w:themeColor="text1"/>
                <w:sz w:val="20"/>
                <w:szCs w:val="20"/>
                <w:shd w:val="clear" w:color="auto" w:fill="FFFFFF"/>
              </w:rPr>
              <w:instrText xml:space="preserve">-1b 50 ␮g or 250 ␮g subcutaneously every other day for up to 5 years, with subsequent unspecified treatment, have fewer deaths after 16 years of follow-up than similar patients on placebo for up to 5 years, with subsequent unspecified treatment (risk difference 11.5%, 95% confidence interval 4 –19). Neurology® 2010;74:1877–1885","container-title":"Neurology","DOI":"10.1212/WNL.0b013e3181e240d0","ISSN":"0028-3878, 1526-632X","issue":"23","journalAbbreviation":"Neurology","language":"en","page":"1877-1885","source":"DOI.org (Crossref)","title":"Cross-sectional study assessing long-term safety of interferon- -1b for relapsing-remitting MS","volume":"74","author":[{"family":"Reder","given":"A. T."},{"family":"Ebers","given":"G. C."},{"family":"Traboulsee","given":"A."},{"family":"Li","given":"D."},{"family":"Langdon","given":"D."},{"family":"Goodin","given":"D. S."},{"family":"Bogumil","given":"T."},{"family":"Beckmann","given":"K."},{"family":"Konieczny","given":"A."},{"literal":"For the Investigators of the 16-Year Long-Term Follow-Up Study"}],"issued":{"date-parts":[["2010",6,8]]}}}],"schema":"https://github.com/citation-style-language/schema/raw/master/csl-citation.json"}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(10)</w:t>
            </w:r>
            <w:r w:rsidRPr="009A7518">
              <w:rPr>
                <w:rFonts w:cs="Times New Roman"/>
                <w:color w:val="000000" w:themeColor="text1"/>
                <w:sz w:val="20"/>
                <w:szCs w:val="20"/>
                <w:shd w:val="clear" w:color="auto" w:fill="FFFFFF"/>
              </w:rPr>
              <w:fldChar w:fldCharType="end"/>
            </w:r>
          </w:p>
        </w:tc>
        <w:tc>
          <w:tcPr>
            <w:tcW w:w="1417" w:type="dxa"/>
            <w:gridSpan w:val="2"/>
          </w:tcPr>
          <w:p w14:paraId="1AF1B2C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Cross-sectional observation study </w:t>
            </w:r>
          </w:p>
        </w:tc>
        <w:tc>
          <w:tcPr>
            <w:tcW w:w="1276" w:type="dxa"/>
            <w:gridSpan w:val="2"/>
          </w:tcPr>
          <w:p w14:paraId="4564282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North America </w:t>
            </w:r>
          </w:p>
        </w:tc>
        <w:tc>
          <w:tcPr>
            <w:tcW w:w="1276" w:type="dxa"/>
            <w:gridSpan w:val="2"/>
          </w:tcPr>
          <w:p w14:paraId="2E64376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328 Interferon</w:t>
            </w:r>
            <w:r w:rsidRPr="009A7518">
              <w:rPr>
                <w:rFonts w:cs="Times New Roman"/>
                <w:sz w:val="20"/>
                <w:szCs w:val="20"/>
              </w:rPr>
              <w:sym w:font="Symbol" w:char="F062"/>
            </w:r>
            <w:r w:rsidRPr="009A7518">
              <w:rPr>
                <w:rFonts w:cs="Times New Roman"/>
                <w:sz w:val="20"/>
                <w:szCs w:val="20"/>
              </w:rPr>
              <w:t>-1b</w:t>
            </w:r>
          </w:p>
          <w:p w14:paraId="55AF4EB3" w14:textId="77777777" w:rsidR="00D16970" w:rsidRPr="009A7518" w:rsidRDefault="00D16970" w:rsidP="00B967CB">
            <w:pPr>
              <w:spacing w:line="276" w:lineRule="auto"/>
              <w:contextualSpacing/>
              <w:rPr>
                <w:rFonts w:cs="Times New Roman"/>
                <w:sz w:val="20"/>
                <w:szCs w:val="20"/>
              </w:rPr>
            </w:pPr>
          </w:p>
        </w:tc>
        <w:tc>
          <w:tcPr>
            <w:tcW w:w="1134" w:type="dxa"/>
            <w:gridSpan w:val="2"/>
          </w:tcPr>
          <w:p w14:paraId="416B1DC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1988-2005 </w:t>
            </w:r>
          </w:p>
        </w:tc>
        <w:tc>
          <w:tcPr>
            <w:tcW w:w="1559" w:type="dxa"/>
            <w:gridSpan w:val="2"/>
          </w:tcPr>
          <w:p w14:paraId="4561C1E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-1b</w:t>
            </w:r>
          </w:p>
          <w:p w14:paraId="525831ED" w14:textId="77777777" w:rsidR="00D16970" w:rsidRPr="009A7518" w:rsidRDefault="00D16970" w:rsidP="00B967CB">
            <w:pPr>
              <w:spacing w:line="276" w:lineRule="auto"/>
              <w:contextualSpacing/>
              <w:rPr>
                <w:rFonts w:cs="Times New Roman"/>
                <w:color w:val="000000" w:themeColor="text1"/>
                <w:sz w:val="20"/>
                <w:szCs w:val="20"/>
              </w:rPr>
            </w:pPr>
          </w:p>
        </w:tc>
        <w:tc>
          <w:tcPr>
            <w:tcW w:w="2552" w:type="dxa"/>
            <w:gridSpan w:val="2"/>
          </w:tcPr>
          <w:p w14:paraId="1C8032BB"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t xml:space="preserve">No cancer reported </w:t>
            </w:r>
          </w:p>
        </w:tc>
        <w:tc>
          <w:tcPr>
            <w:tcW w:w="2409" w:type="dxa"/>
            <w:gridSpan w:val="2"/>
          </w:tcPr>
          <w:p w14:paraId="7D26FD6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5BD477F0" w14:textId="77777777" w:rsidR="00D16970" w:rsidRPr="009A7518" w:rsidRDefault="00D16970" w:rsidP="00B967CB">
            <w:pPr>
              <w:spacing w:line="276" w:lineRule="auto"/>
              <w:contextualSpacing/>
              <w:rPr>
                <w:rFonts w:cs="Times New Roman"/>
                <w:sz w:val="20"/>
                <w:szCs w:val="20"/>
              </w:rPr>
            </w:pPr>
          </w:p>
        </w:tc>
      </w:tr>
      <w:tr w:rsidR="00D16970" w:rsidRPr="009A7518" w14:paraId="37F3DB06" w14:textId="77777777" w:rsidTr="00BA7170">
        <w:tc>
          <w:tcPr>
            <w:tcW w:w="1560" w:type="dxa"/>
          </w:tcPr>
          <w:p w14:paraId="7D984AE1" w14:textId="2E1D65BC" w:rsidR="00D16970" w:rsidRPr="009A7518" w:rsidRDefault="00D16970" w:rsidP="00B967CB">
            <w:pPr>
              <w:spacing w:line="276" w:lineRule="auto"/>
              <w:contextualSpacing/>
              <w:rPr>
                <w:rFonts w:cs="Times New Roman"/>
                <w:color w:val="000000" w:themeColor="text1"/>
                <w:sz w:val="20"/>
                <w:szCs w:val="20"/>
                <w:shd w:val="clear" w:color="auto" w:fill="FFFFFF"/>
              </w:rPr>
            </w:pPr>
            <w:proofErr w:type="spellStart"/>
            <w:r w:rsidRPr="009A7518">
              <w:rPr>
                <w:rFonts w:cs="Times New Roman"/>
                <w:color w:val="000000" w:themeColor="text1"/>
                <w:sz w:val="20"/>
                <w:szCs w:val="20"/>
                <w:shd w:val="clear" w:color="auto" w:fill="FFFFFF"/>
              </w:rPr>
              <w:t>Bloomgren</w:t>
            </w:r>
            <w:proofErr w:type="spellEnd"/>
            <w:r w:rsidRPr="009A7518">
              <w:rPr>
                <w:rFonts w:cs="Times New Roman"/>
                <w:color w:val="000000" w:themeColor="text1"/>
                <w:sz w:val="20"/>
                <w:szCs w:val="20"/>
                <w:shd w:val="clear" w:color="auto" w:fill="FFFFFF"/>
              </w:rPr>
              <w:t xml:space="preserve"> et al., 2012</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{"citationID":"mBxvp1Zb","properties":{"formattedCitation":"(11)","plainCitation":"(11)","noteIndex":0},"citationItems":[{"id":575,"uris":["http://zotero.org/users/local/DBM3sz94/items/PCMFWZWJ"],"itemData":{"id":575,"type":"article-journal","abstract":"Background\nIntramuscular interferon beta-1a (IFNβ-1a), a multiple sclerosis (MS) therapy that has been commercially available for over a decade, provides a unique opportunity to retrospectively assess postmarketing data for evidence of malignancy risk, compared with relatively limited data available for more recently approved therapies. Postmarketing and claims data were analyzed to determine the risk of malignancy in MS patients treated with intramuscular IFNβ-1a.\n\nMaterials and methods\nThe cumulative reporting rates of suspected adverse drug reactions coded to malignancy in the intramuscular IFNβ-1a global safety database were compared with malignancy incidence rates in the World Health Organization GLOBOCAN database. In addition, using data from a large US claims database, the cumulative prevalence of malignancy in MS patients treated with intramuscular IFNβ-1a was compared with non-MS population controls, MS patients without intramuscular IFNβ-1a use, and untreated MS patients. Mean follow-up was approximately 3 years for all groups, ie, 3.1 years for the intramuscular IFNβ-1a group (range 0.02–6.0 years), 2.6 years for non-MS population controls (range 0–6.0 years), 2.6 years for the intramuscular IFNβ-1a nonuse group (range 0.01–6.0 years), and 2.4 years for the untreated MS group (range 0.01–6.0 years).\n\nResults\nAn estimated 402,250 patients received intramuscular IFNβ-1a during the postmarketing period. Cumulative reporting rates of malignancy in this population were consistent with GLOBOCAN incidence rates observed within the general population. The claims database included 12,894 MS patients who received intramuscular IFNβ-1a. No significant difference in malignancy prevalence was observed in intramuscular IFNβ-1a users compared with other groups.\n\nConclusion\nResults from this evaluation provide no evidence of an increased risk of malignancy with intramuscular IFNβ-1a use.","container-title":"Therapeutics and Clinical Risk Management","DOI":"10.2147/TCRM.S31347","ISSN":"1176-6336","journalAbbreviation":"Ther Clin Risk Manag","note":"PMID: 22767995\nPMCID: PMC3387830","page":"313-321","source":"PubMed Central","title":"Assessment of malignancy risk in patients with multiple sclerosis treated with intramuscular interferon beta-1a: retrospective evaluation using a health insurance claims database and postmarketing surveillance data","title-short":"Assessment of malignancy risk in patients with multiple sclerosis treated with intramuscular interferon beta-1a","volume":"8","author":[{"family":"Bloomgren","given":"Gary"},{"family":"Sperling","given":"Bjørn"},{"family":"Cushing","given":"Kimberly"},{"family":"Wenten","given":"Madé"}],"issued":{"date-parts":[["2012"]]}}}],"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(11)</w:t>
            </w:r>
            <w:r w:rsidRPr="009A7518">
              <w:rPr>
                <w:rFonts w:cs="Times New Roman"/>
                <w:color w:val="000000" w:themeColor="text1"/>
                <w:sz w:val="20"/>
                <w:szCs w:val="20"/>
                <w:shd w:val="clear" w:color="auto" w:fill="FFFFFF"/>
              </w:rPr>
              <w:fldChar w:fldCharType="end"/>
            </w:r>
            <w:r w:rsidRPr="009A7518">
              <w:rPr>
                <w:rFonts w:cs="Times New Roman"/>
                <w:color w:val="000000" w:themeColor="text1"/>
                <w:sz w:val="20"/>
                <w:szCs w:val="20"/>
                <w:shd w:val="clear" w:color="auto" w:fill="FFFFFF"/>
              </w:rPr>
              <w:t xml:space="preserve"> </w:t>
            </w:r>
          </w:p>
        </w:tc>
        <w:tc>
          <w:tcPr>
            <w:tcW w:w="1417" w:type="dxa"/>
            <w:gridSpan w:val="2"/>
          </w:tcPr>
          <w:p w14:paraId="567D8D5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Observational study  </w:t>
            </w:r>
          </w:p>
        </w:tc>
        <w:tc>
          <w:tcPr>
            <w:tcW w:w="1276" w:type="dxa"/>
            <w:gridSpan w:val="2"/>
          </w:tcPr>
          <w:p w14:paraId="29A4A59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North America</w:t>
            </w:r>
          </w:p>
        </w:tc>
        <w:tc>
          <w:tcPr>
            <w:tcW w:w="1276" w:type="dxa"/>
            <w:gridSpan w:val="2"/>
          </w:tcPr>
          <w:p w14:paraId="2C70666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402,250 patients</w:t>
            </w:r>
          </w:p>
        </w:tc>
        <w:tc>
          <w:tcPr>
            <w:tcW w:w="1134" w:type="dxa"/>
            <w:gridSpan w:val="2"/>
          </w:tcPr>
          <w:p w14:paraId="6F16004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1996-2011</w:t>
            </w:r>
          </w:p>
        </w:tc>
        <w:tc>
          <w:tcPr>
            <w:tcW w:w="1559" w:type="dxa"/>
            <w:gridSpan w:val="2"/>
          </w:tcPr>
          <w:p w14:paraId="3A162CE4"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Interferon</w:t>
            </w:r>
            <w:r w:rsidRPr="009A7518">
              <w:rPr>
                <w:rFonts w:cs="Times New Roman"/>
                <w:color w:val="000000" w:themeColor="text1"/>
                <w:sz w:val="20"/>
                <w:szCs w:val="20"/>
              </w:rPr>
              <w:sym w:font="Symbol" w:char="F062"/>
            </w:r>
            <w:r w:rsidRPr="009A7518">
              <w:rPr>
                <w:rFonts w:cs="Times New Roman"/>
                <w:color w:val="000000" w:themeColor="text1"/>
                <w:sz w:val="20"/>
                <w:szCs w:val="20"/>
              </w:rPr>
              <w:t xml:space="preserve">-1a </w:t>
            </w:r>
          </w:p>
        </w:tc>
        <w:tc>
          <w:tcPr>
            <w:tcW w:w="2552" w:type="dxa"/>
            <w:gridSpan w:val="2"/>
          </w:tcPr>
          <w:p w14:paraId="7FC4F32D"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 xml:space="preserve">Overall cancer incidence NR.  Sub analyses performed for individual cancer types did not show increased cancer risk. </w:t>
            </w:r>
          </w:p>
        </w:tc>
        <w:tc>
          <w:tcPr>
            <w:tcW w:w="2409" w:type="dxa"/>
            <w:gridSpan w:val="2"/>
          </w:tcPr>
          <w:p w14:paraId="41B20912" w14:textId="0D3047C1"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6612DDF7" w14:textId="40887AEC" w:rsidR="00D16970" w:rsidRDefault="00D16970" w:rsidP="00B967CB">
            <w:pPr>
              <w:spacing w:line="276" w:lineRule="auto"/>
              <w:contextualSpacing/>
              <w:rPr>
                <w:rFonts w:cs="Times New Roman"/>
                <w:sz w:val="20"/>
                <w:szCs w:val="20"/>
              </w:rPr>
            </w:pPr>
            <w:r w:rsidRPr="009A7518">
              <w:rPr>
                <w:rFonts w:cs="Times New Roman"/>
                <w:sz w:val="20"/>
                <w:szCs w:val="20"/>
              </w:rPr>
              <w:t xml:space="preserve">Cervical cancer </w:t>
            </w:r>
          </w:p>
          <w:p w14:paraId="40881B34" w14:textId="77777777" w:rsidR="00B967CB" w:rsidRPr="009A7518" w:rsidRDefault="00B967CB" w:rsidP="00B967CB">
            <w:pPr>
              <w:spacing w:line="276" w:lineRule="auto"/>
              <w:contextualSpacing/>
              <w:rPr>
                <w:rFonts w:cs="Times New Roman"/>
                <w:sz w:val="20"/>
                <w:szCs w:val="20"/>
              </w:rPr>
            </w:pPr>
          </w:p>
          <w:p w14:paraId="7CDA322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Cumulative reporting rate 0.83 per 100 000 p/years (95% CI 0.4–1.5)</w:t>
            </w:r>
          </w:p>
          <w:p w14:paraId="59C40CAA" w14:textId="77777777" w:rsidR="00D16970" w:rsidRPr="009A7518" w:rsidRDefault="00D16970" w:rsidP="00B967CB">
            <w:pPr>
              <w:spacing w:line="276" w:lineRule="auto"/>
              <w:contextualSpacing/>
              <w:rPr>
                <w:rFonts w:cs="Times New Roman"/>
                <w:sz w:val="20"/>
                <w:szCs w:val="20"/>
              </w:rPr>
            </w:pPr>
          </w:p>
          <w:p w14:paraId="5126BCA2" w14:textId="4EE09231"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561F7BC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Cervical cancer </w:t>
            </w:r>
          </w:p>
          <w:p w14:paraId="10DB59F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Interferon</w:t>
            </w:r>
            <w:r w:rsidRPr="009A7518">
              <w:rPr>
                <w:rFonts w:cs="Times New Roman"/>
                <w:sz w:val="20"/>
                <w:szCs w:val="20"/>
              </w:rPr>
              <w:sym w:font="Symbol" w:char="F062"/>
            </w:r>
            <w:r w:rsidRPr="009A7518">
              <w:rPr>
                <w:rFonts w:cs="Times New Roman"/>
                <w:sz w:val="20"/>
                <w:szCs w:val="20"/>
              </w:rPr>
              <w:t>-1a vs general population</w:t>
            </w:r>
          </w:p>
          <w:p w14:paraId="4A17B4D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OR 0.11 (95% CI 0.01 -0.79, p = 0.002)</w:t>
            </w:r>
          </w:p>
          <w:p w14:paraId="0A829BD1" w14:textId="77777777" w:rsidR="00D16970" w:rsidRPr="009A7518" w:rsidRDefault="00D16970" w:rsidP="00B967CB">
            <w:pPr>
              <w:spacing w:line="276" w:lineRule="auto"/>
              <w:contextualSpacing/>
              <w:rPr>
                <w:rFonts w:cs="Times New Roman"/>
                <w:sz w:val="20"/>
                <w:szCs w:val="20"/>
              </w:rPr>
            </w:pPr>
          </w:p>
          <w:p w14:paraId="4FA05B5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-1a vs MS Interferon</w:t>
            </w:r>
            <w:r w:rsidRPr="009A7518">
              <w:rPr>
                <w:rFonts w:cs="Times New Roman"/>
                <w:sz w:val="20"/>
                <w:szCs w:val="20"/>
              </w:rPr>
              <w:sym w:font="Symbol" w:char="F062"/>
            </w:r>
            <w:r w:rsidRPr="009A7518">
              <w:rPr>
                <w:rFonts w:cs="Times New Roman"/>
                <w:sz w:val="20"/>
                <w:szCs w:val="20"/>
              </w:rPr>
              <w:t>-1a non-users</w:t>
            </w:r>
          </w:p>
          <w:p w14:paraId="55DE191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OR 0.22 (95% CI 0.03–1.74, p= 0.082)</w:t>
            </w:r>
          </w:p>
          <w:p w14:paraId="44745494" w14:textId="77777777" w:rsidR="00D16970" w:rsidRPr="009A7518" w:rsidRDefault="00D16970" w:rsidP="00B967CB">
            <w:pPr>
              <w:spacing w:line="276" w:lineRule="auto"/>
              <w:contextualSpacing/>
              <w:rPr>
                <w:rFonts w:cs="Times New Roman"/>
                <w:sz w:val="20"/>
                <w:szCs w:val="20"/>
              </w:rPr>
            </w:pPr>
          </w:p>
          <w:p w14:paraId="3DDD7C7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w:t>
            </w:r>
            <w:r w:rsidRPr="009A7518">
              <w:rPr>
                <w:rFonts w:cs="Times New Roman"/>
                <w:sz w:val="20"/>
                <w:szCs w:val="20"/>
              </w:rPr>
              <w:sym w:font="Symbol" w:char="F062"/>
            </w:r>
            <w:r w:rsidRPr="009A7518">
              <w:rPr>
                <w:rFonts w:cs="Times New Roman"/>
                <w:sz w:val="20"/>
                <w:szCs w:val="20"/>
              </w:rPr>
              <w:t xml:space="preserve">-1a vs untreated MS </w:t>
            </w:r>
          </w:p>
          <w:p w14:paraId="74FCE51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OR 0.20 (95% CI 0.02–0.71, p = 0.88)</w:t>
            </w:r>
          </w:p>
        </w:tc>
        <w:tc>
          <w:tcPr>
            <w:tcW w:w="2127" w:type="dxa"/>
            <w:gridSpan w:val="2"/>
          </w:tcPr>
          <w:p w14:paraId="24EE0AA9" w14:textId="103D717C"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No significant difference in malignancy prevalence in intramuscular IFNβ-1a users</w:t>
            </w:r>
            <w:r w:rsidR="00B967CB">
              <w:rPr>
                <w:rFonts w:cs="Times New Roman"/>
                <w:sz w:val="20"/>
                <w:szCs w:val="20"/>
              </w:rPr>
              <w:t>.</w:t>
            </w:r>
          </w:p>
          <w:p w14:paraId="5B1BC4BE" w14:textId="77777777" w:rsidR="00D16970" w:rsidRPr="009A7518" w:rsidRDefault="00D16970" w:rsidP="00B967CB">
            <w:pPr>
              <w:spacing w:line="276" w:lineRule="auto"/>
              <w:contextualSpacing/>
              <w:rPr>
                <w:rFonts w:cs="Times New Roman"/>
                <w:sz w:val="20"/>
                <w:szCs w:val="20"/>
              </w:rPr>
            </w:pPr>
          </w:p>
          <w:p w14:paraId="53579493" w14:textId="18552F34" w:rsidR="00D16970" w:rsidRPr="009A7518" w:rsidRDefault="00D16970" w:rsidP="00B967CB">
            <w:pPr>
              <w:spacing w:line="276" w:lineRule="auto"/>
              <w:contextualSpacing/>
              <w:rPr>
                <w:rFonts w:cs="Times New Roman"/>
                <w:sz w:val="20"/>
                <w:szCs w:val="20"/>
              </w:rPr>
            </w:pPr>
            <w:r w:rsidRPr="009A7518">
              <w:rPr>
                <w:rFonts w:cs="Times New Roman"/>
                <w:sz w:val="20"/>
                <w:szCs w:val="20"/>
              </w:rPr>
              <w:t>Reduced risk of cervical cancer seen in patients treated with Interferon</w:t>
            </w:r>
            <w:r w:rsidRPr="009A7518">
              <w:rPr>
                <w:rFonts w:cs="Times New Roman"/>
                <w:sz w:val="20"/>
                <w:szCs w:val="20"/>
              </w:rPr>
              <w:sym w:font="Symbol" w:char="F062"/>
            </w:r>
            <w:r w:rsidRPr="009A7518">
              <w:rPr>
                <w:rFonts w:cs="Times New Roman"/>
                <w:sz w:val="20"/>
                <w:szCs w:val="20"/>
              </w:rPr>
              <w:t xml:space="preserve">-1a </w:t>
            </w:r>
            <w:r w:rsidRPr="009A7518">
              <w:rPr>
                <w:rFonts w:cs="Times New Roman"/>
                <w:sz w:val="20"/>
                <w:szCs w:val="20"/>
              </w:rPr>
              <w:lastRenderedPageBreak/>
              <w:t>compared with the general population</w:t>
            </w:r>
            <w:r w:rsidR="00B967CB">
              <w:rPr>
                <w:rFonts w:cs="Times New Roman"/>
                <w:sz w:val="20"/>
                <w:szCs w:val="20"/>
              </w:rPr>
              <w:t>.</w:t>
            </w:r>
            <w:r w:rsidRPr="009A7518">
              <w:rPr>
                <w:rFonts w:cs="Times New Roman"/>
                <w:sz w:val="20"/>
                <w:szCs w:val="20"/>
              </w:rPr>
              <w:t xml:space="preserve"> </w:t>
            </w:r>
          </w:p>
          <w:p w14:paraId="61EBA64A" w14:textId="77777777" w:rsidR="00D16970" w:rsidRPr="009A7518" w:rsidRDefault="00D16970" w:rsidP="00B967CB">
            <w:pPr>
              <w:spacing w:line="276" w:lineRule="auto"/>
              <w:contextualSpacing/>
              <w:rPr>
                <w:rFonts w:cs="Times New Roman"/>
                <w:sz w:val="20"/>
                <w:szCs w:val="20"/>
              </w:rPr>
            </w:pPr>
          </w:p>
          <w:p w14:paraId="28574B6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difference in risk of cervical cancer seen in MS patients treated with Interferon</w:t>
            </w:r>
            <w:r w:rsidRPr="009A7518">
              <w:rPr>
                <w:rFonts w:cs="Times New Roman"/>
                <w:sz w:val="20"/>
                <w:szCs w:val="20"/>
              </w:rPr>
              <w:sym w:font="Symbol" w:char="F062"/>
            </w:r>
            <w:r w:rsidRPr="009A7518">
              <w:rPr>
                <w:rFonts w:cs="Times New Roman"/>
                <w:sz w:val="20"/>
                <w:szCs w:val="20"/>
              </w:rPr>
              <w:t>-1a.</w:t>
            </w:r>
          </w:p>
        </w:tc>
      </w:tr>
      <w:tr w:rsidR="00D16970" w:rsidRPr="009A7518" w14:paraId="3F9D9572" w14:textId="77777777" w:rsidTr="00BA7170">
        <w:tc>
          <w:tcPr>
            <w:tcW w:w="1560" w:type="dxa"/>
          </w:tcPr>
          <w:p w14:paraId="212648A7" w14:textId="47B85D7B"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lastRenderedPageBreak/>
              <w:t>Wolinsky</w:t>
            </w:r>
            <w:proofErr w:type="spellEnd"/>
            <w:r w:rsidRPr="009A7518">
              <w:rPr>
                <w:rFonts w:cs="Times New Roman"/>
                <w:sz w:val="20"/>
                <w:szCs w:val="20"/>
              </w:rPr>
              <w:t xml:space="preserve"> et al., 2015</w:t>
            </w:r>
            <w:r w:rsidRPr="009A7518">
              <w:rPr>
                <w:rFonts w:cs="Times New Roman"/>
                <w:sz w:val="20"/>
                <w:szCs w:val="20"/>
              </w:rPr>
              <w:fldChar w:fldCharType="begin"/>
            </w:r>
            <w:r w:rsidR="00B967CB">
              <w:rPr>
                <w:rFonts w:cs="Times New Roman"/>
                <w:sz w:val="20"/>
                <w:szCs w:val="20"/>
              </w:rPr>
              <w:instrText xml:space="preserve"> ADDIN ZOTERO_ITEM CSL_CITATION {"citationID":"dovw8hcB","properties":{"formattedCitation":"(12)","plainCitation":"(12)","noteIndex":0},"citationItems":[{"id":999,"uris":["http://zotero.org/users/local/DBM3sz94/items/TW3I72L6"],"itemData":{"id":999,"type":"article-journal","abstract":"Background: The efﬁcacy and safety of glatiramer acetate (GA) 20 mg/mL once-daily subcutaneous injections (GA20) in relapsing-remitting multiple sclerosis (RRMS) is well-established. However, injection-related adverse events (IRAEs) may impede treatment adherence and tolerability. GA 40 mg/mL three-times weekly (GA40) also has a favorable efﬁcacy and safety proﬁle.\nObjective: To evaluate the safety, tolerability, and patient experience when converting from GA20 to GA40.\nMethods/trial design: GLACIER was an open-label, randomized, parallel-group trial conducted at 31 sites in the US between June 2013 and December 2013. Stable RRMS patients on GA20 were randomized in a 1:1 ratio to continue with GA20 or convert to GA40. The adjusted mean annualized rate of IRAEs was the primary endpoint for this study. Additionally, the severity of IRAEs, rate of injection-site reactions (ISRs), and patient-reported MS impact and treatment satisfaction were compared for the two treatment groups over the 4-month core study.\nResults: A total of 209 patients were randomized to convert to GA40 (n¼ 108) or continue with GA20 (n¼101). The adjusted mean annualized rate of IRAEs was reduced by 50% with GA40 (35.3 events per year; n¼ 108) versus GA20 (70.4 events per year; n¼ 101) (risk ratio (RR)¼ 0.50; 95% conﬁdence interval [CI]¼ 0.34–0.74; p¼ 0.0006). There was a 60% reduction in the rate of moderate/severe events (GA40 (n¼ 108): 0.9 events per year versus GA20 (n¼101): 2.2 events per year; RR¼ 0.40; p¼0.0021). Perception of treatment convenience improved for GA40-treated patients soon after converting and was sustained.\nConclusions: The GLACIER study demonstrates a favorable IRAE and convenience proﬁle of GA40 for RRMS patients. Trial registration: NCT01874145 available at clinicaltrial.gov. &amp; 2015 The Authors. Published by Elsevier B.V. This is an open access article under the CC BY-NC-ND license (http://creativecommons.org/licenses/by-nc-nd/4.0/).","container-title":"Multiple Sclerosis and Related Disorders","DOI":"10.1016/j.msard.2015.06.005","ISSN":"22110348","issue":"4","journalAbbreviation":"Multiple Sclerosis and Related Disorders","language":"en","page":"370-376","source":"DOI.org (Crossref)","title":"GLACIER: An open-label, randomized, multicenter study to assess the safety and tolerability of glatiramer acetate 40mg three-times weekly versus 20mg daily in patients with relapsing-remitting multiple sclerosis","title-short":"GLACIER","volume":"4","author":[{"family":"Wolinsky","given":"Jerry S."},{"family":"Borresen","given":"T. Erik"},{"family":"Dietrich","given":"Dennis W"},{"family":"Wynn","given":"Daniel"},{"family":"Sidi","given":"Yulia"},{"family":"Steinerman","given":"Joshua R."},{"family":"Knappertz","given":"Volker"},{"family":"Kolodny","given":"Scott"}],"issued":{"date-parts":[["2015",7]]}}}],"schema":"https://github.com/citation-style-language/schema/raw/master/csl-citation.json"}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(12)</w:t>
            </w:r>
            <w:r w:rsidRPr="009A7518">
              <w:rPr>
                <w:rFonts w:cs="Times New Roman"/>
                <w:sz w:val="20"/>
                <w:szCs w:val="20"/>
              </w:rPr>
              <w:fldChar w:fldCharType="end"/>
            </w:r>
            <w:r w:rsidRPr="009A7518">
              <w:rPr>
                <w:rFonts w:cs="Times New Roman"/>
                <w:sz w:val="20"/>
                <w:szCs w:val="20"/>
              </w:rPr>
              <w:t xml:space="preserve"> </w:t>
            </w:r>
          </w:p>
          <w:p w14:paraId="54BDEF7B" w14:textId="77777777" w:rsidR="00D16970" w:rsidRPr="009A7518" w:rsidRDefault="00D16970" w:rsidP="00B967CB">
            <w:pPr>
              <w:spacing w:line="276" w:lineRule="auto"/>
              <w:contextualSpacing/>
              <w:rPr>
                <w:rFonts w:cs="Times New Roman"/>
                <w:sz w:val="20"/>
                <w:szCs w:val="20"/>
              </w:rPr>
            </w:pPr>
          </w:p>
          <w:p w14:paraId="1599201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GLACIER</w:t>
            </w:r>
          </w:p>
          <w:p w14:paraId="2E710D7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NCT01874145</w:t>
            </w:r>
          </w:p>
          <w:p w14:paraId="421E526A"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tc>
        <w:tc>
          <w:tcPr>
            <w:tcW w:w="1417" w:type="dxa"/>
            <w:gridSpan w:val="2"/>
          </w:tcPr>
          <w:p w14:paraId="204C9197"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 xml:space="preserve">Phase 3 </w:t>
            </w:r>
            <w:proofErr w:type="spellStart"/>
            <w:r>
              <w:rPr>
                <w:rFonts w:cs="Times New Roman"/>
                <w:color w:val="000000"/>
                <w:sz w:val="20"/>
                <w:szCs w:val="20"/>
                <w:shd w:val="clear" w:color="auto" w:fill="FFFFFF"/>
              </w:rPr>
              <w:t>Randomised</w:t>
            </w:r>
            <w:proofErr w:type="spellEnd"/>
            <w:r w:rsidRPr="009A7518">
              <w:rPr>
                <w:rFonts w:cs="Times New Roman"/>
                <w:color w:val="000000"/>
                <w:sz w:val="20"/>
                <w:szCs w:val="20"/>
                <w:shd w:val="clear" w:color="auto" w:fill="FFFFFF"/>
              </w:rPr>
              <w:t>, Parallel-Arm Study</w:t>
            </w:r>
          </w:p>
          <w:p w14:paraId="347A029B" w14:textId="77777777" w:rsidR="00D16970" w:rsidRPr="009A7518" w:rsidRDefault="00D16970" w:rsidP="00B967CB">
            <w:pPr>
              <w:spacing w:line="276" w:lineRule="auto"/>
              <w:contextualSpacing/>
              <w:rPr>
                <w:rFonts w:cs="Times New Roman"/>
                <w:sz w:val="20"/>
                <w:szCs w:val="20"/>
              </w:rPr>
            </w:pPr>
          </w:p>
        </w:tc>
        <w:tc>
          <w:tcPr>
            <w:tcW w:w="1276" w:type="dxa"/>
            <w:gridSpan w:val="2"/>
          </w:tcPr>
          <w:p w14:paraId="47C2C95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16B361C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209 GA</w:t>
            </w:r>
          </w:p>
        </w:tc>
        <w:tc>
          <w:tcPr>
            <w:tcW w:w="1134" w:type="dxa"/>
            <w:gridSpan w:val="2"/>
          </w:tcPr>
          <w:p w14:paraId="7AB9FDB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2013-2014 </w:t>
            </w:r>
          </w:p>
        </w:tc>
        <w:tc>
          <w:tcPr>
            <w:tcW w:w="1559" w:type="dxa"/>
            <w:gridSpan w:val="2"/>
          </w:tcPr>
          <w:p w14:paraId="4C46E55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GA</w:t>
            </w:r>
          </w:p>
        </w:tc>
        <w:tc>
          <w:tcPr>
            <w:tcW w:w="2552" w:type="dxa"/>
            <w:gridSpan w:val="2"/>
          </w:tcPr>
          <w:p w14:paraId="56DA0E1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cancer reported </w:t>
            </w:r>
          </w:p>
        </w:tc>
        <w:tc>
          <w:tcPr>
            <w:tcW w:w="2409" w:type="dxa"/>
            <w:gridSpan w:val="2"/>
          </w:tcPr>
          <w:p w14:paraId="065BFC2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11E60013" w14:textId="77777777" w:rsidR="00D16970" w:rsidRPr="009A7518" w:rsidRDefault="00D16970" w:rsidP="00B967CB">
            <w:pPr>
              <w:spacing w:line="276" w:lineRule="auto"/>
              <w:contextualSpacing/>
              <w:rPr>
                <w:rFonts w:cs="Times New Roman"/>
                <w:sz w:val="20"/>
                <w:szCs w:val="20"/>
              </w:rPr>
            </w:pPr>
          </w:p>
        </w:tc>
      </w:tr>
      <w:tr w:rsidR="00D16970" w:rsidRPr="009A7518" w14:paraId="59D26ECE" w14:textId="77777777" w:rsidTr="00BA7170">
        <w:tc>
          <w:tcPr>
            <w:tcW w:w="15310" w:type="dxa"/>
            <w:gridSpan w:val="17"/>
          </w:tcPr>
          <w:p w14:paraId="1B7B0744"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Moderate- or High-Efficacy Therapies</w:t>
            </w:r>
          </w:p>
        </w:tc>
      </w:tr>
      <w:tr w:rsidR="00D16970" w:rsidRPr="009A7518" w14:paraId="6A14BC89" w14:textId="77777777" w:rsidTr="00BA7170">
        <w:tc>
          <w:tcPr>
            <w:tcW w:w="15310" w:type="dxa"/>
            <w:gridSpan w:val="17"/>
            <w:tcBorders>
              <w:bottom w:val="single" w:sz="4" w:space="0" w:color="000000"/>
            </w:tcBorders>
          </w:tcPr>
          <w:p w14:paraId="78F1AA07"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Dimethyl-Fumarate </w:t>
            </w:r>
          </w:p>
        </w:tc>
      </w:tr>
      <w:tr w:rsidR="00D16970" w:rsidRPr="009A7518" w14:paraId="03210170" w14:textId="77777777" w:rsidTr="00BA7170">
        <w:tc>
          <w:tcPr>
            <w:tcW w:w="1595" w:type="dxa"/>
            <w:gridSpan w:val="2"/>
            <w:tcBorders>
              <w:top w:val="single" w:sz="4" w:space="0" w:color="000000"/>
              <w:bottom w:val="single" w:sz="4" w:space="0" w:color="000000"/>
              <w:right w:val="single" w:sz="4" w:space="0" w:color="000000"/>
            </w:tcBorders>
          </w:tcPr>
          <w:p w14:paraId="3891C67C" w14:textId="29BF970A" w:rsidR="00D16970" w:rsidRPr="009A7518" w:rsidRDefault="00D16970" w:rsidP="00B967CB">
            <w:pPr>
              <w:spacing w:line="276" w:lineRule="auto"/>
              <w:contextualSpacing/>
              <w:rPr>
                <w:rFonts w:cs="Times New Roman"/>
                <w:sz w:val="20"/>
                <w:szCs w:val="20"/>
              </w:rPr>
            </w:pPr>
            <w:r w:rsidRPr="009A7518">
              <w:rPr>
                <w:rFonts w:cs="Times New Roman"/>
                <w:sz w:val="20"/>
                <w:szCs w:val="20"/>
              </w:rPr>
              <w:t>Gold et al., 2012</w:t>
            </w:r>
            <w:r w:rsidRPr="009A7518">
              <w:rPr>
                <w:rFonts w:cs="Times New Roman"/>
                <w:sz w:val="20"/>
                <w:szCs w:val="20"/>
              </w:rPr>
              <w:fldChar w:fldCharType="begin"/>
            </w:r>
            <w:r w:rsidR="00B967CB">
              <w:rPr>
                <w:rFonts w:cs="Times New Roman"/>
                <w:sz w:val="20"/>
                <w:szCs w:val="20"/>
              </w:rPr>
              <w:instrText xml:space="preserve"> ADDIN ZOTERO_ITEM CSL_CITATION {"citationID":"a1172rjfm0j","properties":{"formattedCitation":"(13)","plainCitation":"(13)","noteIndex":0},"citationItems":[{"id":1600,"uris":["http://zotero.org/users/local/DBM3sz94/items/WV7KX4JW"],"itemData":{"id":1600,"type":"article-journal","abstract":"Oral BG-12 (dimethyl fumarate) is being investigated for the treatment of multiple sclerosis. Inflammation and oxidative stress are central pathologic factors in multiple sclerosis.1,2 Immune cell activation and infiltration into the central nervous system are thought to result in widespread cellular damage, potentially owing to the dysregulated production and release of reactive oxygen and nitrogen species, such as hydrogen peroxide and peroxynitrite, and proinflammatory stimuli.3 This combination of toxic factors ultimately results in demyelination and neurodegeneration, causing disease activity and progression of disability. BG-12 has been shown to have beneficial effects in preclinical models of neuroinflammation, neurodegeneration, and toxic . . .","container-title":"New England Journal of Medicine","DOI":"10.1056/NEJMoa1114287","ISSN":"0028-4793","issue":"12","note":"publisher: Massachusetts Medical Society\n_eprint: https://doi.org/10.1056/NEJMoa1114287\nPMID: 22992073","page":"1098-1107","source":"Taylor and Francis+NEJM","title":"Placebo-Controlled Phase 3 Study of Oral BG-12 for Relapsing Multiple Sclerosis","volume":"367","author":[{"family":"Gold","given":"Ralf"},{"family":"Kappos","given":"Ludwig"},{"family":"Arnold","given":"Douglas L."},{"family":"Bar-Or","given":"Amit"},{"family":"Giovannoni","given":"Gavin"},{"family":"Selmaj","given":"Krzysztof"},{"family":"Tornatore","given":"Carlo"},{"family":"Sweetser","given":"Marianne T."},{"family":"Yang","given":"Minhua"},{"family":"Sheikh","given":"Sarah I."},{"family":"Dawson","given":"Katherine T."}],"issued":{"date-parts":[["2012",9,20]]}}}],"schema":"https://github.com/citation-style-language/schema/raw/master/csl-citation.json"}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(13)</w:t>
            </w:r>
            <w:r w:rsidRPr="009A7518">
              <w:rPr>
                <w:rFonts w:cs="Times New Roman"/>
                <w:sz w:val="20"/>
                <w:szCs w:val="20"/>
              </w:rPr>
              <w:fldChar w:fldCharType="end"/>
            </w:r>
          </w:p>
          <w:p w14:paraId="4B786068" w14:textId="77777777" w:rsidR="00D16970" w:rsidRPr="009A7518" w:rsidRDefault="00D16970" w:rsidP="00B967CB">
            <w:pPr>
              <w:spacing w:line="276" w:lineRule="auto"/>
              <w:contextualSpacing/>
              <w:rPr>
                <w:rFonts w:cs="Times New Roman"/>
                <w:sz w:val="20"/>
                <w:szCs w:val="20"/>
              </w:rPr>
            </w:pPr>
          </w:p>
          <w:p w14:paraId="64175C0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DEFINE</w:t>
            </w:r>
          </w:p>
          <w:p w14:paraId="6F3382F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NCT00420212</w:t>
            </w:r>
          </w:p>
          <w:p w14:paraId="26341D91" w14:textId="77777777" w:rsidR="00D16970" w:rsidRPr="009A7518" w:rsidRDefault="00D16970" w:rsidP="00B967CB">
            <w:pPr>
              <w:spacing w:line="276" w:lineRule="auto"/>
              <w:contextualSpacing/>
              <w:rPr>
                <w:rFonts w:cs="Times New Roman"/>
                <w:b/>
                <w:bCs/>
                <w:sz w:val="20"/>
                <w:szCs w:val="20"/>
              </w:rPr>
            </w:pPr>
          </w:p>
        </w:tc>
        <w:tc>
          <w:tcPr>
            <w:tcW w:w="1409" w:type="dxa"/>
            <w:gridSpan w:val="2"/>
            <w:tcBorders>
              <w:top w:val="single" w:sz="4" w:space="0" w:color="000000"/>
              <w:left w:val="single" w:sz="4" w:space="0" w:color="000000"/>
              <w:bottom w:val="single" w:sz="4" w:space="0" w:color="000000"/>
              <w:right w:val="single" w:sz="4" w:space="0" w:color="000000"/>
            </w:tcBorders>
          </w:tcPr>
          <w:p w14:paraId="385F0371"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 placebo-controlled trial</w:t>
            </w:r>
          </w:p>
        </w:tc>
        <w:tc>
          <w:tcPr>
            <w:tcW w:w="1295" w:type="dxa"/>
            <w:gridSpan w:val="2"/>
            <w:tcBorders>
              <w:top w:val="single" w:sz="4" w:space="0" w:color="000000"/>
              <w:left w:val="single" w:sz="4" w:space="0" w:color="000000"/>
              <w:bottom w:val="single" w:sz="4" w:space="0" w:color="000000"/>
              <w:right w:val="single" w:sz="4" w:space="0" w:color="000000"/>
            </w:tcBorders>
          </w:tcPr>
          <w:p w14:paraId="3013CFA2"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64" w:type="dxa"/>
            <w:gridSpan w:val="2"/>
            <w:tcBorders>
              <w:top w:val="single" w:sz="4" w:space="0" w:color="000000"/>
              <w:left w:val="single" w:sz="4" w:space="0" w:color="000000"/>
              <w:bottom w:val="single" w:sz="4" w:space="0" w:color="000000"/>
              <w:right w:val="single" w:sz="4" w:space="0" w:color="000000"/>
            </w:tcBorders>
          </w:tcPr>
          <w:p w14:paraId="03113B9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556 DMF </w:t>
            </w:r>
          </w:p>
          <w:p w14:paraId="4726E89E"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408 Placebo</w:t>
            </w:r>
            <w:r w:rsidRPr="009A7518">
              <w:rPr>
                <w:rFonts w:cs="Times New Roman"/>
                <w:b/>
                <w:bCs/>
                <w:sz w:val="20"/>
                <w:szCs w:val="20"/>
              </w:rPr>
              <w:t xml:space="preserve"> </w:t>
            </w:r>
          </w:p>
        </w:tc>
        <w:tc>
          <w:tcPr>
            <w:tcW w:w="1119" w:type="dxa"/>
            <w:gridSpan w:val="2"/>
            <w:tcBorders>
              <w:top w:val="single" w:sz="4" w:space="0" w:color="000000"/>
              <w:left w:val="single" w:sz="4" w:space="0" w:color="000000"/>
              <w:bottom w:val="single" w:sz="4" w:space="0" w:color="000000"/>
              <w:right w:val="single" w:sz="4" w:space="0" w:color="000000"/>
            </w:tcBorders>
          </w:tcPr>
          <w:p w14:paraId="3AB6BF0E"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2007-2011</w:t>
            </w:r>
          </w:p>
        </w:tc>
        <w:tc>
          <w:tcPr>
            <w:tcW w:w="1554" w:type="dxa"/>
            <w:gridSpan w:val="2"/>
            <w:tcBorders>
              <w:top w:val="single" w:sz="4" w:space="0" w:color="000000"/>
              <w:left w:val="single" w:sz="4" w:space="0" w:color="000000"/>
              <w:bottom w:val="single" w:sz="4" w:space="0" w:color="000000"/>
              <w:right w:val="single" w:sz="4" w:space="0" w:color="000000"/>
            </w:tcBorders>
          </w:tcPr>
          <w:p w14:paraId="0FCC5BC6"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 xml:space="preserve">DMF </w:t>
            </w:r>
          </w:p>
        </w:tc>
        <w:tc>
          <w:tcPr>
            <w:tcW w:w="2559" w:type="dxa"/>
            <w:gridSpan w:val="2"/>
            <w:tcBorders>
              <w:top w:val="single" w:sz="4" w:space="0" w:color="000000"/>
              <w:left w:val="single" w:sz="4" w:space="0" w:color="000000"/>
              <w:bottom w:val="single" w:sz="4" w:space="0" w:color="000000"/>
              <w:right w:val="single" w:sz="4" w:space="0" w:color="000000"/>
            </w:tcBorders>
          </w:tcPr>
          <w:p w14:paraId="2DE96CAF"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6EFB406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DMF</w:t>
            </w:r>
          </w:p>
          <w:p w14:paraId="37E3810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 (&lt;1%)</w:t>
            </w:r>
          </w:p>
          <w:p w14:paraId="2DDA6F1E" w14:textId="77777777" w:rsidR="00D16970" w:rsidRPr="009A7518" w:rsidRDefault="00D16970" w:rsidP="00B967CB">
            <w:pPr>
              <w:spacing w:line="276" w:lineRule="auto"/>
              <w:contextualSpacing/>
              <w:rPr>
                <w:rFonts w:cs="Times New Roman"/>
                <w:sz w:val="20"/>
                <w:szCs w:val="20"/>
              </w:rPr>
            </w:pPr>
          </w:p>
          <w:p w14:paraId="2FE5AFD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19985C39"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2 (&lt;1%)</w:t>
            </w:r>
          </w:p>
        </w:tc>
        <w:tc>
          <w:tcPr>
            <w:tcW w:w="2414" w:type="dxa"/>
            <w:gridSpan w:val="2"/>
            <w:tcBorders>
              <w:top w:val="single" w:sz="4" w:space="0" w:color="000000"/>
              <w:left w:val="single" w:sz="4" w:space="0" w:color="000000"/>
              <w:bottom w:val="single" w:sz="4" w:space="0" w:color="000000"/>
              <w:right w:val="single" w:sz="4" w:space="0" w:color="000000"/>
            </w:tcBorders>
          </w:tcPr>
          <w:p w14:paraId="0516AD42"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5201797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DMF</w:t>
            </w:r>
          </w:p>
          <w:p w14:paraId="1D9CD44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1(&lt;1%)</w:t>
            </w:r>
          </w:p>
          <w:p w14:paraId="24891ED5" w14:textId="77777777" w:rsidR="00D16970" w:rsidRPr="009A7518" w:rsidRDefault="00D16970" w:rsidP="00B967CB">
            <w:pPr>
              <w:spacing w:line="276" w:lineRule="auto"/>
              <w:contextualSpacing/>
              <w:rPr>
                <w:rFonts w:cs="Times New Roman"/>
                <w:sz w:val="20"/>
                <w:szCs w:val="20"/>
              </w:rPr>
            </w:pPr>
          </w:p>
          <w:p w14:paraId="3B70A63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6BA4BDAE"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0</w:t>
            </w:r>
          </w:p>
        </w:tc>
        <w:tc>
          <w:tcPr>
            <w:tcW w:w="2101" w:type="dxa"/>
            <w:tcBorders>
              <w:top w:val="single" w:sz="4" w:space="0" w:color="000000"/>
              <w:left w:val="single" w:sz="4" w:space="0" w:color="000000"/>
              <w:bottom w:val="single" w:sz="4" w:space="0" w:color="000000"/>
            </w:tcBorders>
          </w:tcPr>
          <w:p w14:paraId="2A0D9D2B" w14:textId="0F7BCACB" w:rsidR="00D16970" w:rsidRPr="009A7518" w:rsidRDefault="00D16970" w:rsidP="00B967CB">
            <w:pPr>
              <w:spacing w:line="276" w:lineRule="auto"/>
              <w:contextualSpacing/>
              <w:rPr>
                <w:rFonts w:cs="Times New Roman"/>
                <w:sz w:val="20"/>
                <w:szCs w:val="20"/>
              </w:rPr>
            </w:pPr>
            <w:r w:rsidRPr="009A7518">
              <w:rPr>
                <w:rFonts w:cs="Times New Roman"/>
                <w:sz w:val="20"/>
                <w:szCs w:val="20"/>
              </w:rPr>
              <w:t>No increased risk of malignancy associated with DMF</w:t>
            </w:r>
            <w:r w:rsidR="00B967CB">
              <w:rPr>
                <w:rFonts w:cs="Times New Roman"/>
                <w:sz w:val="20"/>
                <w:szCs w:val="20"/>
              </w:rPr>
              <w:t>.</w:t>
            </w:r>
          </w:p>
          <w:p w14:paraId="67535642" w14:textId="77777777" w:rsidR="00D16970" w:rsidRPr="009A7518" w:rsidRDefault="00D16970" w:rsidP="00B967CB">
            <w:pPr>
              <w:spacing w:line="276" w:lineRule="auto"/>
              <w:contextualSpacing/>
              <w:rPr>
                <w:rFonts w:cs="Times New Roman"/>
                <w:b/>
                <w:bCs/>
                <w:sz w:val="20"/>
                <w:szCs w:val="20"/>
              </w:rPr>
            </w:pPr>
          </w:p>
        </w:tc>
      </w:tr>
      <w:tr w:rsidR="00D16970" w:rsidRPr="009A7518" w14:paraId="789D8A71" w14:textId="77777777" w:rsidTr="00BA7170">
        <w:tc>
          <w:tcPr>
            <w:tcW w:w="1595" w:type="dxa"/>
            <w:gridSpan w:val="2"/>
            <w:tcBorders>
              <w:top w:val="single" w:sz="4" w:space="0" w:color="000000"/>
              <w:bottom w:val="single" w:sz="4" w:space="0" w:color="000000"/>
              <w:right w:val="single" w:sz="4" w:space="0" w:color="000000"/>
            </w:tcBorders>
          </w:tcPr>
          <w:p w14:paraId="2440E8E6" w14:textId="5F61A1CD" w:rsidR="00D16970" w:rsidRPr="009A7518" w:rsidRDefault="00D16970" w:rsidP="00B967CB">
            <w:pPr>
              <w:spacing w:line="276" w:lineRule="auto"/>
              <w:contextualSpacing/>
              <w:rPr>
                <w:rFonts w:cs="Times New Roman"/>
                <w:sz w:val="20"/>
                <w:szCs w:val="20"/>
              </w:rPr>
            </w:pPr>
            <w:r w:rsidRPr="009A7518">
              <w:rPr>
                <w:rFonts w:cs="Times New Roman"/>
                <w:sz w:val="20"/>
                <w:szCs w:val="20"/>
              </w:rPr>
              <w:t>Gomez-Moreno et al., 2021</w:t>
            </w:r>
            <w:r w:rsidRPr="009A7518">
              <w:rPr>
                <w:rFonts w:cs="Times New Roman"/>
                <w:sz w:val="20"/>
                <w:szCs w:val="20"/>
              </w:rPr>
              <w:fldChar w:fldCharType="begin"/>
            </w:r>
            <w:r w:rsidR="00B967CB">
              <w:rPr>
                <w:rFonts w:cs="Times New Roman"/>
                <w:sz w:val="20"/>
                <w:szCs w:val="20"/>
              </w:rPr>
              <w:instrText xml:space="preserve"> ADDIN ZOTERO_ITEM CSL_CITATION {"citationID":"ai9fqcbaj","properties":{"formattedCitation":"(14)","plainCitation":"(14)","noteIndex":0},"citationItems":[{"id":1492,"uris":["http://zotero.org/users/local/DBM3sz94/items/26WT3J6X"],"itemData":{"id":1492,"type":"article-journal","abstract":"Background\nPotential increase of cancer incidence is one of the main safety concerns of the disease-modifying therapies employed in Multiple Sclerosis (MS).\nObjective\nDetailed description of patients who developed cancer among a prospective cohort of Spanish MS patients on dimethyl fumarate (DMF) treatment.\nMethods\nWe describe patients who developed cancer among a cohort of 886 MS patients on DMF treatment (2681 patient-years), with a median time of exposure of 39.5 months (IQR 23-51.5), who participated in a multicentre and prospective real-world study conducted in 16 Spanish National Health System hospitals from February 2014 to May 2019. Local researchers were periodically contacted by the investigation team to monitor safety issues. Cancer histories were collected from the medical records and the information was updated at July 30th 2020.\nResults\nEight Caucasian women developed cancer, which accounts for 0.9% and an accumulated malignancy rate of 298.39 cases per 100,000 patient-years of DMF exposure. At the time of cancer diagnosis, age was between 33 to 67 years and median time on DMF treatment 16.5 months (range 1-53). Two patients had familiar history of cancer. No specific cancer lines were found (breast cancer in 2 cases, thyroid in 3, urothelial carcinoma, cervix and a progression to leiomyosarcoma from a mitotically active leiomyoma). DMF was withdrawn during cancer treatment in 6 patients and reintroduced later. All cancers except one are in complete remission. The patient with leiomyosarcoma died by cancer progression.\nConclusion\nA relationship between cancers and DMF is unlikely because the malignancy rate was similar to that of the age-and sex-matched general population, and because of the absence of specific tumour cell lines. Nevertheless, as with other immunosuppressive DMTs, clinicians treating MS should be aware of any potential cancer symptom and demand proper testing.","container-title":"Multiple Sclerosis and Related Disorders","DOI":"10.1016/j.msard.2021.102747","ISSN":"2211-0348","journalAbbreviation":"Multiple Sclerosis and Related Disorders","language":"en","page":"102747","source":"ScienceDirect","title":"Cancer diagnosis in a Spanish cohort of multiple sclerosis patients under dimethylfumarate treatment","volume":"49","author":[{"family":"Gómez-Moreno","given":"Mayra"},{"family":"Sánchez-Seco","given":"Victoria Galán"},{"family":"Moreno-García","given":"Sara"},{"family":"Cámara","given":"Paula Salgado"},{"family":"Sabin-Muñoz","given":"Julia"},{"family":"Ayuso-Peralta","given":"Lucia"},{"family":"Oreja-Guevara","given":"Celia"},{"family":"Díaz-Díaz","given":"Judit"},{"family":"Sainz de la Maza","given":"Susana"},{"family":"Costa-Frossard","given":"Lucienne"},{"family":"Pilo de la Fuente","given":"Belén"},{"family":"Aladro-Benito","given":"Yolanda"}],"issued":{"date-parts":[["2021",4,1]]}}}],"schema":"https://github.com/citation-style-language/schema/raw/master/csl-citation.json"}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(14)</w:t>
            </w:r>
            <w:r w:rsidRPr="009A7518">
              <w:rPr>
                <w:rFonts w:cs="Times New Roman"/>
                <w:sz w:val="20"/>
                <w:szCs w:val="20"/>
              </w:rPr>
              <w:fldChar w:fldCharType="end"/>
            </w:r>
          </w:p>
          <w:p w14:paraId="693396C5" w14:textId="77777777" w:rsidR="00D16970" w:rsidRPr="009A7518" w:rsidRDefault="00D16970" w:rsidP="00B967CB">
            <w:pPr>
              <w:spacing w:line="276" w:lineRule="auto"/>
              <w:contextualSpacing/>
              <w:rPr>
                <w:rFonts w:cs="Times New Roman"/>
                <w:sz w:val="20"/>
                <w:szCs w:val="20"/>
              </w:rPr>
            </w:pPr>
          </w:p>
          <w:p w14:paraId="7B2C04E4" w14:textId="77777777" w:rsidR="00D16970" w:rsidRPr="009A7518" w:rsidRDefault="00D16970" w:rsidP="00B967CB">
            <w:pPr>
              <w:spacing w:line="276" w:lineRule="auto"/>
              <w:contextualSpacing/>
              <w:rPr>
                <w:rFonts w:cs="Times New Roman"/>
                <w:b/>
                <w:bCs/>
                <w:sz w:val="20"/>
                <w:szCs w:val="20"/>
              </w:rPr>
            </w:pPr>
          </w:p>
        </w:tc>
        <w:tc>
          <w:tcPr>
            <w:tcW w:w="1409" w:type="dxa"/>
            <w:gridSpan w:val="2"/>
            <w:tcBorders>
              <w:top w:val="single" w:sz="4" w:space="0" w:color="000000"/>
              <w:left w:val="single" w:sz="4" w:space="0" w:color="000000"/>
              <w:bottom w:val="single" w:sz="4" w:space="0" w:color="000000"/>
              <w:right w:val="single" w:sz="4" w:space="0" w:color="000000"/>
            </w:tcBorders>
          </w:tcPr>
          <w:p w14:paraId="62C48C4C"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Non-interventionalist, prospective post-</w:t>
            </w:r>
            <w:r w:rsidRPr="009A7518">
              <w:rPr>
                <w:rFonts w:cs="Times New Roman"/>
                <w:sz w:val="20"/>
                <w:szCs w:val="20"/>
              </w:rPr>
              <w:lastRenderedPageBreak/>
              <w:t xml:space="preserve">marketing study   </w:t>
            </w:r>
          </w:p>
        </w:tc>
        <w:tc>
          <w:tcPr>
            <w:tcW w:w="1295" w:type="dxa"/>
            <w:gridSpan w:val="2"/>
            <w:tcBorders>
              <w:top w:val="single" w:sz="4" w:space="0" w:color="000000"/>
              <w:left w:val="single" w:sz="4" w:space="0" w:color="000000"/>
              <w:bottom w:val="single" w:sz="4" w:space="0" w:color="000000"/>
              <w:right w:val="single" w:sz="4" w:space="0" w:color="000000"/>
            </w:tcBorders>
          </w:tcPr>
          <w:p w14:paraId="294727FC"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lastRenderedPageBreak/>
              <w:t>Spain</w:t>
            </w:r>
          </w:p>
        </w:tc>
        <w:tc>
          <w:tcPr>
            <w:tcW w:w="1264" w:type="dxa"/>
            <w:gridSpan w:val="2"/>
            <w:tcBorders>
              <w:top w:val="single" w:sz="4" w:space="0" w:color="000000"/>
              <w:left w:val="single" w:sz="4" w:space="0" w:color="000000"/>
              <w:bottom w:val="single" w:sz="4" w:space="0" w:color="000000"/>
              <w:right w:val="single" w:sz="4" w:space="0" w:color="000000"/>
            </w:tcBorders>
          </w:tcPr>
          <w:p w14:paraId="29D5C95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886 DMF </w:t>
            </w:r>
          </w:p>
          <w:p w14:paraId="099AADF6" w14:textId="77777777" w:rsidR="00D16970" w:rsidRPr="009A7518" w:rsidRDefault="00D16970" w:rsidP="00B967CB">
            <w:pPr>
              <w:spacing w:line="276" w:lineRule="auto"/>
              <w:contextualSpacing/>
              <w:rPr>
                <w:rFonts w:cs="Times New Roman"/>
                <w:b/>
                <w:bCs/>
                <w:sz w:val="20"/>
                <w:szCs w:val="20"/>
              </w:rPr>
            </w:pPr>
          </w:p>
        </w:tc>
        <w:tc>
          <w:tcPr>
            <w:tcW w:w="1119" w:type="dxa"/>
            <w:gridSpan w:val="2"/>
            <w:tcBorders>
              <w:top w:val="single" w:sz="4" w:space="0" w:color="000000"/>
              <w:left w:val="single" w:sz="4" w:space="0" w:color="000000"/>
              <w:bottom w:val="single" w:sz="4" w:space="0" w:color="000000"/>
              <w:right w:val="single" w:sz="4" w:space="0" w:color="000000"/>
            </w:tcBorders>
          </w:tcPr>
          <w:p w14:paraId="0E105A3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2014-2019</w:t>
            </w:r>
          </w:p>
          <w:p w14:paraId="2460902C" w14:textId="77777777" w:rsidR="00D16970" w:rsidRPr="009A7518" w:rsidRDefault="00D16970" w:rsidP="00B967CB">
            <w:pPr>
              <w:spacing w:line="276" w:lineRule="auto"/>
              <w:contextualSpacing/>
              <w:rPr>
                <w:rFonts w:cs="Times New Roman"/>
                <w:b/>
                <w:bCs/>
                <w:sz w:val="20"/>
                <w:szCs w:val="20"/>
              </w:rPr>
            </w:pPr>
          </w:p>
        </w:tc>
        <w:tc>
          <w:tcPr>
            <w:tcW w:w="1554" w:type="dxa"/>
            <w:gridSpan w:val="2"/>
            <w:tcBorders>
              <w:top w:val="single" w:sz="4" w:space="0" w:color="000000"/>
              <w:left w:val="single" w:sz="4" w:space="0" w:color="000000"/>
              <w:bottom w:val="single" w:sz="4" w:space="0" w:color="000000"/>
              <w:right w:val="single" w:sz="4" w:space="0" w:color="000000"/>
            </w:tcBorders>
          </w:tcPr>
          <w:p w14:paraId="2787AC52"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 xml:space="preserve">DMF </w:t>
            </w:r>
          </w:p>
        </w:tc>
        <w:tc>
          <w:tcPr>
            <w:tcW w:w="2559" w:type="dxa"/>
            <w:gridSpan w:val="2"/>
            <w:tcBorders>
              <w:top w:val="single" w:sz="4" w:space="0" w:color="000000"/>
              <w:left w:val="single" w:sz="4" w:space="0" w:color="000000"/>
              <w:bottom w:val="single" w:sz="4" w:space="0" w:color="000000"/>
              <w:right w:val="single" w:sz="4" w:space="0" w:color="000000"/>
            </w:tcBorders>
          </w:tcPr>
          <w:p w14:paraId="1AEA9271"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w:t>
            </w:r>
          </w:p>
          <w:p w14:paraId="3400CBE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DMF</w:t>
            </w:r>
          </w:p>
          <w:p w14:paraId="1D9BF28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7</w:t>
            </w:r>
          </w:p>
        </w:tc>
        <w:tc>
          <w:tcPr>
            <w:tcW w:w="2414" w:type="dxa"/>
            <w:gridSpan w:val="2"/>
            <w:tcBorders>
              <w:top w:val="single" w:sz="4" w:space="0" w:color="000000"/>
              <w:left w:val="single" w:sz="4" w:space="0" w:color="000000"/>
              <w:bottom w:val="single" w:sz="4" w:space="0" w:color="000000"/>
              <w:right w:val="single" w:sz="4" w:space="0" w:color="000000"/>
            </w:tcBorders>
          </w:tcPr>
          <w:p w14:paraId="02B3FE10"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w:t>
            </w:r>
          </w:p>
          <w:p w14:paraId="4E26573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LSIL</w:t>
            </w:r>
          </w:p>
          <w:p w14:paraId="2FEBF987"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1</w:t>
            </w:r>
          </w:p>
        </w:tc>
        <w:tc>
          <w:tcPr>
            <w:tcW w:w="2101" w:type="dxa"/>
            <w:tcBorders>
              <w:top w:val="single" w:sz="4" w:space="0" w:color="000000"/>
              <w:left w:val="single" w:sz="4" w:space="0" w:color="000000"/>
              <w:bottom w:val="single" w:sz="4" w:space="0" w:color="000000"/>
            </w:tcBorders>
          </w:tcPr>
          <w:p w14:paraId="0AD06ACA" w14:textId="231D5456" w:rsidR="00D16970" w:rsidRPr="009A7518" w:rsidRDefault="00D16970" w:rsidP="00B967CB">
            <w:pPr>
              <w:spacing w:line="276" w:lineRule="auto"/>
              <w:contextualSpacing/>
              <w:rPr>
                <w:rFonts w:cs="Times New Roman"/>
                <w:sz w:val="20"/>
                <w:szCs w:val="20"/>
              </w:rPr>
            </w:pPr>
            <w:r w:rsidRPr="009A7518">
              <w:rPr>
                <w:rFonts w:cs="Times New Roman"/>
                <w:sz w:val="20"/>
                <w:szCs w:val="20"/>
              </w:rPr>
              <w:t>No increased risk of malignancy associated with DMF</w:t>
            </w:r>
            <w:r w:rsidR="00B967CB">
              <w:rPr>
                <w:rFonts w:cs="Times New Roman"/>
                <w:sz w:val="20"/>
                <w:szCs w:val="20"/>
              </w:rPr>
              <w:t>.</w:t>
            </w:r>
          </w:p>
        </w:tc>
      </w:tr>
      <w:tr w:rsidR="00D16970" w:rsidRPr="009A7518" w14:paraId="5C887904" w14:textId="77777777" w:rsidTr="00BA7170">
        <w:tc>
          <w:tcPr>
            <w:tcW w:w="15310" w:type="dxa"/>
            <w:gridSpan w:val="17"/>
            <w:tcBorders>
              <w:top w:val="single" w:sz="4" w:space="0" w:color="000000"/>
            </w:tcBorders>
          </w:tcPr>
          <w:p w14:paraId="4ED500B2"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Inhibition of Lymphocyte Migration: Natalizumab and Sphingosine-1-Phosphate Receptor Antagonists</w:t>
            </w:r>
          </w:p>
        </w:tc>
      </w:tr>
      <w:tr w:rsidR="00D16970" w:rsidRPr="009A7518" w14:paraId="1E0FF0D8" w14:textId="77777777" w:rsidTr="00BA7170">
        <w:tc>
          <w:tcPr>
            <w:tcW w:w="15310" w:type="dxa"/>
            <w:gridSpan w:val="17"/>
          </w:tcPr>
          <w:p w14:paraId="7A976BCF"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Natalizumab</w:t>
            </w:r>
          </w:p>
        </w:tc>
      </w:tr>
      <w:tr w:rsidR="00D16970" w:rsidRPr="009A7518" w14:paraId="1D091A04" w14:textId="77777777" w:rsidTr="00BA7170">
        <w:tc>
          <w:tcPr>
            <w:tcW w:w="1560" w:type="dxa"/>
          </w:tcPr>
          <w:p w14:paraId="64973FB2" w14:textId="23BB8A14" w:rsidR="00D16970" w:rsidRPr="009A7518" w:rsidRDefault="00D16970" w:rsidP="00B967CB">
            <w:pPr>
              <w:spacing w:line="276" w:lineRule="auto"/>
              <w:contextualSpacing/>
              <w:rPr>
                <w:rFonts w:cs="Times New Roman"/>
                <w:sz w:val="20"/>
                <w:szCs w:val="20"/>
              </w:rPr>
            </w:pPr>
            <w:r w:rsidRPr="009A7518">
              <w:rPr>
                <w:rFonts w:cs="Times New Roman"/>
                <w:sz w:val="20"/>
                <w:szCs w:val="20"/>
              </w:rPr>
              <w:t>Polman et al., 2006</w:t>
            </w:r>
            <w:r w:rsidRPr="009A7518">
              <w:rPr>
                <w:rFonts w:cs="Times New Roman"/>
                <w:sz w:val="20"/>
                <w:szCs w:val="20"/>
              </w:rPr>
              <w:fldChar w:fldCharType="begin"/>
            </w:r>
            <w:r w:rsidR="00B967CB">
              <w:rPr>
                <w:rFonts w:cs="Times New Roman"/>
                <w:sz w:val="20"/>
                <w:szCs w:val="20"/>
              </w:rPr>
              <w:instrText xml:space="preserve"> ADDIN ZOTERO_ITEM CSL_CITATION {"citationID":"qqPbKhOQ","properties":{"formattedCitation":"(15)","plainCitation":"(15)","noteIndex":0},"citationItems":[{"id":655,"uris":["http://zotero.org/users/local/DBM3sz94/items/LNYV9HCH"],"itemData":{"id":655,"type":"article-journal","abstract":"Relapsing multiple sclerosis is characterized by the intermittent development of inflammatory lesions in the brain and spinal cord, resulting in plaques of demyelination and axonal loss. Lymphocyte migration across the blood–brain barrier is thought to be an important early step in the formation of lesions.1 The interaction of α4β1 integrin, a protein on the surface of lymphocytes, with vascular-cell adhesion molecule 1 (VCAM-1), which is expressed on the surface of vascular endothelial cells in brain and spinal cord blood vessels, mediates the adhesion and migration of lymphocytes in areas of inflammation.2–6 Furthermore, the interaction of α . . .","container-title":"New England Journal of Medicine","DOI":"10.1056/NEJMoa044397","ISSN":"0028-4793","issue":"9","note":"publisher: Massachusetts Medical Society\n_eprint: https://doi.org/10.1056/NEJMoa044397\nPMID: 16510744","page":"899-910","source":"Taylor and Francis+NEJM","title":"A Randomized, Placebo-Controlled Trial of Natalizumab for Relapsing Multiple Sclerosis","volume":"354","author":[{"family":"Polman","given":"Chris H."},{"family":"O'Connor","given":"Paul W."},{"family":"Havrdova","given":"Eva"},{"family":"Hutchinson","given":"Michael"},{"family":"Kappos","given":"Ludwig"},{"family":"Miller","given":"David H."},{"family":"Phillips","given":"J. Theodore"},{"family":"Lublin","given":"Fred D."},{"family":"Giovannoni","given":"Gavin"},{"family":"Wajgt","given":"Andrzej"},{"family":"Toal","given":"Martin"},{"family":"Lynn","given":"Frances"},{"family":"Panzara","given":"Michael A."},{"family":"Sandrock","given":"Alfred W."}],"issued":{"date-parts":[["2006",3,2]]}}}],"schema":"https://github.com/citation-style-language/schema/raw/master/csl-citation.json"}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(15)</w:t>
            </w:r>
            <w:r w:rsidRPr="009A7518">
              <w:rPr>
                <w:rFonts w:cs="Times New Roman"/>
                <w:sz w:val="20"/>
                <w:szCs w:val="20"/>
              </w:rPr>
              <w:fldChar w:fldCharType="end"/>
            </w:r>
          </w:p>
          <w:p w14:paraId="19737678" w14:textId="77777777" w:rsidR="00D16970" w:rsidRPr="009A7518" w:rsidRDefault="00D16970" w:rsidP="00B967CB">
            <w:pPr>
              <w:spacing w:line="276" w:lineRule="auto"/>
              <w:contextualSpacing/>
              <w:rPr>
                <w:rFonts w:cs="Times New Roman"/>
                <w:sz w:val="20"/>
                <w:szCs w:val="20"/>
              </w:rPr>
            </w:pPr>
          </w:p>
          <w:p w14:paraId="7D94952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AFFIRM </w:t>
            </w:r>
          </w:p>
          <w:p w14:paraId="482B2F3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NCT00027300</w:t>
            </w:r>
          </w:p>
        </w:tc>
        <w:tc>
          <w:tcPr>
            <w:tcW w:w="1417" w:type="dxa"/>
            <w:gridSpan w:val="2"/>
          </w:tcPr>
          <w:p w14:paraId="3BC0465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 placebo-controlled trial</w:t>
            </w:r>
          </w:p>
        </w:tc>
        <w:tc>
          <w:tcPr>
            <w:tcW w:w="1276" w:type="dxa"/>
            <w:gridSpan w:val="2"/>
          </w:tcPr>
          <w:p w14:paraId="5A57A29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6F05680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942 MS patients</w:t>
            </w:r>
          </w:p>
          <w:p w14:paraId="3D74A0F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627 NTZ</w:t>
            </w:r>
          </w:p>
          <w:p w14:paraId="3E502E6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315 Placebo </w:t>
            </w:r>
          </w:p>
        </w:tc>
        <w:tc>
          <w:tcPr>
            <w:tcW w:w="1134" w:type="dxa"/>
            <w:gridSpan w:val="2"/>
          </w:tcPr>
          <w:p w14:paraId="2511C76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2001-2004</w:t>
            </w:r>
          </w:p>
        </w:tc>
        <w:tc>
          <w:tcPr>
            <w:tcW w:w="1559" w:type="dxa"/>
            <w:gridSpan w:val="2"/>
          </w:tcPr>
          <w:p w14:paraId="361B1F3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NTZ</w:t>
            </w:r>
          </w:p>
        </w:tc>
        <w:tc>
          <w:tcPr>
            <w:tcW w:w="2552" w:type="dxa"/>
            <w:gridSpan w:val="2"/>
          </w:tcPr>
          <w:p w14:paraId="498983A8"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3B8C957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NTZ </w:t>
            </w:r>
          </w:p>
          <w:p w14:paraId="1B4F542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5 (&lt;1%)</w:t>
            </w:r>
          </w:p>
          <w:p w14:paraId="4D5CD035" w14:textId="77777777" w:rsidR="00D16970" w:rsidRPr="009A7518" w:rsidRDefault="00D16970" w:rsidP="00B967CB">
            <w:pPr>
              <w:spacing w:line="276" w:lineRule="auto"/>
              <w:contextualSpacing/>
              <w:rPr>
                <w:rFonts w:cs="Times New Roman"/>
                <w:sz w:val="20"/>
                <w:szCs w:val="20"/>
              </w:rPr>
            </w:pPr>
          </w:p>
          <w:p w14:paraId="7CAC723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7EA7B16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 (&lt;1%)</w:t>
            </w:r>
          </w:p>
          <w:p w14:paraId="024E9B03"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1C9D71AC"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5F1E941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Cervical abnormality  </w:t>
            </w:r>
          </w:p>
          <w:p w14:paraId="33237D69" w14:textId="77777777" w:rsidR="00D16970" w:rsidRPr="009A7518" w:rsidRDefault="00D16970" w:rsidP="00B967CB">
            <w:pPr>
              <w:spacing w:line="276" w:lineRule="auto"/>
              <w:contextualSpacing/>
              <w:rPr>
                <w:rFonts w:cs="Times New Roman"/>
                <w:sz w:val="20"/>
                <w:szCs w:val="20"/>
              </w:rPr>
            </w:pPr>
          </w:p>
          <w:p w14:paraId="738EFD2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NTZ</w:t>
            </w:r>
          </w:p>
          <w:p w14:paraId="4F93DE5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NR (&lt;1%) </w:t>
            </w:r>
          </w:p>
          <w:p w14:paraId="76C4DF81" w14:textId="77777777" w:rsidR="00D16970" w:rsidRPr="009A7518" w:rsidRDefault="00D16970" w:rsidP="00B967CB">
            <w:pPr>
              <w:spacing w:line="276" w:lineRule="auto"/>
              <w:contextualSpacing/>
              <w:rPr>
                <w:rFonts w:cs="Times New Roman"/>
                <w:sz w:val="20"/>
                <w:szCs w:val="20"/>
              </w:rPr>
            </w:pPr>
          </w:p>
          <w:p w14:paraId="79BF516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Placebo</w:t>
            </w:r>
          </w:p>
          <w:p w14:paraId="3BA2818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NR (0%)</w:t>
            </w:r>
          </w:p>
          <w:p w14:paraId="644F2EC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(p=0.999)</w:t>
            </w:r>
          </w:p>
          <w:p w14:paraId="4CC20D8A" w14:textId="77777777" w:rsidR="00D16970" w:rsidRPr="009A7518" w:rsidRDefault="00D16970" w:rsidP="00B967CB">
            <w:pPr>
              <w:spacing w:line="276" w:lineRule="auto"/>
              <w:contextualSpacing/>
              <w:rPr>
                <w:rFonts w:cs="Times New Roman"/>
                <w:sz w:val="20"/>
                <w:szCs w:val="20"/>
              </w:rPr>
            </w:pPr>
          </w:p>
          <w:p w14:paraId="4B8E360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Cervical carcinoma in situ</w:t>
            </w:r>
          </w:p>
          <w:p w14:paraId="29BBB50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NTZ</w:t>
            </w:r>
          </w:p>
          <w:p w14:paraId="211C015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w:t>
            </w:r>
          </w:p>
          <w:p w14:paraId="4A6C4AD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3780B51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w:t>
            </w:r>
          </w:p>
        </w:tc>
        <w:tc>
          <w:tcPr>
            <w:tcW w:w="2127" w:type="dxa"/>
            <w:gridSpan w:val="2"/>
          </w:tcPr>
          <w:p w14:paraId="5FB0CF2F" w14:textId="3739395D" w:rsidR="00D16970" w:rsidRPr="009A7518" w:rsidRDefault="00D16970" w:rsidP="00B967CB">
            <w:pPr>
              <w:spacing w:line="276" w:lineRule="auto"/>
              <w:contextualSpacing/>
              <w:rPr>
                <w:rFonts w:cs="Times New Roman"/>
                <w:sz w:val="20"/>
                <w:szCs w:val="20"/>
              </w:rPr>
            </w:pPr>
            <w:r w:rsidRPr="009A7518">
              <w:rPr>
                <w:rFonts w:cs="Times New Roman"/>
                <w:sz w:val="20"/>
                <w:szCs w:val="20"/>
              </w:rPr>
              <w:t>Rates of cervical abnormalities were not increased in patients treated with NTZ</w:t>
            </w:r>
            <w:r w:rsidR="00B967CB">
              <w:rPr>
                <w:rFonts w:cs="Times New Roman"/>
                <w:sz w:val="20"/>
                <w:szCs w:val="20"/>
              </w:rPr>
              <w:t>.</w:t>
            </w:r>
            <w:r w:rsidRPr="009A7518">
              <w:rPr>
                <w:rFonts w:cs="Times New Roman"/>
                <w:sz w:val="20"/>
                <w:szCs w:val="20"/>
              </w:rPr>
              <w:t xml:space="preserve"> </w:t>
            </w:r>
          </w:p>
        </w:tc>
      </w:tr>
      <w:tr w:rsidR="00D16970" w:rsidRPr="009A7518" w14:paraId="766BFA9C" w14:textId="77777777" w:rsidTr="00BA7170">
        <w:tc>
          <w:tcPr>
            <w:tcW w:w="1560" w:type="dxa"/>
          </w:tcPr>
          <w:p w14:paraId="0137BA10" w14:textId="78A2BBC3"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Rolfes</w:t>
            </w:r>
            <w:proofErr w:type="spellEnd"/>
            <w:r w:rsidRPr="009A7518">
              <w:rPr>
                <w:rFonts w:cs="Times New Roman"/>
                <w:sz w:val="20"/>
                <w:szCs w:val="20"/>
              </w:rPr>
              <w:t xml:space="preserve"> et al., 2013</w:t>
            </w:r>
            <w:r w:rsidRPr="009A7518">
              <w:rPr>
                <w:rFonts w:cs="Times New Roman"/>
                <w:sz w:val="20"/>
                <w:szCs w:val="20"/>
              </w:rPr>
              <w:fldChar w:fldCharType="begin"/>
            </w:r>
            <w:r w:rsidR="00B967CB">
              <w:rPr>
                <w:rFonts w:cs="Times New Roman"/>
                <w:sz w:val="20"/>
                <w:szCs w:val="20"/>
              </w:rPr>
              <w:instrText xml:space="preserve"> ADDIN ZOTERO_ITEM CSL_CITATION {"citationID":"pfRBfNLG","properties":{"formattedCitation":"(16)","plainCitation":"(16)","noteIndex":0},"citationItems":[{"id":308,"uris":["http://zotero.org/users/local/DBM3sz94/items/IYQEV7PY"],"itemData":{"id":308,"type":"article-journal","container-title":"The Netherlands Journal of Medicine","ISSN":"1872-9061","issue":"9","journalAbbreviation":"Neth J Med","language":"eng","note":"PMID: 24218428","page":"494-495","source":"PubMed","title":"Cervical dysplasia associated with the use of natalizumab","volume":"71","author":[{"family":"Rolfes","given":"L."},{"family":"Lokhorst","given":"B."},{"family":"Samijn","given":"J."},{"family":"Puijenbroek","given":"E.","non-dropping-particle":"van"}],"issued":{"date-parts":[["2013",11]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(16)</w:t>
            </w:r>
            <w:r w:rsidRPr="009A7518">
              <w:rPr>
                <w:rFonts w:cs="Times New Roman"/>
                <w:sz w:val="20"/>
                <w:szCs w:val="20"/>
              </w:rPr>
              <w:fldChar w:fldCharType="end"/>
            </w:r>
          </w:p>
        </w:tc>
        <w:tc>
          <w:tcPr>
            <w:tcW w:w="1417" w:type="dxa"/>
            <w:gridSpan w:val="2"/>
          </w:tcPr>
          <w:p w14:paraId="51E9AA8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Case report</w:t>
            </w:r>
          </w:p>
        </w:tc>
        <w:tc>
          <w:tcPr>
            <w:tcW w:w="1276" w:type="dxa"/>
            <w:gridSpan w:val="2"/>
          </w:tcPr>
          <w:p w14:paraId="0C4048D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Netherlands </w:t>
            </w:r>
          </w:p>
        </w:tc>
        <w:tc>
          <w:tcPr>
            <w:tcW w:w="1276" w:type="dxa"/>
            <w:gridSpan w:val="2"/>
          </w:tcPr>
          <w:p w14:paraId="1937948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w:t>
            </w:r>
          </w:p>
        </w:tc>
        <w:tc>
          <w:tcPr>
            <w:tcW w:w="1134" w:type="dxa"/>
            <w:gridSpan w:val="2"/>
          </w:tcPr>
          <w:p w14:paraId="044A0E3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&lt;2013</w:t>
            </w:r>
          </w:p>
        </w:tc>
        <w:tc>
          <w:tcPr>
            <w:tcW w:w="1559" w:type="dxa"/>
            <w:gridSpan w:val="2"/>
          </w:tcPr>
          <w:p w14:paraId="2810CBB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NTZ </w:t>
            </w:r>
          </w:p>
        </w:tc>
        <w:tc>
          <w:tcPr>
            <w:tcW w:w="2552" w:type="dxa"/>
            <w:gridSpan w:val="2"/>
          </w:tcPr>
          <w:p w14:paraId="2763327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NR </w:t>
            </w:r>
          </w:p>
        </w:tc>
        <w:tc>
          <w:tcPr>
            <w:tcW w:w="2409" w:type="dxa"/>
            <w:gridSpan w:val="2"/>
          </w:tcPr>
          <w:p w14:paraId="23941863"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03784BE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Pre</w:t>
            </w:r>
            <w:r>
              <w:rPr>
                <w:rFonts w:cs="Times New Roman"/>
                <w:sz w:val="20"/>
                <w:szCs w:val="20"/>
              </w:rPr>
              <w:t>-</w:t>
            </w:r>
            <w:r w:rsidRPr="009A7518">
              <w:rPr>
                <w:rFonts w:cs="Times New Roman"/>
                <w:sz w:val="20"/>
                <w:szCs w:val="20"/>
              </w:rPr>
              <w:t>cancer (CIN 2 &amp; 3)</w:t>
            </w:r>
          </w:p>
          <w:p w14:paraId="3905CB9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NTZ </w:t>
            </w:r>
          </w:p>
          <w:p w14:paraId="2E61444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 </w:t>
            </w:r>
          </w:p>
        </w:tc>
        <w:tc>
          <w:tcPr>
            <w:tcW w:w="2127" w:type="dxa"/>
            <w:gridSpan w:val="2"/>
          </w:tcPr>
          <w:p w14:paraId="6485A73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Four cases of cervical pre-cancer reported in association with NTZ.  </w:t>
            </w:r>
          </w:p>
        </w:tc>
      </w:tr>
      <w:tr w:rsidR="00D16970" w:rsidRPr="009A7518" w14:paraId="0A89A986" w14:textId="77777777" w:rsidTr="00BA7170">
        <w:trPr>
          <w:trHeight w:val="991"/>
        </w:trPr>
        <w:tc>
          <w:tcPr>
            <w:tcW w:w="1560" w:type="dxa"/>
          </w:tcPr>
          <w:p w14:paraId="277A1D85" w14:textId="1765BA52" w:rsidR="00D16970" w:rsidRPr="009A7518" w:rsidRDefault="00D16970" w:rsidP="00B967CB">
            <w:pPr>
              <w:spacing w:line="276" w:lineRule="auto"/>
              <w:contextualSpacing/>
              <w:rPr>
                <w:rFonts w:cs="Times New Roman"/>
                <w:sz w:val="20"/>
                <w:szCs w:val="20"/>
                <w:shd w:val="clear" w:color="auto" w:fill="FFFFFF"/>
              </w:rPr>
            </w:pPr>
            <w:proofErr w:type="spellStart"/>
            <w:r w:rsidRPr="009A7518">
              <w:rPr>
                <w:rFonts w:cs="Times New Roman"/>
                <w:sz w:val="20"/>
                <w:szCs w:val="20"/>
              </w:rPr>
              <w:t>Durrieu</w:t>
            </w:r>
            <w:proofErr w:type="spellEnd"/>
            <w:r w:rsidRPr="009A7518">
              <w:rPr>
                <w:rFonts w:cs="Times New Roman"/>
                <w:sz w:val="20"/>
                <w:szCs w:val="20"/>
              </w:rPr>
              <w:t xml:space="preserve"> et al., 2018</w:t>
            </w:r>
            <w:r w:rsidRPr="009A7518">
              <w:rPr>
                <w:rFonts w:cs="Times New Roman"/>
                <w:sz w:val="20"/>
                <w:szCs w:val="20"/>
              </w:rPr>
              <w:fldChar w:fldCharType="begin"/>
            </w:r>
            <w:r w:rsidR="00B967CB">
              <w:rPr>
                <w:rFonts w:cs="Times New Roman"/>
                <w:sz w:val="20"/>
                <w:szCs w:val="20"/>
              </w:rPr>
              <w:instrText xml:space="preserve"> ADDIN ZOTERO_ITEM CSL_CITATION {"citationID":"jgaOhQ4V","properties":{"formattedCitation":"(17)","plainCitation":"(17)","noteIndex":0},"citationItems":[{"id":257,"uris":["http://zotero.org/users/local/DBM3sz94/items/7SGFM457"],"itemData":{"id":257,"type":"article-journal","abstract":"We describe one report of a cervical dysplasia in a patient receiving natalizumab for multiple sclerosis. Other cases were identified in the WHO's global individual case safety report database, VigiBase®. These data underline the importance of monitoring HPV infection in patients with MS treated with natalizumab.","container-title":"Fundamental &amp; Clinical Pharmacology","DOI":"10.1111/fcp.12394","ISSN":"1472-8206","issue":"1","language":"en","note":"_eprint: https://onlinelibrary.wiley.com/doi/pdf/10.1111/fcp.12394","page":"125-126","source":"Wiley Online Library","title":"Cervical dysplasia in a patient with multiple sclerosis treated with natalizumab","volume":"33","author":[{"family":"Durrieu","given":"Geneviève"},{"family":"Dardonville","given":"Quentin"},{"family":"Clanet","given":"Michel"},{"family":"Montastruc","given":"Jean-Louis"}],"issued":{"date-parts":[["2019"]]}}}],"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(17)</w:t>
            </w:r>
            <w:r w:rsidRPr="009A7518">
              <w:rPr>
                <w:rFonts w:cs="Times New Roman"/>
                <w:sz w:val="20"/>
                <w:szCs w:val="20"/>
              </w:rPr>
              <w:fldChar w:fldCharType="end"/>
            </w:r>
          </w:p>
        </w:tc>
        <w:tc>
          <w:tcPr>
            <w:tcW w:w="1417" w:type="dxa"/>
            <w:gridSpan w:val="2"/>
          </w:tcPr>
          <w:p w14:paraId="12CB520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Case report</w:t>
            </w:r>
          </w:p>
        </w:tc>
        <w:tc>
          <w:tcPr>
            <w:tcW w:w="1276" w:type="dxa"/>
            <w:gridSpan w:val="2"/>
          </w:tcPr>
          <w:p w14:paraId="1D17BBA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France </w:t>
            </w:r>
          </w:p>
        </w:tc>
        <w:tc>
          <w:tcPr>
            <w:tcW w:w="1276" w:type="dxa"/>
            <w:gridSpan w:val="2"/>
          </w:tcPr>
          <w:p w14:paraId="3286C3F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w:t>
            </w:r>
          </w:p>
        </w:tc>
        <w:tc>
          <w:tcPr>
            <w:tcW w:w="1134" w:type="dxa"/>
            <w:gridSpan w:val="2"/>
          </w:tcPr>
          <w:p w14:paraId="7718D3D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2016</w:t>
            </w:r>
          </w:p>
        </w:tc>
        <w:tc>
          <w:tcPr>
            <w:tcW w:w="1559" w:type="dxa"/>
            <w:gridSpan w:val="2"/>
          </w:tcPr>
          <w:p w14:paraId="0E82C0C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NTZ </w:t>
            </w:r>
          </w:p>
        </w:tc>
        <w:tc>
          <w:tcPr>
            <w:tcW w:w="2552" w:type="dxa"/>
            <w:gridSpan w:val="2"/>
          </w:tcPr>
          <w:p w14:paraId="492A99F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NR </w:t>
            </w:r>
          </w:p>
        </w:tc>
        <w:tc>
          <w:tcPr>
            <w:tcW w:w="2409" w:type="dxa"/>
            <w:gridSpan w:val="2"/>
          </w:tcPr>
          <w:p w14:paraId="026256E1"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11ABB2A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Pre</w:t>
            </w:r>
            <w:r>
              <w:rPr>
                <w:rFonts w:cs="Times New Roman"/>
                <w:sz w:val="20"/>
                <w:szCs w:val="20"/>
              </w:rPr>
              <w:t>-</w:t>
            </w:r>
            <w:r w:rsidRPr="009A7518">
              <w:rPr>
                <w:rFonts w:cs="Times New Roman"/>
                <w:sz w:val="20"/>
                <w:szCs w:val="20"/>
              </w:rPr>
              <w:t>cancer (CIN 3)</w:t>
            </w:r>
          </w:p>
          <w:p w14:paraId="02F1A45D"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NTZ</w:t>
            </w:r>
          </w:p>
          <w:p w14:paraId="0B3B394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w:t>
            </w:r>
          </w:p>
        </w:tc>
        <w:tc>
          <w:tcPr>
            <w:tcW w:w="2127" w:type="dxa"/>
            <w:gridSpan w:val="2"/>
          </w:tcPr>
          <w:p w14:paraId="7A11738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One case of cervical pre</w:t>
            </w:r>
            <w:r>
              <w:rPr>
                <w:rFonts w:cs="Times New Roman"/>
                <w:sz w:val="20"/>
                <w:szCs w:val="20"/>
              </w:rPr>
              <w:t>-</w:t>
            </w:r>
            <w:r w:rsidRPr="009A7518">
              <w:rPr>
                <w:rFonts w:cs="Times New Roman"/>
                <w:sz w:val="20"/>
                <w:szCs w:val="20"/>
              </w:rPr>
              <w:t xml:space="preserve">cancer seen in association with NTZ. </w:t>
            </w:r>
          </w:p>
        </w:tc>
      </w:tr>
      <w:tr w:rsidR="00D16970" w:rsidRPr="009A7518" w14:paraId="6E2B5DD6" w14:textId="77777777" w:rsidTr="00BA7170">
        <w:trPr>
          <w:trHeight w:val="991"/>
        </w:trPr>
        <w:tc>
          <w:tcPr>
            <w:tcW w:w="1560" w:type="dxa"/>
          </w:tcPr>
          <w:p w14:paraId="5E3939BE" w14:textId="4E142D00" w:rsidR="00D16970" w:rsidRPr="009A7518" w:rsidRDefault="00D16970" w:rsidP="00B967CB">
            <w:pPr>
              <w:spacing w:line="276" w:lineRule="auto"/>
              <w:contextualSpacing/>
              <w:rPr>
                <w:rFonts w:cs="Times New Roman"/>
                <w:sz w:val="20"/>
                <w:szCs w:val="20"/>
              </w:rPr>
            </w:pPr>
            <w:r w:rsidRPr="009A7518">
              <w:rPr>
                <w:rFonts w:cs="Times New Roman"/>
                <w:sz w:val="20"/>
                <w:szCs w:val="20"/>
              </w:rPr>
              <w:t>Wan et al., 2019</w:t>
            </w:r>
            <w:r w:rsidRPr="009A7518">
              <w:rPr>
                <w:rFonts w:cs="Times New Roman"/>
                <w:sz w:val="20"/>
                <w:szCs w:val="20"/>
              </w:rPr>
              <w:fldChar w:fldCharType="begin"/>
            </w:r>
            <w:r w:rsidR="00B967CB">
              <w:rPr>
                <w:rFonts w:cs="Times New Roman"/>
                <w:sz w:val="20"/>
                <w:szCs w:val="20"/>
              </w:rPr>
              <w:instrText xml:space="preserve"> ADDIN ZOTERO_ITEM CSL_CITATION {"citationID":"QghGEBHf","properties":{"formattedCitation":"(18)","plainCitation":"(18)","noteIndex":0},"citationItems":[{"id":444,"uris":["http://zotero.org/users/local/DBM3sz94/items/WGTPHJQZ"],"itemData":{"id":444,"type":"article-journal","abstract":"A 25-year-old patient treated for relapsing remitting multiple sclerosis (RRMS) with natalizumab had a rapid progression of a low grade squamous intraepithelial lesion to a FIGO stage 1B1 squamous cell carcinoma of the uterine cervix within 2 years. She was treated with radical hysterectomy and pelvic lymphadenectomy and subsequently developed a vault recurrence within 2 years. The recurrence was treated with definitive synchronous chemo-radiotherapy and she has been disease free for 7 years. This case and existing evidence on increased risk of developing cervical dysplasia under natalizumab show that MS patients under immunosuppressive therapy require close annual cervical screening with immediate investigation of abnormal test results.","container-title":"Case Reports in Oncology","DOI":"10.1159/000496198","ISSN":"1662-6575","issue":"1","journalAbbreviation":"Case Rep Oncol","language":"en","page":"59-62","source":"DOI.org (Crossref)","title":"Rapid Progression of Low-Grade Cervical Dysplasia into Invasive Cancer during Natalizumab Treatment for Relapsing Remitting Multiple Sclerosis","volume":"12","author":[{"family":"Wan","given":"King Man"},{"family":"Oehler","given":"Martin K."}],"issued":{"date-parts":[["2019",1,18]]}}}],"schema":"https://github.com/citation-style-language/schema/raw/master/csl-citation.json"}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(18)</w:t>
            </w:r>
            <w:r w:rsidRPr="009A7518">
              <w:rPr>
                <w:rFonts w:cs="Times New Roman"/>
                <w:sz w:val="20"/>
                <w:szCs w:val="20"/>
              </w:rPr>
              <w:fldChar w:fldCharType="end"/>
            </w:r>
            <w:r w:rsidRPr="009A7518">
              <w:rPr>
                <w:rFonts w:cs="Times New Roman"/>
                <w:sz w:val="20"/>
                <w:szCs w:val="20"/>
              </w:rPr>
              <w:t xml:space="preserve"> </w:t>
            </w:r>
          </w:p>
        </w:tc>
        <w:tc>
          <w:tcPr>
            <w:tcW w:w="1417" w:type="dxa"/>
            <w:gridSpan w:val="2"/>
          </w:tcPr>
          <w:p w14:paraId="5469137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Case Report </w:t>
            </w:r>
          </w:p>
        </w:tc>
        <w:tc>
          <w:tcPr>
            <w:tcW w:w="1276" w:type="dxa"/>
            <w:gridSpan w:val="2"/>
          </w:tcPr>
          <w:p w14:paraId="5E1D06E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Australia</w:t>
            </w:r>
          </w:p>
        </w:tc>
        <w:tc>
          <w:tcPr>
            <w:tcW w:w="1276" w:type="dxa"/>
            <w:gridSpan w:val="2"/>
          </w:tcPr>
          <w:p w14:paraId="1A9EFF7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w:t>
            </w:r>
          </w:p>
        </w:tc>
        <w:tc>
          <w:tcPr>
            <w:tcW w:w="1134" w:type="dxa"/>
            <w:gridSpan w:val="2"/>
          </w:tcPr>
          <w:p w14:paraId="60BA9A5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2007-2009</w:t>
            </w:r>
          </w:p>
        </w:tc>
        <w:tc>
          <w:tcPr>
            <w:tcW w:w="1559" w:type="dxa"/>
            <w:gridSpan w:val="2"/>
          </w:tcPr>
          <w:p w14:paraId="71C00B5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NTZ</w:t>
            </w:r>
          </w:p>
        </w:tc>
        <w:tc>
          <w:tcPr>
            <w:tcW w:w="2552" w:type="dxa"/>
            <w:gridSpan w:val="2"/>
          </w:tcPr>
          <w:p w14:paraId="6F7F0B1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NR</w:t>
            </w:r>
          </w:p>
        </w:tc>
        <w:tc>
          <w:tcPr>
            <w:tcW w:w="2409" w:type="dxa"/>
            <w:gridSpan w:val="2"/>
          </w:tcPr>
          <w:p w14:paraId="77D9B4D7" w14:textId="71BEA41F" w:rsidR="00D16970" w:rsidRPr="009A7518" w:rsidRDefault="00B967CB" w:rsidP="00B967CB">
            <w:pPr>
              <w:spacing w:line="276" w:lineRule="auto"/>
              <w:contextualSpacing/>
              <w:rPr>
                <w:rFonts w:cs="Times New Roman"/>
                <w:b/>
                <w:bCs/>
                <w:sz w:val="20"/>
                <w:szCs w:val="20"/>
              </w:rPr>
            </w:pPr>
            <w:r>
              <w:rPr>
                <w:rFonts w:cs="Times New Roman"/>
                <w:b/>
                <w:bCs/>
                <w:sz w:val="20"/>
                <w:szCs w:val="20"/>
              </w:rPr>
              <w:t>n</w:t>
            </w:r>
            <w:r w:rsidR="00D16970" w:rsidRPr="009A7518">
              <w:rPr>
                <w:rFonts w:cs="Times New Roman"/>
                <w:b/>
                <w:bCs/>
                <w:sz w:val="20"/>
                <w:szCs w:val="20"/>
              </w:rPr>
              <w:t xml:space="preserve"> = </w:t>
            </w:r>
          </w:p>
          <w:p w14:paraId="75FB988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Cervical cancer </w:t>
            </w:r>
          </w:p>
          <w:p w14:paraId="50189AE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NTZ </w:t>
            </w:r>
          </w:p>
          <w:p w14:paraId="5AFBCB50"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1</w:t>
            </w:r>
            <w:r w:rsidRPr="009A7518">
              <w:rPr>
                <w:rFonts w:cs="Times New Roman"/>
                <w:b/>
                <w:bCs/>
                <w:sz w:val="20"/>
                <w:szCs w:val="20"/>
              </w:rPr>
              <w:t xml:space="preserve"> </w:t>
            </w:r>
          </w:p>
        </w:tc>
        <w:tc>
          <w:tcPr>
            <w:tcW w:w="2127" w:type="dxa"/>
            <w:gridSpan w:val="2"/>
          </w:tcPr>
          <w:p w14:paraId="08B3A0C5" w14:textId="295A819F" w:rsidR="00D16970" w:rsidRPr="009A7518" w:rsidRDefault="00D16970" w:rsidP="00B967CB">
            <w:pPr>
              <w:spacing w:line="276" w:lineRule="auto"/>
              <w:contextualSpacing/>
              <w:rPr>
                <w:rFonts w:cs="Times New Roman"/>
                <w:sz w:val="20"/>
                <w:szCs w:val="20"/>
              </w:rPr>
            </w:pPr>
            <w:r w:rsidRPr="009A7518">
              <w:rPr>
                <w:rFonts w:cs="Times New Roman"/>
                <w:sz w:val="20"/>
                <w:szCs w:val="20"/>
              </w:rPr>
              <w:t>Rapid progression LSIL to squamous cell carcinoma of the cervix within 2 years</w:t>
            </w:r>
            <w:r w:rsidR="00B967CB">
              <w:rPr>
                <w:rFonts w:cs="Times New Roman"/>
                <w:sz w:val="20"/>
                <w:szCs w:val="20"/>
              </w:rPr>
              <w:t>.</w:t>
            </w:r>
          </w:p>
        </w:tc>
      </w:tr>
      <w:tr w:rsidR="00D16970" w:rsidRPr="009A7518" w14:paraId="6F53888A" w14:textId="77777777" w:rsidTr="00BA7170">
        <w:tc>
          <w:tcPr>
            <w:tcW w:w="1560" w:type="dxa"/>
          </w:tcPr>
          <w:p w14:paraId="10BBC465" w14:textId="140B81E4" w:rsidR="00D16970" w:rsidRPr="009A7518" w:rsidRDefault="00D16970" w:rsidP="00B967CB">
            <w:pPr>
              <w:spacing w:line="276" w:lineRule="auto"/>
              <w:contextualSpacing/>
              <w:rPr>
                <w:rFonts w:cs="Times New Roman"/>
              </w:rPr>
            </w:pPr>
            <w:proofErr w:type="spellStart"/>
            <w:r w:rsidRPr="009A7518">
              <w:rPr>
                <w:rFonts w:cs="Times New Roman"/>
                <w:sz w:val="20"/>
                <w:szCs w:val="20"/>
                <w:shd w:val="clear" w:color="auto" w:fill="FFFFFF"/>
              </w:rPr>
              <w:lastRenderedPageBreak/>
              <w:t>Alping</w:t>
            </w:r>
            <w:proofErr w:type="spellEnd"/>
            <w:r w:rsidRPr="009A7518">
              <w:rPr>
                <w:rFonts w:cs="Times New Roman"/>
                <w:sz w:val="20"/>
                <w:szCs w:val="20"/>
                <w:shd w:val="clear" w:color="auto" w:fill="FFFFFF"/>
              </w:rPr>
              <w:t xml:space="preserve"> et al., 2020</w:t>
            </w:r>
            <w:r w:rsidRPr="009A7518">
              <w:rPr>
                <w:rFonts w:cs="Times New Roman"/>
                <w:sz w:val="20"/>
                <w:szCs w:val="20"/>
                <w:shd w:val="clear" w:color="auto" w:fill="FFFFFF"/>
              </w:rPr>
              <w:fldChar w:fldCharType="begin"/>
            </w:r>
            <w:r w:rsidR="00B967CB">
              <w:rPr>
                <w:rFonts w:cs="Times New Roman"/>
                <w:sz w:val="20"/>
                <w:szCs w:val="20"/>
                <w:shd w:val="clear" w:color="auto" w:fill="FFFFFF"/>
              </w:rPr>
              <w:instrText xml:space="preserve"> ADDIN ZOTERO_ITEM CSL_CITATION {"citationID":"aL5Bpii7","properties":{"formattedCitation":"(19)","plainCitation":"(19)","noteIndex":0},"citationItems":[{"id":187,"uris":["http://zotero.org/users/local/DBM3sz94/items/SM4Q7FF4"],"itemData":{"id":187,"type":"article-journal","abstract":"Objective Novel, highly effective disease-modifying therapies have revolutionized multiple sclerosis (MS) care. However, evidence from large comparative studies on important safety outcomes, such as cancer, is still lacking. Methods In this nationwide register-based cohort study, we linked data from the Swedish MS register to the Swedish Cancer Register and other national health care and census registers. We included 4,187 first-ever initiations of rituximab, 1,620 of fingolimod, and 1,670 of natalizumab in 6,136 MS patients matched for age, sex, and location to 37,801 non-MS general population subjects. Primary outcome was time to first invasive cancer. Results We identified 78 invasive cancers among treated patients: rituximab 33 (incidence rate [IR] per 10,000 person-years = 34.4, 95% confidence interval [CI] = 23.7–48.3), fingolimod 28 (IR = 44.0, 95% CI = 29.2–63.5), and natalizumab 17 (IR = 26.0, 95% CI = 15.1–41.6). The general population IR was 31.0 (95% CI = 27.8–34.4). Adjusting for baseline characteristics, we found no difference in risk of invasive cancer between rituximab, natalizumab, and the general population but a possibly higher risk with fingolimod compared to the general population (hazard ratio [HR] = 1.53, 95% CI = 0.98–2.38) and rituximab (HR = 1.68, 95% CI = 1.00–2.84). Interpretation In this first large comparative study of 3 highly effective MS disease-modifying therapies, no increased risk of invasive cancer was seen with rituximab and natalizumab, compared to the general population. However, there was a borderline-significant increased risk with fingolimod, compared to both the general population and rituximab. It was not possible to attribute this increased risk to any specific type of cancer, and further studies are warranted to validate these findings. ANN NEUROL 2020;87:688–699","container-title":"Annals of Neurology","DOI":"10.1002/ana.25701","ISSN":"1531-8249","issue":"5","language":"en","note":"_eprint: https://onlinelibrary.wiley.com/doi/pdf/10.1002/ana.25701","page":"688-699","source":"Wiley Online Library","title":"Cancer Risk for Fingolimod, Natalizumab, and Rituximab in Multiple Sclerosis Patients","volume":"87","author":[{"family":"Alping","given":"Peter"},{"family":"Askling","given":"Johan"},{"family":"Burman","given":"Joachim"},{"family":"Fink","given":"Katharina"},{"family":"Fogdell-Hahn","given":"Anna"},{"family":"Gunnarsson","given":"Martin"},{"family":"Hillert","given":"Jan"},{"family":"Langer-Gould","given":"Annette"},{"family":"Lycke","given":"Jan"},{"family":"Nilsson","given":"Petra"},{"family":"Salzer","given":"Jonatan"},{"family":"Svenningsson","given":"Anders"},{"family":"Vrethem","given":"Magnus"},{"family":"Olsson","given":"Tomas"},{"family":"Piehl","given":"Fredrik"},{"family":"Frisell","given":"Thomas"}],"issued":{"date-parts":[["2020"]]}}}],"schema":"https://github.com/citation-style-language/schema/raw/master/csl-citation.json"} </w:instrText>
            </w:r>
            <w:r w:rsidRPr="009A7518">
              <w:rPr>
                <w:rFonts w:cs="Times New Roman"/>
                <w:sz w:val="20"/>
                <w:szCs w:val="20"/>
                <w:shd w:val="clear" w:color="auto" w:fill="FFFFFF"/>
              </w:rPr>
              <w:fldChar w:fldCharType="separate"/>
            </w:r>
            <w:r w:rsidR="00B967CB">
              <w:rPr>
                <w:rFonts w:cs="Times New Roman"/>
                <w:sz w:val="20"/>
                <w:lang w:val="en-GB"/>
              </w:rPr>
              <w:t>(19)</w:t>
            </w:r>
            <w:r w:rsidRPr="009A7518">
              <w:rPr>
                <w:rFonts w:cs="Times New Roman"/>
                <w:sz w:val="20"/>
                <w:szCs w:val="20"/>
                <w:shd w:val="clear" w:color="auto" w:fill="FFFFFF"/>
              </w:rPr>
              <w:fldChar w:fldCharType="end"/>
            </w:r>
          </w:p>
        </w:tc>
        <w:tc>
          <w:tcPr>
            <w:tcW w:w="1417" w:type="dxa"/>
            <w:gridSpan w:val="2"/>
          </w:tcPr>
          <w:p w14:paraId="0E6A0EA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Cohort study  </w:t>
            </w:r>
          </w:p>
        </w:tc>
        <w:tc>
          <w:tcPr>
            <w:tcW w:w="1276" w:type="dxa"/>
            <w:gridSpan w:val="2"/>
          </w:tcPr>
          <w:p w14:paraId="15C15D8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Sweden</w:t>
            </w:r>
          </w:p>
        </w:tc>
        <w:tc>
          <w:tcPr>
            <w:tcW w:w="1276" w:type="dxa"/>
            <w:gridSpan w:val="2"/>
          </w:tcPr>
          <w:p w14:paraId="362E191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6136 MS, 37,801 non-MS controls </w:t>
            </w:r>
          </w:p>
          <w:p w14:paraId="2184D29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1,670 NTZ</w:t>
            </w:r>
          </w:p>
        </w:tc>
        <w:tc>
          <w:tcPr>
            <w:tcW w:w="1134" w:type="dxa"/>
            <w:gridSpan w:val="2"/>
          </w:tcPr>
          <w:p w14:paraId="7F9062F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2011-2017</w:t>
            </w:r>
          </w:p>
        </w:tc>
        <w:tc>
          <w:tcPr>
            <w:tcW w:w="1559" w:type="dxa"/>
            <w:gridSpan w:val="2"/>
          </w:tcPr>
          <w:p w14:paraId="6130A13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RIX, FTY, NTZ</w:t>
            </w:r>
          </w:p>
        </w:tc>
        <w:tc>
          <w:tcPr>
            <w:tcW w:w="2552" w:type="dxa"/>
            <w:gridSpan w:val="2"/>
          </w:tcPr>
          <w:p w14:paraId="21A4FFDD" w14:textId="7949B614"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51F88F0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NTZ</w:t>
            </w:r>
          </w:p>
          <w:p w14:paraId="4795211E" w14:textId="77777777" w:rsidR="00D16970" w:rsidRPr="009A7518" w:rsidRDefault="00D16970" w:rsidP="00B967CB">
            <w:pPr>
              <w:spacing w:line="276" w:lineRule="auto"/>
              <w:contextualSpacing/>
              <w:rPr>
                <w:rFonts w:cs="Times New Roman"/>
                <w:sz w:val="20"/>
                <w:szCs w:val="20"/>
              </w:rPr>
            </w:pPr>
            <w:proofErr w:type="gramStart"/>
            <w:r w:rsidRPr="009A7518">
              <w:rPr>
                <w:rFonts w:cs="Times New Roman"/>
                <w:sz w:val="20"/>
                <w:szCs w:val="20"/>
              </w:rPr>
              <w:t>IR(</w:t>
            </w:r>
            <w:proofErr w:type="gramEnd"/>
            <w:r w:rsidRPr="009A7518">
              <w:rPr>
                <w:rFonts w:cs="Times New Roman"/>
                <w:sz w:val="20"/>
                <w:szCs w:val="20"/>
              </w:rPr>
              <w:t>/10 000py) = 26.0 (95% CI 15.1–41.6)</w:t>
            </w:r>
          </w:p>
          <w:p w14:paraId="3F24609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Controls</w:t>
            </w:r>
          </w:p>
          <w:p w14:paraId="719AD29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IR 31.0 (95% CI, 27.8–34.4) </w:t>
            </w:r>
          </w:p>
          <w:p w14:paraId="5B8D616A" w14:textId="77777777" w:rsidR="00D16970" w:rsidRPr="009A7518" w:rsidRDefault="00D16970" w:rsidP="00B967CB">
            <w:pPr>
              <w:spacing w:line="276" w:lineRule="auto"/>
              <w:contextualSpacing/>
              <w:rPr>
                <w:rFonts w:cs="Times New Roman"/>
                <w:sz w:val="20"/>
                <w:szCs w:val="20"/>
              </w:rPr>
            </w:pPr>
          </w:p>
          <w:p w14:paraId="59DEFDD7" w14:textId="1BDB2364"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5ABD153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NTZ vs controls </w:t>
            </w:r>
          </w:p>
          <w:p w14:paraId="22E4DA3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 1.01 (95% CI 0.57–1.77)</w:t>
            </w:r>
          </w:p>
        </w:tc>
        <w:tc>
          <w:tcPr>
            <w:tcW w:w="2409" w:type="dxa"/>
            <w:gridSpan w:val="2"/>
          </w:tcPr>
          <w:p w14:paraId="40936E81" w14:textId="39AB3CD6"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7303297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Pre</w:t>
            </w:r>
            <w:r>
              <w:rPr>
                <w:rFonts w:cs="Times New Roman"/>
                <w:sz w:val="20"/>
                <w:szCs w:val="20"/>
              </w:rPr>
              <w:t>-</w:t>
            </w:r>
            <w:r w:rsidRPr="009A7518">
              <w:rPr>
                <w:rFonts w:cs="Times New Roman"/>
                <w:sz w:val="20"/>
                <w:szCs w:val="20"/>
              </w:rPr>
              <w:t xml:space="preserve">cancer (CIN 3) </w:t>
            </w:r>
          </w:p>
          <w:p w14:paraId="5B5BD6C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IR (/10 000py) 31.3 (95% CI 17.5-51.6)</w:t>
            </w:r>
          </w:p>
          <w:p w14:paraId="6D4BBB5A" w14:textId="77777777" w:rsidR="00D16970" w:rsidRPr="009A7518" w:rsidRDefault="00D16970" w:rsidP="00B967CB">
            <w:pPr>
              <w:spacing w:line="276" w:lineRule="auto"/>
              <w:contextualSpacing/>
              <w:rPr>
                <w:rFonts w:cs="Times New Roman"/>
                <w:sz w:val="20"/>
                <w:szCs w:val="20"/>
              </w:rPr>
            </w:pPr>
          </w:p>
          <w:p w14:paraId="0D5F5FD6" w14:textId="40E96C33"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1EEC5D3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1.29 (95% CI 0.71-2.34)</w:t>
            </w:r>
          </w:p>
        </w:tc>
        <w:tc>
          <w:tcPr>
            <w:tcW w:w="2127" w:type="dxa"/>
            <w:gridSpan w:val="2"/>
          </w:tcPr>
          <w:p w14:paraId="6CC039CD" w14:textId="55E8B532" w:rsidR="00D16970" w:rsidRPr="009A7518" w:rsidRDefault="00D16970" w:rsidP="00B967CB">
            <w:pPr>
              <w:spacing w:line="276" w:lineRule="auto"/>
              <w:contextualSpacing/>
              <w:rPr>
                <w:rFonts w:cs="Times New Roman"/>
                <w:sz w:val="20"/>
                <w:szCs w:val="20"/>
              </w:rPr>
            </w:pPr>
            <w:r w:rsidRPr="009A7518">
              <w:rPr>
                <w:rFonts w:cs="Times New Roman"/>
                <w:sz w:val="20"/>
                <w:szCs w:val="20"/>
              </w:rPr>
              <w:t>No difference in risk of invasive cancer between NTZ, and the general population</w:t>
            </w:r>
            <w:r w:rsidR="00B967CB">
              <w:rPr>
                <w:rFonts w:cs="Times New Roman"/>
                <w:sz w:val="20"/>
                <w:szCs w:val="20"/>
              </w:rPr>
              <w:t>.</w:t>
            </w:r>
          </w:p>
          <w:p w14:paraId="25766A3B" w14:textId="77777777" w:rsidR="00D16970" w:rsidRPr="009A7518" w:rsidRDefault="00D16970" w:rsidP="00B967CB">
            <w:pPr>
              <w:spacing w:line="276" w:lineRule="auto"/>
              <w:contextualSpacing/>
              <w:rPr>
                <w:rFonts w:cs="Times New Roman"/>
                <w:sz w:val="20"/>
                <w:szCs w:val="20"/>
              </w:rPr>
            </w:pPr>
          </w:p>
          <w:p w14:paraId="4AD61D8B" w14:textId="5B7C22BE" w:rsidR="00D16970" w:rsidRPr="009A7518" w:rsidRDefault="00D16970" w:rsidP="00B967CB">
            <w:pPr>
              <w:spacing w:line="276" w:lineRule="auto"/>
              <w:contextualSpacing/>
              <w:rPr>
                <w:rFonts w:cs="Times New Roman"/>
                <w:sz w:val="20"/>
                <w:szCs w:val="20"/>
              </w:rPr>
            </w:pPr>
            <w:r w:rsidRPr="009A7518">
              <w:rPr>
                <w:rFonts w:cs="Times New Roman"/>
                <w:sz w:val="20"/>
                <w:szCs w:val="20"/>
              </w:rPr>
              <w:t>No difference in risk of cervical cancer between NTZ, and the general population</w:t>
            </w:r>
            <w:r w:rsidR="00B967CB">
              <w:rPr>
                <w:rFonts w:cs="Times New Roman"/>
                <w:sz w:val="20"/>
                <w:szCs w:val="20"/>
              </w:rPr>
              <w:t>.</w:t>
            </w:r>
          </w:p>
          <w:p w14:paraId="13383B9C" w14:textId="77777777" w:rsidR="00D16970" w:rsidRPr="009A7518" w:rsidRDefault="00D16970" w:rsidP="00B967CB">
            <w:pPr>
              <w:spacing w:line="276" w:lineRule="auto"/>
              <w:contextualSpacing/>
              <w:rPr>
                <w:rFonts w:cs="Times New Roman"/>
                <w:sz w:val="20"/>
                <w:szCs w:val="20"/>
              </w:rPr>
            </w:pPr>
          </w:p>
        </w:tc>
      </w:tr>
      <w:tr w:rsidR="00D16970" w:rsidRPr="009A7518" w14:paraId="01615BFE" w14:textId="77777777" w:rsidTr="00BA7170">
        <w:tc>
          <w:tcPr>
            <w:tcW w:w="15310" w:type="dxa"/>
            <w:gridSpan w:val="17"/>
          </w:tcPr>
          <w:p w14:paraId="72AA112A" w14:textId="77777777" w:rsidR="00D16970" w:rsidRPr="009A7518" w:rsidRDefault="00D16970" w:rsidP="00B967CB">
            <w:pPr>
              <w:spacing w:line="276" w:lineRule="auto"/>
              <w:contextualSpacing/>
              <w:rPr>
                <w:rFonts w:cs="Times New Roman"/>
                <w:sz w:val="20"/>
                <w:szCs w:val="20"/>
              </w:rPr>
            </w:pPr>
            <w:r w:rsidRPr="009A7518">
              <w:rPr>
                <w:rFonts w:cs="Times New Roman"/>
                <w:b/>
                <w:bCs/>
                <w:sz w:val="20"/>
                <w:szCs w:val="20"/>
              </w:rPr>
              <w:t xml:space="preserve">Fingolimod </w:t>
            </w:r>
          </w:p>
        </w:tc>
      </w:tr>
      <w:tr w:rsidR="00D16970" w:rsidRPr="009A7518" w14:paraId="419B8597" w14:textId="77777777" w:rsidTr="00BA7170">
        <w:tc>
          <w:tcPr>
            <w:tcW w:w="1560" w:type="dxa"/>
          </w:tcPr>
          <w:p w14:paraId="0F12C9C3" w14:textId="4C883468"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Kappos</w:t>
            </w:r>
            <w:proofErr w:type="spellEnd"/>
            <w:r w:rsidRPr="009A7518">
              <w:rPr>
                <w:rFonts w:cs="Times New Roman"/>
                <w:sz w:val="20"/>
                <w:szCs w:val="20"/>
              </w:rPr>
              <w:t xml:space="preserve"> et al., 2010</w:t>
            </w:r>
            <w:r w:rsidRPr="009A7518">
              <w:rPr>
                <w:rFonts w:cs="Times New Roman"/>
                <w:sz w:val="20"/>
                <w:szCs w:val="20"/>
              </w:rPr>
              <w:fldChar w:fldCharType="begin"/>
            </w:r>
            <w:r w:rsidR="00B967CB">
              <w:rPr>
                <w:rFonts w:cs="Times New Roman"/>
                <w:sz w:val="20"/>
                <w:szCs w:val="20"/>
              </w:rPr>
              <w:instrText xml:space="preserve"> ADDIN ZOTERO_ITEM CSL_CITATION {"citationID":"A1q7PhFH","properties":{"formattedCitation":"(20)","plainCitation":"(20)","noteIndex":0},"citationItems":[{"id":414,"uris":["http://zotero.org/users/local/DBM3sz94/items/BCCIXR3Y"],"itemData":{"id":414,"type":"article-journal","abstract":"Fingolimod (FTY720) is an oral sphingosine-1-phosphate–receptor modulator1 that is currently being evaluated for the treatment of multiple sclerosis. There is evidence that fingolimod acts by preventing lymphocyte egress from lymph nodes.2,3 This leads to a reduced infiltration of potentially autoaggressive lymphocytes into the central nervous system.4,5 Preclinical findings also suggest that fingolimod may promote neuroprotective and reparative processes within the central nervous system through modulation of sphingosine-1-phosphate receptors expressed on neural cells.6–12 A 6-month, phase 2, placebo-controlled study13 and its open-label extension study14 showed sustained suppression, for up to 5 years, of both relapse and inflammatory activity . . .","container-title":"New England Journal of Medicine","DOI":"10.1056/NEJMoa0909494","ISSN":"0028-4793","issue":"5","note":"publisher: Massachusetts Medical Society\n_eprint: https://doi.org/10.1056/NEJMoa0909494\nPMID: 20089952","page":"387-401","source":"Taylor and Francis+NEJM","title":"A Placebo-Controlled Trial of Oral Fingolimod in Relapsing Multiple Sclerosis","volume":"362","author":[{"family":"Kappos","given":"Ludwig"},{"family":"Radue","given":"Ernst-Wilhelm"},{"family":"O'Connor","given":"Paul"},{"family":"Polman","given":"Chris"},{"family":"Hohlfeld","given":"Reinhard"},{"family":"Calabresi","given":"Peter"},{"family":"Selmaj","given":"Krzysztof"},{"family":"Agoropoulou","given":"Catherine"},{"family":"Leyk","given":"Malgorzata"},{"family":"Zhang-Auberson","given":"Lixin"},{"family":"Burtin","given":"Pascale"}],"issued":{"date-parts":[["2010",2,4]]}}}],"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(20)</w:t>
            </w:r>
            <w:r w:rsidRPr="009A7518">
              <w:rPr>
                <w:rFonts w:cs="Times New Roman"/>
                <w:sz w:val="20"/>
                <w:szCs w:val="20"/>
              </w:rPr>
              <w:fldChar w:fldCharType="end"/>
            </w:r>
          </w:p>
          <w:p w14:paraId="5ED2F0F1" w14:textId="77777777" w:rsidR="00D16970" w:rsidRPr="009A7518" w:rsidRDefault="00D16970" w:rsidP="00B967CB">
            <w:pPr>
              <w:spacing w:line="276" w:lineRule="auto"/>
              <w:contextualSpacing/>
              <w:rPr>
                <w:rFonts w:cs="Times New Roman"/>
                <w:sz w:val="20"/>
                <w:szCs w:val="20"/>
              </w:rPr>
            </w:pPr>
          </w:p>
          <w:p w14:paraId="5D722E3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FREEDOMS</w:t>
            </w:r>
          </w:p>
          <w:p w14:paraId="0064FD35"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sz w:val="20"/>
                <w:szCs w:val="20"/>
              </w:rPr>
              <w:t>NCT00289978</w:t>
            </w:r>
          </w:p>
        </w:tc>
        <w:tc>
          <w:tcPr>
            <w:tcW w:w="1417" w:type="dxa"/>
            <w:gridSpan w:val="2"/>
          </w:tcPr>
          <w:p w14:paraId="3D52975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placebo-controlled trial </w:t>
            </w:r>
          </w:p>
        </w:tc>
        <w:tc>
          <w:tcPr>
            <w:tcW w:w="1276" w:type="dxa"/>
            <w:gridSpan w:val="2"/>
          </w:tcPr>
          <w:p w14:paraId="2484000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7702E41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1033 MS patients </w:t>
            </w:r>
          </w:p>
          <w:p w14:paraId="44F5196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854 FTY 418 Placebo</w:t>
            </w:r>
          </w:p>
        </w:tc>
        <w:tc>
          <w:tcPr>
            <w:tcW w:w="1134" w:type="dxa"/>
            <w:gridSpan w:val="2"/>
          </w:tcPr>
          <w:p w14:paraId="09DB5B9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2006-2007</w:t>
            </w:r>
          </w:p>
        </w:tc>
        <w:tc>
          <w:tcPr>
            <w:tcW w:w="1559" w:type="dxa"/>
            <w:gridSpan w:val="2"/>
          </w:tcPr>
          <w:p w14:paraId="3F561A1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FTY</w:t>
            </w:r>
          </w:p>
        </w:tc>
        <w:tc>
          <w:tcPr>
            <w:tcW w:w="2552" w:type="dxa"/>
            <w:gridSpan w:val="2"/>
          </w:tcPr>
          <w:p w14:paraId="65336A1F"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007B26F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p w14:paraId="0F91B2D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 </w:t>
            </w:r>
          </w:p>
          <w:p w14:paraId="63857F12" w14:textId="77777777" w:rsidR="00D16970" w:rsidRPr="009A7518" w:rsidRDefault="00D16970" w:rsidP="00B967CB">
            <w:pPr>
              <w:spacing w:line="276" w:lineRule="auto"/>
              <w:contextualSpacing/>
              <w:rPr>
                <w:rFonts w:cs="Times New Roman"/>
                <w:sz w:val="20"/>
                <w:szCs w:val="20"/>
              </w:rPr>
            </w:pPr>
          </w:p>
          <w:p w14:paraId="1368D30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Placebo</w:t>
            </w:r>
          </w:p>
          <w:p w14:paraId="3773C07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10 </w:t>
            </w:r>
          </w:p>
        </w:tc>
        <w:tc>
          <w:tcPr>
            <w:tcW w:w="2409" w:type="dxa"/>
            <w:gridSpan w:val="2"/>
          </w:tcPr>
          <w:p w14:paraId="6EAAFBFA"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30919DD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Cervical cancer </w:t>
            </w:r>
          </w:p>
          <w:p w14:paraId="5D61B41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p w14:paraId="0846FF3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0 </w:t>
            </w:r>
          </w:p>
          <w:p w14:paraId="26BAD766" w14:textId="77777777" w:rsidR="00D16970" w:rsidRPr="009A7518" w:rsidRDefault="00D16970" w:rsidP="00B967CB">
            <w:pPr>
              <w:spacing w:line="276" w:lineRule="auto"/>
              <w:contextualSpacing/>
              <w:rPr>
                <w:rFonts w:cs="Times New Roman"/>
                <w:sz w:val="20"/>
                <w:szCs w:val="20"/>
              </w:rPr>
            </w:pPr>
          </w:p>
          <w:p w14:paraId="68E630C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Placebo</w:t>
            </w:r>
          </w:p>
          <w:p w14:paraId="61EA427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tc>
        <w:tc>
          <w:tcPr>
            <w:tcW w:w="2127" w:type="dxa"/>
            <w:gridSpan w:val="2"/>
          </w:tcPr>
          <w:p w14:paraId="7305D3CE" w14:textId="753AB171" w:rsidR="00D16970" w:rsidRPr="009A7518" w:rsidRDefault="00D16970" w:rsidP="00B967CB">
            <w:pPr>
              <w:spacing w:line="276" w:lineRule="auto"/>
              <w:contextualSpacing/>
              <w:rPr>
                <w:rFonts w:cs="Times New Roman"/>
                <w:sz w:val="20"/>
                <w:szCs w:val="20"/>
              </w:rPr>
            </w:pPr>
            <w:r w:rsidRPr="009A7518">
              <w:rPr>
                <w:rFonts w:cs="Times New Roman"/>
                <w:sz w:val="20"/>
                <w:szCs w:val="20"/>
              </w:rPr>
              <w:t>Incidence of overall cancer and cervical cancer not increased in patients treated with FTY</w:t>
            </w:r>
            <w:r w:rsidR="00B967CB">
              <w:rPr>
                <w:rFonts w:cs="Times New Roman"/>
                <w:sz w:val="20"/>
                <w:szCs w:val="20"/>
              </w:rPr>
              <w:t>.</w:t>
            </w:r>
          </w:p>
        </w:tc>
      </w:tr>
      <w:tr w:rsidR="00D16970" w:rsidRPr="009A7518" w14:paraId="1E6A6831" w14:textId="77777777" w:rsidTr="00BA7170">
        <w:tc>
          <w:tcPr>
            <w:tcW w:w="1560" w:type="dxa"/>
          </w:tcPr>
          <w:p w14:paraId="0660C029" w14:textId="11A97506" w:rsidR="00D16970" w:rsidRPr="009A7518" w:rsidRDefault="00D16970" w:rsidP="00B967CB">
            <w:pPr>
              <w:spacing w:line="276" w:lineRule="auto"/>
              <w:contextualSpacing/>
              <w:rPr>
                <w:rFonts w:cs="Times New Roman"/>
                <w:sz w:val="20"/>
                <w:szCs w:val="20"/>
              </w:rPr>
            </w:pPr>
            <w:r w:rsidRPr="009A7518">
              <w:rPr>
                <w:rFonts w:cs="Times New Roman"/>
                <w:sz w:val="20"/>
                <w:szCs w:val="20"/>
              </w:rPr>
              <w:t>Cohen et al., 2010</w:t>
            </w:r>
            <w:r w:rsidRPr="009A7518">
              <w:rPr>
                <w:rFonts w:cs="Times New Roman"/>
                <w:sz w:val="20"/>
                <w:szCs w:val="20"/>
              </w:rPr>
              <w:fldChar w:fldCharType="begin"/>
            </w:r>
            <w:r w:rsidR="00B967CB">
              <w:rPr>
                <w:rFonts w:cs="Times New Roman"/>
                <w:sz w:val="20"/>
                <w:szCs w:val="20"/>
              </w:rPr>
              <w:instrText xml:space="preserve"> ADDIN ZOTERO_ITEM CSL_CITATION {"citationID":"IWJSGYSj","properties":{"formattedCitation":"(21)","plainCitation":"(21)","noteIndex":0},"citationItems":[{"id":876,"uris":["http://zotero.org/users/local/DBM3sz94/items/4CPASYII"],"itemData":{"id":876,"type":"article-journal","abstract":"Background\nFingolimod (FTY720), a sphingosine-1-phosphate-receptor modulator that prevents lymphocyte egress from lymph nodes, showed clinical efficacy and improvement on imaging in a phase 2 study involving patients with multiple sclerosis.\nMethods\nIn this 12-month, double-blind, double-dummy study, we randomly assigned 1292 patients with relapsing-remitting multiple sclerosis who had a recent history of at least one relapse to receive either oral fingolimod at a daily dose of either 1.25 or 0.5 mg or intramuscular interferon beta-1a (an established therapy for multiple sclerosis) at a weekly dose of 30 μg. The primary end point was the annualized relapse rate. Key secondary end points were the number of new or enlarged lesions on T2 -weighted magnetic resonance imaging (MRI) scans at 12 months and progression of disability that was sustained for at least 3 months.\nResults\nA total of 1153 patients (89%) completed the study. The annualized relapse rate was significantly lower in both groups receiving fingolimod -- 0.20 (95% confidence interval [CI], 0.16 to 0.26) in the 1.25-mg group and 0.16 (95% CI, 0.12 to 0.21) in the 0.5-mg group -- than in the interferon group (0.33; 95% CI, 0.26 to 0.42; P&lt;0.001 for both comparisons). MRI findings supported the primary results. No significant differences were seen among the study groups with respect to progression of disability. Two fatal infections occurred in the group that received the 1.25-mg dose of fingolimod: disseminated primary varicella zoster and herpes simplex encephalitis. Other adverse events among patients receiving fingolimod were nonfatal herpesvirus infections, bradycardia and atrioventricular block, hypertension, macular edema, skin cancer, and elevated liver-enzyme levels.\nConclusions\nThis trial showed the superior efficacy of oral fingolimod with respect to relapse rates and MRI outcomes in patients with multiple sclerosis, as compared with intramuscular interferon beta-1a. Longer studies are needed to assess the safety and efficacy of treatment beyond 1 year. (ClinicalTrials.gov number, NCT00340834 .)","container-title":"The New England Journal of Medicine","DOI":"https://doi.org/10.1056/NEJMoa0907839","ISSN":"00284793","issue":"5","language":"English","license":"Copyright © 2010 Massachusetts Medical Society. All rights reserved.","note":"number-of-pages: 402-15\npublisher-place: Boston, United States\npublisher: Massachusetts Medical Society\nsection: 30; Original Article","page":"402-15","source":"ProQuest","title":"Oral Fingolimod or Intramuscular Interferon for Relapsing Multiple Sclerosis","volume":"362","author":[{"family":"Cohen","given":"Jeffrey A."},{"family":"Barkhof","given":"Frederik"},{"family":"Comi","given":"Giancarlo"},{"family":"Hartung","given":"Hans-Peter"},{"family":"Khatri","given":"Bhupendra O."},{"family":"Montalban","given":"Xavier"},{"family":"Pelletier","given":"Jean"},{"family":"Capra","given":"Ruggero"},{"family":"Gallo","given":"Paolo"},{"family":"Izquierdo","given":"Guillermo"},{"family":"Tiel-Wilck","given":"Klaus"},{"family":"Vera","given":"Ana","non-dropping-particle":"de"},{"family":"Jin","given":"James"},{"family":"Stites","given":"Tracy"},{"family":"Wu","given":"Stacy"},{"family":"Aradhye","given":"Shreeram"},{"family":"Kappos","given":"Ludwig"}],"issued":{"date-parts":[["2010",2,4]]}}}],"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(21)</w:t>
            </w:r>
            <w:r w:rsidRPr="009A7518">
              <w:rPr>
                <w:rFonts w:cs="Times New Roman"/>
                <w:sz w:val="20"/>
                <w:szCs w:val="20"/>
              </w:rPr>
              <w:fldChar w:fldCharType="end"/>
            </w:r>
            <w:r w:rsidRPr="009A7518">
              <w:rPr>
                <w:rFonts w:cs="Times New Roman"/>
                <w:sz w:val="20"/>
                <w:szCs w:val="20"/>
              </w:rPr>
              <w:t xml:space="preserve"> </w:t>
            </w:r>
          </w:p>
          <w:p w14:paraId="48B89140" w14:textId="77777777" w:rsidR="00D16970" w:rsidRPr="009A7518" w:rsidRDefault="00D16970" w:rsidP="00B967CB">
            <w:pPr>
              <w:spacing w:line="276" w:lineRule="auto"/>
              <w:contextualSpacing/>
              <w:rPr>
                <w:rFonts w:cs="Times New Roman"/>
                <w:sz w:val="20"/>
                <w:szCs w:val="20"/>
              </w:rPr>
            </w:pPr>
          </w:p>
          <w:p w14:paraId="6BA9327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TRANSFORMS</w:t>
            </w:r>
          </w:p>
          <w:p w14:paraId="550206DA"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sz w:val="20"/>
                <w:szCs w:val="20"/>
              </w:rPr>
              <w:t>NCT00340834</w:t>
            </w:r>
          </w:p>
        </w:tc>
        <w:tc>
          <w:tcPr>
            <w:tcW w:w="1417" w:type="dxa"/>
            <w:gridSpan w:val="2"/>
          </w:tcPr>
          <w:p w14:paraId="49CDAA5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
          <w:p w14:paraId="720CC0F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double-blind, p</w:t>
            </w:r>
            <w:r w:rsidRPr="009A7518">
              <w:rPr>
                <w:rFonts w:cs="Times New Roman"/>
                <w:color w:val="000000"/>
                <w:sz w:val="20"/>
                <w:szCs w:val="20"/>
                <w:shd w:val="clear" w:color="auto" w:fill="FFFFFF"/>
              </w:rPr>
              <w:t>arallel group</w:t>
            </w:r>
            <w:r w:rsidRPr="009A7518">
              <w:rPr>
                <w:rFonts w:cs="Times New Roman"/>
                <w:sz w:val="20"/>
                <w:szCs w:val="20"/>
              </w:rPr>
              <w:t xml:space="preserve"> trial  </w:t>
            </w:r>
          </w:p>
        </w:tc>
        <w:tc>
          <w:tcPr>
            <w:tcW w:w="1276" w:type="dxa"/>
            <w:gridSpan w:val="2"/>
          </w:tcPr>
          <w:p w14:paraId="6E52C89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78E76B5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1153 MS patients</w:t>
            </w:r>
          </w:p>
          <w:p w14:paraId="610D613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857 FTY </w:t>
            </w:r>
          </w:p>
          <w:p w14:paraId="5956490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435 Interferon Beta-1a  </w:t>
            </w:r>
          </w:p>
        </w:tc>
        <w:tc>
          <w:tcPr>
            <w:tcW w:w="1134" w:type="dxa"/>
            <w:gridSpan w:val="2"/>
          </w:tcPr>
          <w:p w14:paraId="5E3C5C2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2006-2007</w:t>
            </w:r>
          </w:p>
        </w:tc>
        <w:tc>
          <w:tcPr>
            <w:tcW w:w="1559" w:type="dxa"/>
            <w:gridSpan w:val="2"/>
          </w:tcPr>
          <w:p w14:paraId="4CA8DA8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tc>
        <w:tc>
          <w:tcPr>
            <w:tcW w:w="2552" w:type="dxa"/>
            <w:gridSpan w:val="2"/>
          </w:tcPr>
          <w:p w14:paraId="04D43F05"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5D824B5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p w14:paraId="6A919FC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12 </w:t>
            </w:r>
          </w:p>
          <w:p w14:paraId="6FAC48B9" w14:textId="77777777" w:rsidR="00D16970" w:rsidRPr="009A7518" w:rsidRDefault="00D16970" w:rsidP="00B967CB">
            <w:pPr>
              <w:spacing w:line="276" w:lineRule="auto"/>
              <w:contextualSpacing/>
              <w:rPr>
                <w:rFonts w:cs="Times New Roman"/>
                <w:sz w:val="20"/>
                <w:szCs w:val="20"/>
              </w:rPr>
            </w:pPr>
          </w:p>
          <w:p w14:paraId="3F6EC57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Interferon-beta-1a</w:t>
            </w:r>
          </w:p>
          <w:p w14:paraId="179A1B3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tc>
        <w:tc>
          <w:tcPr>
            <w:tcW w:w="2409" w:type="dxa"/>
            <w:gridSpan w:val="2"/>
          </w:tcPr>
          <w:p w14:paraId="0E1283D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7758A2CC" w14:textId="77777777" w:rsidR="00D16970" w:rsidRPr="009A7518" w:rsidRDefault="00D16970" w:rsidP="00B967CB">
            <w:pPr>
              <w:spacing w:line="276" w:lineRule="auto"/>
              <w:contextualSpacing/>
              <w:rPr>
                <w:rFonts w:cs="Times New Roman"/>
                <w:sz w:val="20"/>
                <w:szCs w:val="20"/>
              </w:rPr>
            </w:pPr>
          </w:p>
        </w:tc>
      </w:tr>
      <w:tr w:rsidR="00D16970" w:rsidRPr="009A7518" w14:paraId="2DBD9678" w14:textId="77777777" w:rsidTr="00BA7170">
        <w:tc>
          <w:tcPr>
            <w:tcW w:w="1560" w:type="dxa"/>
          </w:tcPr>
          <w:p w14:paraId="732BF1D8" w14:textId="1B180A49"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Calabresi</w:t>
            </w:r>
            <w:proofErr w:type="spellEnd"/>
            <w:r w:rsidRPr="009A7518">
              <w:rPr>
                <w:rFonts w:cs="Times New Roman"/>
                <w:sz w:val="20"/>
                <w:szCs w:val="20"/>
              </w:rPr>
              <w:t xml:space="preserve"> et al., 2014</w:t>
            </w:r>
            <w:r w:rsidRPr="009A7518">
              <w:rPr>
                <w:rFonts w:cs="Times New Roman"/>
                <w:sz w:val="20"/>
                <w:szCs w:val="20"/>
              </w:rPr>
              <w:fldChar w:fldCharType="begin"/>
            </w:r>
            <w:r w:rsidR="00B967CB">
              <w:rPr>
                <w:rFonts w:cs="Times New Roman"/>
                <w:sz w:val="20"/>
                <w:szCs w:val="20"/>
              </w:rPr>
              <w:instrText xml:space="preserve"> ADDIN ZOTERO_ITEM CSL_CITATION {"citationID":"AtCXy6u1","properties":{"formattedCitation":"(22)","plainCitation":"(22)","noteIndex":0},"citationItems":[{"id":868,"uris":["http://zotero.org/users/local/DBM3sz94/items/L6FJN32I"],"itemData":{"id":868,"type":"article-journal","container-title":"The Lancet Neurology","DOI":"10.1016/S1474-4422(14)70049-3","ISSN":"1474-4422, 1474-4465","issue":"6","journalAbbreviation":"The Lancet Neurology","language":"English","note":"publisher: Elsevier\nPMID: 24685276","page":"545-556","source":"www.thelancet.com","title":"Safety and efficacy of fingolimod in patients with relapsing-remitting multiple sclerosis (FREEDOMS II): a double-blind, randomised, placebo-controlled, phase 3 trial","title-short":"Safety and efficacy of fingolimod in patients with relapsing-remitting multiple sclerosis (FREEDOMS II)","volume":"13","author":[{"family":"Calabresi","given":"Peter A."},{"family":"Radue","given":"Ernst-Wilhelm"},{"family":"Goodin","given":"Douglas"},{"family":"Jeffery","given":"Douglas"},{"family":"Rammohan","given":"Kottil W."},{"family":"Reder","given":"Anthony T."},{"family":"Vollmer","given":"Timothy"},{"family":"Agius","given":"Mark A."},{"family":"Kappos","given":"Ludwig"},{"family":"Stites","given":"Tracy"},{"family":"Li","given":"Bingbing"},{"family":"Cappiello","given":"Linda"},{"family":"Rosenstiel","given":"Philipp","dropping-particle":"von"},{"family":"Lublin","given":"Fred D."}],"issued":{"date-parts":[["2014",6,1]]}}}],"schema":"https://github.com/citation-style-language/schema/raw/master/csl-citation.json"}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(22)</w:t>
            </w:r>
            <w:r w:rsidRPr="009A7518">
              <w:rPr>
                <w:rFonts w:cs="Times New Roman"/>
                <w:sz w:val="20"/>
                <w:szCs w:val="20"/>
              </w:rPr>
              <w:fldChar w:fldCharType="end"/>
            </w:r>
            <w:r w:rsidRPr="009A7518">
              <w:rPr>
                <w:rFonts w:cs="Times New Roman"/>
                <w:sz w:val="20"/>
                <w:szCs w:val="20"/>
              </w:rPr>
              <w:t xml:space="preserve"> </w:t>
            </w:r>
          </w:p>
          <w:p w14:paraId="77E9E7B2" w14:textId="77777777" w:rsidR="00D16970" w:rsidRPr="009A7518" w:rsidRDefault="00D16970" w:rsidP="00B967CB">
            <w:pPr>
              <w:spacing w:line="276" w:lineRule="auto"/>
              <w:contextualSpacing/>
              <w:rPr>
                <w:rFonts w:cs="Times New Roman"/>
                <w:sz w:val="20"/>
                <w:szCs w:val="20"/>
              </w:rPr>
            </w:pPr>
          </w:p>
          <w:p w14:paraId="636A9E2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FREDOMS II</w:t>
            </w:r>
          </w:p>
          <w:p w14:paraId="0C42668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NCT00355134</w:t>
            </w:r>
          </w:p>
        </w:tc>
        <w:tc>
          <w:tcPr>
            <w:tcW w:w="1417" w:type="dxa"/>
            <w:gridSpan w:val="2"/>
          </w:tcPr>
          <w:p w14:paraId="6A644ED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placebo-controlled trial </w:t>
            </w:r>
          </w:p>
        </w:tc>
        <w:tc>
          <w:tcPr>
            <w:tcW w:w="1276" w:type="dxa"/>
            <w:gridSpan w:val="2"/>
          </w:tcPr>
          <w:p w14:paraId="25325DD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1847982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1083 MS patients</w:t>
            </w:r>
          </w:p>
          <w:p w14:paraId="0DA4610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728 FTY 355 Placebo.</w:t>
            </w:r>
          </w:p>
        </w:tc>
        <w:tc>
          <w:tcPr>
            <w:tcW w:w="1134" w:type="dxa"/>
            <w:gridSpan w:val="2"/>
          </w:tcPr>
          <w:p w14:paraId="762B8CC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2006-2009</w:t>
            </w:r>
          </w:p>
        </w:tc>
        <w:tc>
          <w:tcPr>
            <w:tcW w:w="1559" w:type="dxa"/>
            <w:gridSpan w:val="2"/>
          </w:tcPr>
          <w:p w14:paraId="7FC5A24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tc>
        <w:tc>
          <w:tcPr>
            <w:tcW w:w="2552" w:type="dxa"/>
            <w:gridSpan w:val="2"/>
          </w:tcPr>
          <w:p w14:paraId="5BF0AB0E"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3ADF29C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p w14:paraId="1E5199A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27 </w:t>
            </w:r>
          </w:p>
          <w:p w14:paraId="3B802230" w14:textId="77777777" w:rsidR="00D16970" w:rsidRPr="009A7518" w:rsidRDefault="00D16970" w:rsidP="00B967CB">
            <w:pPr>
              <w:spacing w:line="276" w:lineRule="auto"/>
              <w:contextualSpacing/>
              <w:rPr>
                <w:rFonts w:cs="Times New Roman"/>
                <w:sz w:val="20"/>
                <w:szCs w:val="20"/>
              </w:rPr>
            </w:pPr>
          </w:p>
          <w:p w14:paraId="3DAC5DB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1893D38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 </w:t>
            </w:r>
          </w:p>
        </w:tc>
        <w:tc>
          <w:tcPr>
            <w:tcW w:w="2409" w:type="dxa"/>
            <w:gridSpan w:val="2"/>
          </w:tcPr>
          <w:p w14:paraId="7A26B5A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3A140982" w14:textId="77777777" w:rsidR="00D16970" w:rsidRPr="009A7518" w:rsidRDefault="00D16970" w:rsidP="00B967CB">
            <w:pPr>
              <w:spacing w:line="276" w:lineRule="auto"/>
              <w:contextualSpacing/>
              <w:rPr>
                <w:rFonts w:cs="Times New Roman"/>
                <w:sz w:val="20"/>
                <w:szCs w:val="20"/>
              </w:rPr>
            </w:pPr>
          </w:p>
        </w:tc>
      </w:tr>
      <w:tr w:rsidR="00D16970" w:rsidRPr="009A7518" w14:paraId="28EB494F" w14:textId="77777777" w:rsidTr="00BA7170">
        <w:tc>
          <w:tcPr>
            <w:tcW w:w="1560" w:type="dxa"/>
          </w:tcPr>
          <w:p w14:paraId="5D42560E" w14:textId="6A241CCC"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Lublin et al., 2016</w:t>
            </w:r>
            <w:r w:rsidRPr="009A7518">
              <w:rPr>
                <w:rFonts w:cs="Times New Roman"/>
                <w:sz w:val="20"/>
                <w:szCs w:val="20"/>
              </w:rPr>
              <w:fldChar w:fldCharType="begin"/>
            </w:r>
            <w:r w:rsidR="00B967CB">
              <w:rPr>
                <w:rFonts w:cs="Times New Roman"/>
                <w:sz w:val="20"/>
                <w:szCs w:val="20"/>
              </w:rPr>
              <w:instrText xml:space="preserve"> ADDIN ZOTERO_ITEM CSL_CITATION {"citationID":"gC0Mv4UU","properties":{"formattedCitation":"(23)","plainCitation":"(23)","noteIndex":0},"citationItems":[{"id":880,"uris":["http://zotero.org/users/local/DBM3sz94/items/ZC6W8YFD"],"itemData":{"id":880,"type":"article-journal","abstract":"Background\nNo treatments have been approved for primary progressive multiple sclerosis. Fingolimod, an oral sphingosine 1-phosphate receptor modulator, is effective in relapse-onset multiple sclerosis, but has not been assessed in primary progressive multiple sclerosis. We assessed the safety and efficacy of fingolimod in patients with primary progressive multiple sclerosis.\nMethods\nIn INFORMS, a multicentre, double-blind, placebo-controlled parallel-group study, patients with primary progressive multiple sclerosis recruited across 148 centres in 18 countries were randomly allocated (1:1) with computer-generated blocks to receive oral fingolimod or placebo for at least 36 months and a maximum of 5 years. Patients were initially assigned to fingolimod 1·25 mg per day or placebo (cohort 1); however, after a protocol amendment on Nov 19, 2009, patients were switched in a masked manner to fingolimod 0·5 mg, whereas those on placebo continued on matching placebo. From then onwards, patients were assigned to receive fingolimod 0·5 mg/day or placebo (cohort 2). Key inclusion criteria were age 25–65 years, clinical diagnosis of primary progressive multiple sclerosis, 1 year or more of disease progression, and two of the following criteria: positive brain MRI; positive spinal cord MRI; or positive cerebrospinal fluid. Additional eligibility criteria included disease duration of 2–10 years and objective evidence of disability progression in the previous 2 years. Patients and study investigators were masked to group assignment. We used a novel primary composite endpoint based on change from baseline in Expanded Disability Status Scale (EDSS), 25' Timed-Walk Test, or Nine-Hole Peg Test to assess time to 3-month confirmed disability progression in study participants treated for at least 3 years. All randomised patients took at least one dose of study drug. The primary efficacy analysis included all patients in cohort 2 and those assigned to placebo in cohort 1. The safety analysis included all patients in cohorts 1 and 2. This study is registered with ClinicalTrials.gov, number NCT00731692. The study is now closed.\nFindings\n970 patients were randomly assigned between Sept 3, 2008, and Aug 30, 2011 (147 to fingolimod 1·25 mg and 133 to placebo in cohort 1; 336 to fingolimod 0·5 mg and 354 to placebo in cohort 2). The efficacy analysis set (n=823) consisted of 336 patients randomly allocated to fingolimod 0·5 mg and 487 to placebo. Baseline characteristics were similar across groups and representative of a primary progressive multiple sclerosis population (48% women, mean age 48·5 years [SD 8·4], mean EDSS 4·67 [SD 1·03], 87% free of gadolinium-enhancing lesions). By end of study, 3-month confirmed disability progression had occurred in 232 and 338 patients in the fingolimod and placebo groups, respectively, resulting in Kaplan-Meier estimates of 77·2% (95% CI 71·87–82·51) of patients in the fingolimod group versus 80·3% (73·31–87·25) of patients in the placebo group (risk reduction 5·05%; hazard ratio 0·95, 95% CI 0·80–1·12; p=0·544). Safety results were generally consistent with those of studies of fingolimod in patients with relapse-onset multiple sclerosis. Lymphopenia occurred in 19 (6%) patients in the fingolimod group versus none in the placebo group, bradycardia in five (1%) versus one (&lt;1%), and first-degree atrioventricular block in three (1%) versus six (1%). Serious adverse events occurred in 84 (25%) patients in the fingolimod group and 117 (24%) in the placebo group, including macular oedema in six (2%) versus six (1%), and basal-cell carcinoma in 14 (4%) versus nine (2%).\nInterpretation\nThe anti-inflammatory effects of fingolimod did not slow disease progression in primary progressive multiple sclerosis. Therapeutic strategies for primary progressive multiple sclerosis might need different approaches to those used for relapse-onset multiple sclerosis.\nFunding\nNovartis Pharma AG.","container-title":"The Lancet","DOI":"10.1016/S0140-6736(15)01314-8","ISSN":"0140-6736","issue":"10023","journalAbbreviation":"The Lancet","language":"en","page":"1075-1084","source":"ScienceDirect","title":"Oral fingolimod in primary progressive multiple sclerosis (INFORMS): a phase 3, randomised, double-blind, placebo-controlled trial","title-short":"Oral fingolimod in primary progressive multiple sclerosis (INFORMS)","volume":"387","author":[{"family":"Lublin","given":"Fred"},{"family":"Miller","given":"David H"},{"family":"Freedman","given":"Mark S"},{"family":"Cree","given":"Bruce A C"},{"family":"Wolinsky","given":"Jerry S"},{"family":"Weiner","given":"Howard"},{"family":"Lubetzki","given":"Catherine"},{"family":"Hartung","given":"Hans-Peter"},{"family":"Montalban","given":"Xavier"},{"family":"Uitdehaag","given":"Bernard M J"},{"family":"Merschhemke","given":"Martin"},{"family":"Li","given":"Bingbing"},{"family":"Putzki","given":"Norman"},{"family":"Liu","given":"Fonda C"},{"family":"Häring","given":"Dieter A"},{"family":"Kappos","given":"Ludwig"}],"issued":{"date-parts":[["2016",3,12]]}}}],"schema":"https://github.com/citation-style-language/schema/raw/master/csl-citation.json"}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(23)</w:t>
            </w:r>
            <w:r w:rsidRPr="009A7518">
              <w:rPr>
                <w:rFonts w:cs="Times New Roman"/>
                <w:sz w:val="20"/>
                <w:szCs w:val="20"/>
              </w:rPr>
              <w:fldChar w:fldCharType="end"/>
            </w:r>
          </w:p>
          <w:p w14:paraId="54EC3678" w14:textId="77777777" w:rsidR="00D16970" w:rsidRPr="009A7518" w:rsidRDefault="00D16970" w:rsidP="00B967CB">
            <w:pPr>
              <w:spacing w:line="276" w:lineRule="auto"/>
              <w:contextualSpacing/>
              <w:rPr>
                <w:rFonts w:cs="Times New Roman"/>
                <w:sz w:val="20"/>
                <w:szCs w:val="20"/>
              </w:rPr>
            </w:pPr>
          </w:p>
          <w:p w14:paraId="04F27C3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INFORMS</w:t>
            </w:r>
          </w:p>
          <w:p w14:paraId="65938BD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NCT00731692</w:t>
            </w:r>
          </w:p>
        </w:tc>
        <w:tc>
          <w:tcPr>
            <w:tcW w:w="1417" w:type="dxa"/>
            <w:gridSpan w:val="2"/>
          </w:tcPr>
          <w:p w14:paraId="6869873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placebo-controlled trial  </w:t>
            </w:r>
          </w:p>
        </w:tc>
        <w:tc>
          <w:tcPr>
            <w:tcW w:w="1276" w:type="dxa"/>
            <w:gridSpan w:val="2"/>
          </w:tcPr>
          <w:p w14:paraId="3375DC7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4B98A37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823 PPMS patients</w:t>
            </w:r>
          </w:p>
          <w:p w14:paraId="39C4EAD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336 FTY </w:t>
            </w:r>
          </w:p>
          <w:p w14:paraId="5271502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487 Placebo </w:t>
            </w:r>
          </w:p>
        </w:tc>
        <w:tc>
          <w:tcPr>
            <w:tcW w:w="1134" w:type="dxa"/>
            <w:gridSpan w:val="2"/>
          </w:tcPr>
          <w:p w14:paraId="601CEE8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2008-2011</w:t>
            </w:r>
          </w:p>
        </w:tc>
        <w:tc>
          <w:tcPr>
            <w:tcW w:w="1559" w:type="dxa"/>
            <w:gridSpan w:val="2"/>
          </w:tcPr>
          <w:p w14:paraId="50F70B9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tc>
        <w:tc>
          <w:tcPr>
            <w:tcW w:w="2552" w:type="dxa"/>
            <w:gridSpan w:val="2"/>
          </w:tcPr>
          <w:p w14:paraId="30840D80"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5506AE1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p w14:paraId="7C51398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26 </w:t>
            </w:r>
          </w:p>
          <w:p w14:paraId="53184748" w14:textId="77777777" w:rsidR="00D16970" w:rsidRPr="009A7518" w:rsidRDefault="00D16970" w:rsidP="00B967CB">
            <w:pPr>
              <w:spacing w:line="276" w:lineRule="auto"/>
              <w:contextualSpacing/>
              <w:rPr>
                <w:rFonts w:cs="Times New Roman"/>
                <w:sz w:val="20"/>
                <w:szCs w:val="20"/>
              </w:rPr>
            </w:pPr>
          </w:p>
          <w:p w14:paraId="6573763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1989F1E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12 </w:t>
            </w:r>
          </w:p>
        </w:tc>
        <w:tc>
          <w:tcPr>
            <w:tcW w:w="2409" w:type="dxa"/>
            <w:gridSpan w:val="2"/>
          </w:tcPr>
          <w:p w14:paraId="5C11AB9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2CF0B20C" w14:textId="77777777" w:rsidR="00D16970" w:rsidRPr="009A7518" w:rsidRDefault="00D16970" w:rsidP="00B967CB">
            <w:pPr>
              <w:spacing w:line="276" w:lineRule="auto"/>
              <w:contextualSpacing/>
              <w:rPr>
                <w:rFonts w:cs="Times New Roman"/>
                <w:sz w:val="20"/>
                <w:szCs w:val="20"/>
              </w:rPr>
            </w:pPr>
          </w:p>
        </w:tc>
      </w:tr>
      <w:tr w:rsidR="00D16970" w:rsidRPr="009A7518" w14:paraId="49E89CE2" w14:textId="77777777" w:rsidTr="00BA7170">
        <w:tc>
          <w:tcPr>
            <w:tcW w:w="1560" w:type="dxa"/>
          </w:tcPr>
          <w:p w14:paraId="65681218" w14:textId="648148F6" w:rsidR="00D16970" w:rsidRPr="009A7518" w:rsidRDefault="00D16970" w:rsidP="00B967CB">
            <w:pPr>
              <w:spacing w:line="276" w:lineRule="auto"/>
              <w:contextualSpacing/>
              <w:rPr>
                <w:rFonts w:cs="Times New Roman"/>
                <w:sz w:val="20"/>
                <w:szCs w:val="20"/>
              </w:rPr>
            </w:pPr>
            <w:r w:rsidRPr="009A7518">
              <w:rPr>
                <w:rFonts w:cs="Times New Roman"/>
                <w:sz w:val="20"/>
                <w:szCs w:val="20"/>
              </w:rPr>
              <w:t>Cohen et al., 2019</w:t>
            </w:r>
            <w:r w:rsidRPr="009A7518">
              <w:rPr>
                <w:rFonts w:cs="Times New Roman"/>
                <w:sz w:val="20"/>
                <w:szCs w:val="20"/>
              </w:rPr>
              <w:fldChar w:fldCharType="begin"/>
            </w:r>
            <w:r w:rsidR="00B967CB">
              <w:rPr>
                <w:rFonts w:cs="Times New Roman"/>
                <w:sz w:val="20"/>
                <w:szCs w:val="20"/>
              </w:rPr>
              <w:instrText xml:space="preserve"> ADDIN ZOTERO_ITEM CSL_CITATION {"citationID":"lcqOnKGb","properties":{"formattedCitation":"(24)","plainCitation":"(24)","noteIndex":0},"citationItems":[{"id":365,"uris":["http://zotero.org/users/local/DBM3sz94/items/9MZW6PII"],"itemData":{"id":365,"type":"article-journal","abstract":"Background:\nMultiple sclerosis (MS) is a chronic disease that may require decades of\nongoing treatment. Therefore, the long-term safety and efficacy of\ndisease-modifying therapies is an important consideration.\n\nMethods:\nThe LONGTERMS study evaluated the safety and efficacy of fingolimod in\npatients with relapsing MS (RMS) with up to 14 years of exposure. This phase\nIIIb, open-label extension study included patients aged </w:instrText>
            </w:r>
            <w:r w:rsidR="00B967CB">
              <w:rPr>
                <w:rFonts w:ascii="Cambria Math" w:hAnsi="Cambria Math" w:cs="Cambria Math"/>
                <w:sz w:val="20"/>
                <w:szCs w:val="20"/>
              </w:rPr>
              <w:instrText>⩾</w:instrText>
            </w:r>
            <w:r w:rsidR="00B967CB">
              <w:rPr>
                <w:rFonts w:cs="Times New Roman"/>
                <w:sz w:val="20"/>
                <w:szCs w:val="20"/>
              </w:rPr>
              <w:instrText xml:space="preserve"> 18 years with\nconfirmed RMS diagnosis who completed previous phase II/III/IIIb\ncore/extension studies of fingolimod. Patients received fingolimod 0.5 mg\norally once daily; safety and efficacy (clinical and magnetic resonance\nimaging) were the main outcomes.\n\nResults:\nOf 4086 patients from the core studies who entered LONGTERMS, 3480 (85.2%)\ncompleted the study. The median age (range) was 38 (17–65) years and median\nfingolimod exposure was 944.5 (range 75–4777) days. Overall, 85.5% of\npatients experienced at least one adverse event (AE); most common AEs (</w:instrText>
            </w:r>
            <w:r w:rsidR="00B967CB">
              <w:rPr>
                <w:rFonts w:ascii="Cambria Math" w:hAnsi="Cambria Math" w:cs="Cambria Math"/>
                <w:sz w:val="20"/>
                <w:szCs w:val="20"/>
              </w:rPr>
              <w:instrText>⩾</w:instrText>
            </w:r>
            <w:r w:rsidR="00B967CB">
              <w:rPr>
                <w:rFonts w:cs="Times New Roman"/>
                <w:sz w:val="20"/>
                <w:szCs w:val="20"/>
              </w:rPr>
              <w:instrText xml:space="preserve">10%)\nwere viral upper respiratory tract infection (17.3%), headache (13.3%),\nhypertension (11.0%) and lymphopenia (10.7%). Among patients with serious\nAEs (12.6%), basal cell carcinoma and MS relapse (0.9% each) were most\nfrequently reported. The aggregate annualized relapse rate decreased from\n0.22 (in years 0–2) to 0.17 (years 0–10); 45.5% of patients remained relapse\nfree after 10 years. At year 10, 63.2% of patients were free from 6-month\nconfirmed disability worsening.\n\nConclusion:\nThis long-term observational study of patients treated for up to 14 years\nwith fingolimod confirmed its established safety profile with no new safety\nconcerns. Patients with RMS receiving fingolimod had sustained low levels of\ndisease activity and progression.\n\nTrial Registration:\nClinicalTrials.gov identifier: NCT01201356.","container-title":"Therapeutic Advances in Neurological Disorders","DOI":"10.1177/1756286419878324","ISSN":"1756-2856","journalAbbreviation":"Ther Adv Neurol Disord","note":"PMID: 31598139\nPMCID: PMC6763939","page":"1756286419878324","source":"PubMed Central","title":"Extended treatment with fingolimod for relapsing multiple sclerosis: the 14-year LONGTERMS study results","title-short":"Extended treatment with fingolimod for relapsing multiple sclerosis","volume":"12","author":[{"family":"Cohen","given":"Jeffrey A."},{"family":"Tenenbaum","given":"Nadia"},{"family":"Bhatt","given":"Alit"},{"family":"Zhang","given":"Ying"},{"family":"Kappos","given":"Ludwig"}],"issued":{"date-parts":[["2019",9,25]]}}}],"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(24)</w:t>
            </w:r>
            <w:r w:rsidRPr="009A7518">
              <w:rPr>
                <w:rFonts w:cs="Times New Roman"/>
                <w:sz w:val="20"/>
                <w:szCs w:val="20"/>
              </w:rPr>
              <w:fldChar w:fldCharType="end"/>
            </w:r>
            <w:r w:rsidRPr="009A7518">
              <w:rPr>
                <w:rFonts w:cs="Times New Roman"/>
                <w:sz w:val="20"/>
                <w:szCs w:val="20"/>
              </w:rPr>
              <w:t xml:space="preserve"> </w:t>
            </w:r>
          </w:p>
          <w:p w14:paraId="648B1DF9" w14:textId="77777777" w:rsidR="00D16970" w:rsidRPr="009A7518" w:rsidRDefault="00D16970" w:rsidP="00B967CB">
            <w:pPr>
              <w:spacing w:line="276" w:lineRule="auto"/>
              <w:contextualSpacing/>
              <w:rPr>
                <w:rFonts w:cs="Times New Roman"/>
                <w:sz w:val="20"/>
                <w:szCs w:val="20"/>
              </w:rPr>
            </w:pPr>
          </w:p>
          <w:p w14:paraId="4809D1F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LONGTERMS</w:t>
            </w:r>
          </w:p>
          <w:p w14:paraId="3BC7E76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NCT01201356</w:t>
            </w:r>
          </w:p>
        </w:tc>
        <w:tc>
          <w:tcPr>
            <w:tcW w:w="1417" w:type="dxa"/>
            <w:gridSpan w:val="2"/>
          </w:tcPr>
          <w:p w14:paraId="7F049CD3"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Phase 3b, extension study.</w:t>
            </w:r>
          </w:p>
        </w:tc>
        <w:tc>
          <w:tcPr>
            <w:tcW w:w="1276" w:type="dxa"/>
            <w:gridSpan w:val="2"/>
          </w:tcPr>
          <w:p w14:paraId="6F013F0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1DDB59BE" w14:textId="77777777" w:rsidR="00D16970" w:rsidRPr="00AF230F" w:rsidRDefault="00D16970" w:rsidP="00B967CB">
            <w:pPr>
              <w:pStyle w:val="NormalWeb"/>
              <w:spacing w:line="276" w:lineRule="auto"/>
              <w:contextualSpacing/>
              <w:rPr>
                <w:color w:val="000000" w:themeColor="text1"/>
                <w:sz w:val="20"/>
                <w:szCs w:val="20"/>
              </w:rPr>
            </w:pPr>
            <w:r w:rsidRPr="00AF230F">
              <w:rPr>
                <w:color w:val="000000" w:themeColor="text1"/>
                <w:sz w:val="20"/>
                <w:szCs w:val="20"/>
              </w:rPr>
              <w:t xml:space="preserve">4086 MS patients FTY </w:t>
            </w:r>
          </w:p>
          <w:p w14:paraId="030E870C" w14:textId="77777777" w:rsidR="00D16970" w:rsidRPr="00AF230F" w:rsidRDefault="00D16970" w:rsidP="00B967CB">
            <w:pPr>
              <w:pStyle w:val="NormalWeb"/>
              <w:spacing w:line="276" w:lineRule="auto"/>
              <w:contextualSpacing/>
              <w:rPr>
                <w:sz w:val="20"/>
                <w:szCs w:val="20"/>
              </w:rPr>
            </w:pPr>
          </w:p>
        </w:tc>
        <w:tc>
          <w:tcPr>
            <w:tcW w:w="1134" w:type="dxa"/>
            <w:gridSpan w:val="2"/>
          </w:tcPr>
          <w:p w14:paraId="5F5F939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2010-2017</w:t>
            </w:r>
          </w:p>
        </w:tc>
        <w:tc>
          <w:tcPr>
            <w:tcW w:w="1559" w:type="dxa"/>
            <w:gridSpan w:val="2"/>
          </w:tcPr>
          <w:p w14:paraId="70AE564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w:t>
            </w:r>
          </w:p>
        </w:tc>
        <w:tc>
          <w:tcPr>
            <w:tcW w:w="2552" w:type="dxa"/>
            <w:gridSpan w:val="2"/>
          </w:tcPr>
          <w:p w14:paraId="6B31091B"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533741E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Benign, malignant, and unspecified neoplasms</w:t>
            </w:r>
          </w:p>
          <w:p w14:paraId="09E70BF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NR (2.6) </w:t>
            </w:r>
          </w:p>
          <w:p w14:paraId="7FC2B12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tc>
        <w:tc>
          <w:tcPr>
            <w:tcW w:w="2409" w:type="dxa"/>
            <w:gridSpan w:val="2"/>
          </w:tcPr>
          <w:p w14:paraId="6B144997"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 (n=):</w:t>
            </w:r>
          </w:p>
          <w:p w14:paraId="045806E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Cervical abnormality</w:t>
            </w:r>
          </w:p>
          <w:p w14:paraId="400D14F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IR 0.04 </w:t>
            </w:r>
          </w:p>
          <w:p w14:paraId="50EB4F0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(7)</w:t>
            </w:r>
          </w:p>
          <w:p w14:paraId="6E42C76E" w14:textId="77777777" w:rsidR="00D16970" w:rsidRPr="009A7518" w:rsidRDefault="00D16970" w:rsidP="00B967CB">
            <w:pPr>
              <w:spacing w:line="276" w:lineRule="auto"/>
              <w:contextualSpacing/>
              <w:rPr>
                <w:rFonts w:cs="Times New Roman"/>
                <w:sz w:val="20"/>
                <w:szCs w:val="20"/>
              </w:rPr>
            </w:pPr>
          </w:p>
          <w:p w14:paraId="12E9C0A6"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2C90532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Cervical cancer</w:t>
            </w:r>
          </w:p>
          <w:p w14:paraId="37D3F25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tc>
        <w:tc>
          <w:tcPr>
            <w:tcW w:w="2127" w:type="dxa"/>
            <w:gridSpan w:val="2"/>
          </w:tcPr>
          <w:p w14:paraId="5905ADC7" w14:textId="77777777" w:rsidR="00D16970" w:rsidRPr="009A7518" w:rsidRDefault="00D16970" w:rsidP="00B967CB">
            <w:pPr>
              <w:spacing w:line="276" w:lineRule="auto"/>
              <w:contextualSpacing/>
              <w:rPr>
                <w:rFonts w:cs="Times New Roman"/>
                <w:sz w:val="20"/>
                <w:szCs w:val="20"/>
              </w:rPr>
            </w:pPr>
          </w:p>
        </w:tc>
      </w:tr>
      <w:tr w:rsidR="00D16970" w:rsidRPr="009A7518" w14:paraId="037FD94E" w14:textId="77777777" w:rsidTr="00BA7170">
        <w:tc>
          <w:tcPr>
            <w:tcW w:w="1560" w:type="dxa"/>
          </w:tcPr>
          <w:p w14:paraId="7BD77206" w14:textId="15D7407B"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Mhanna</w:t>
            </w:r>
            <w:proofErr w:type="spellEnd"/>
            <w:r w:rsidRPr="009A7518">
              <w:rPr>
                <w:rFonts w:cs="Times New Roman"/>
                <w:sz w:val="20"/>
                <w:szCs w:val="20"/>
              </w:rPr>
              <w:t xml:space="preserve"> et al., 2020</w:t>
            </w:r>
            <w:r w:rsidRPr="009A7518">
              <w:rPr>
                <w:rFonts w:cs="Times New Roman"/>
                <w:sz w:val="20"/>
                <w:szCs w:val="20"/>
              </w:rPr>
              <w:fldChar w:fldCharType="begin"/>
            </w:r>
            <w:r w:rsidR="00B967CB">
              <w:rPr>
                <w:rFonts w:cs="Times New Roman"/>
                <w:sz w:val="20"/>
                <w:szCs w:val="20"/>
              </w:rPr>
              <w:instrText xml:space="preserve"> ADDIN ZOTERO_ITEM CSL_CITATION {"citationID":"8mk5IgOq","properties":{"formattedCitation":"(25)","plainCitation":"(25)","noteIndex":0},"citationItems":[{"id":254,"uris":["http://zotero.org/users/local/DBM3sz94/items/RDQ8AQXP"],"itemData":{"id":254,"type":"article-journal","abstract":"Few cases of human papillomavirus (HPV) diseases have been reported in multiple sclerosis (MS) patients treated with fingolimod. We describe a case series of 16 MS patients (11 women, 5 men) developing HPV lesions after the onset of fingolimod, without previous HPV history. Fingolimod had to be discontinued in six patients. Six patients received vaccination for HPV, with good tolerance. Our report highlights that systematic HPV screening and discussion about HPV vaccination before fingolimod onset are crucial. In case of occurrence of HPV lesions during fingolimod treatment, a comprehensive workup of HPV disease is necessary, with discussion of HPV vaccination to prevent secondary lesions. Prevalence studies of HPV lesions are needed in MS patients with the different disease-modifying therapies.","container-title":"Multiple Sclerosis Journal","DOI":"10.1177/1352458521991433","ISSN":"1352-4585","issue":"11","journalAbbreviation":"Mult Scler","note":"publisher: SAGE Publications Ltd STM","page":"1794-1798","source":"SAGE Journals","title":"Human papillomavirus lesions in 16 MS patients treated with fingolimod: Outcomes and vaccination","title-short":"Human papillomavirus lesions in 16 MS patients treated with fingolimod","volume":"27","author":[{"family":"Mhanna","given":"Elsa"},{"family":"Nouchi","given":"Agathe"},{"family":"Louapre","given":"Céline"},{"family":"De Paz","given":"Raphael"},{"family":"Heinzlef","given":"Olivier"},{"family":"Bodini","given":"Benedetta"},{"family":"Assouad","given":"Rana"},{"family":"Chochon","given":"Florence"},{"family":"Lubetzki","given":"Catherine"},{"family":"Papeix","given":"Caroline"},{"family":"Pourcher","given":"Valérie"},{"family":"Maillart","given":"Elisabeth"}],"issued":{"date-parts":[["2021",10,1]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(25)</w:t>
            </w:r>
            <w:r w:rsidRPr="009A7518">
              <w:rPr>
                <w:rFonts w:cs="Times New Roman"/>
                <w:sz w:val="20"/>
                <w:szCs w:val="20"/>
              </w:rPr>
              <w:fldChar w:fldCharType="end"/>
            </w:r>
          </w:p>
        </w:tc>
        <w:tc>
          <w:tcPr>
            <w:tcW w:w="1417" w:type="dxa"/>
            <w:gridSpan w:val="2"/>
          </w:tcPr>
          <w:p w14:paraId="133E4DEA"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t>Case series</w:t>
            </w:r>
          </w:p>
        </w:tc>
        <w:tc>
          <w:tcPr>
            <w:tcW w:w="1276" w:type="dxa"/>
            <w:gridSpan w:val="2"/>
          </w:tcPr>
          <w:p w14:paraId="583FB5B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France</w:t>
            </w:r>
          </w:p>
        </w:tc>
        <w:tc>
          <w:tcPr>
            <w:tcW w:w="1276" w:type="dxa"/>
            <w:gridSpan w:val="2"/>
          </w:tcPr>
          <w:p w14:paraId="1F2A1D2C" w14:textId="77777777" w:rsidR="00D16970" w:rsidRPr="00AF230F" w:rsidRDefault="00D16970" w:rsidP="00B967CB">
            <w:pPr>
              <w:pStyle w:val="NormalWeb"/>
              <w:spacing w:line="276" w:lineRule="auto"/>
              <w:contextualSpacing/>
              <w:rPr>
                <w:color w:val="000000" w:themeColor="text1"/>
                <w:sz w:val="20"/>
                <w:szCs w:val="20"/>
              </w:rPr>
            </w:pPr>
            <w:r w:rsidRPr="00AF230F">
              <w:rPr>
                <w:sz w:val="20"/>
                <w:szCs w:val="20"/>
              </w:rPr>
              <w:t>16 MS patients, 11women</w:t>
            </w:r>
          </w:p>
        </w:tc>
        <w:tc>
          <w:tcPr>
            <w:tcW w:w="1134" w:type="dxa"/>
            <w:gridSpan w:val="2"/>
          </w:tcPr>
          <w:p w14:paraId="2DADDA9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2019</w:t>
            </w:r>
          </w:p>
        </w:tc>
        <w:tc>
          <w:tcPr>
            <w:tcW w:w="1559" w:type="dxa"/>
            <w:gridSpan w:val="2"/>
          </w:tcPr>
          <w:p w14:paraId="01A839F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FTY</w:t>
            </w:r>
          </w:p>
        </w:tc>
        <w:tc>
          <w:tcPr>
            <w:tcW w:w="2552" w:type="dxa"/>
            <w:gridSpan w:val="2"/>
          </w:tcPr>
          <w:p w14:paraId="2DC3668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NR </w:t>
            </w:r>
          </w:p>
        </w:tc>
        <w:tc>
          <w:tcPr>
            <w:tcW w:w="2409" w:type="dxa"/>
            <w:gridSpan w:val="2"/>
          </w:tcPr>
          <w:p w14:paraId="3C424289" w14:textId="77777777" w:rsidR="00D16970" w:rsidRPr="009A7518" w:rsidRDefault="00D16970" w:rsidP="00B967CB">
            <w:pPr>
              <w:spacing w:line="276" w:lineRule="auto"/>
              <w:contextualSpacing/>
              <w:rPr>
                <w:rFonts w:cs="Times New Roman"/>
                <w:b/>
                <w:bCs/>
                <w:color w:val="000000" w:themeColor="text1"/>
                <w:sz w:val="20"/>
                <w:szCs w:val="20"/>
              </w:rPr>
            </w:pPr>
            <w:r w:rsidRPr="009A7518">
              <w:rPr>
                <w:rFonts w:cs="Times New Roman"/>
                <w:b/>
                <w:bCs/>
                <w:color w:val="000000" w:themeColor="text1"/>
                <w:sz w:val="20"/>
                <w:szCs w:val="20"/>
              </w:rPr>
              <w:t>n (%)</w:t>
            </w:r>
          </w:p>
          <w:p w14:paraId="54FF44CB"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 xml:space="preserve">Cervical abnormalities </w:t>
            </w:r>
          </w:p>
          <w:p w14:paraId="5FFEF8C2"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color w:val="000000" w:themeColor="text1"/>
                <w:sz w:val="20"/>
                <w:szCs w:val="20"/>
              </w:rPr>
              <w:t xml:space="preserve">9 (56.2%) </w:t>
            </w:r>
          </w:p>
          <w:p w14:paraId="539A2296"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(5 LSIL, 4 HSIL)</w:t>
            </w:r>
          </w:p>
        </w:tc>
        <w:tc>
          <w:tcPr>
            <w:tcW w:w="2127" w:type="dxa"/>
            <w:gridSpan w:val="2"/>
          </w:tcPr>
          <w:p w14:paraId="5B2DB4D9" w14:textId="5BC47DDB" w:rsidR="00D16970" w:rsidRPr="009A7518" w:rsidRDefault="00D16970" w:rsidP="00B967CB">
            <w:pPr>
              <w:spacing w:line="276" w:lineRule="auto"/>
              <w:contextualSpacing/>
              <w:rPr>
                <w:rFonts w:cs="Times New Roman"/>
                <w:sz w:val="20"/>
                <w:szCs w:val="20"/>
              </w:rPr>
            </w:pPr>
            <w:r w:rsidRPr="009A7518">
              <w:rPr>
                <w:rFonts w:cs="Times New Roman"/>
                <w:color w:val="000000" w:themeColor="text1"/>
                <w:sz w:val="20"/>
                <w:szCs w:val="20"/>
              </w:rPr>
              <w:t>Nine cases of cervical abnormalities seen in association with FTY</w:t>
            </w:r>
            <w:r w:rsidR="00B967CB">
              <w:rPr>
                <w:rFonts w:cs="Times New Roman"/>
                <w:color w:val="000000" w:themeColor="text1"/>
                <w:sz w:val="20"/>
                <w:szCs w:val="20"/>
              </w:rPr>
              <w:t>.</w:t>
            </w:r>
            <w:r w:rsidRPr="009A7518">
              <w:rPr>
                <w:rFonts w:cs="Times New Roman"/>
                <w:color w:val="000000" w:themeColor="text1"/>
                <w:sz w:val="20"/>
                <w:szCs w:val="20"/>
              </w:rPr>
              <w:t xml:space="preserve"> </w:t>
            </w:r>
          </w:p>
        </w:tc>
      </w:tr>
      <w:tr w:rsidR="00D16970" w:rsidRPr="009A7518" w14:paraId="729BB812" w14:textId="77777777" w:rsidTr="00BA7170">
        <w:tc>
          <w:tcPr>
            <w:tcW w:w="1560" w:type="dxa"/>
          </w:tcPr>
          <w:p w14:paraId="5AC02B19" w14:textId="40307FA4" w:rsidR="00D16970" w:rsidRPr="009A7518" w:rsidRDefault="00D16970" w:rsidP="00B967CB">
            <w:pPr>
              <w:spacing w:line="276" w:lineRule="auto"/>
              <w:contextualSpacing/>
              <w:rPr>
                <w:rFonts w:cs="Times New Roman"/>
                <w:sz w:val="20"/>
                <w:szCs w:val="20"/>
              </w:rPr>
            </w:pPr>
            <w:proofErr w:type="spellStart"/>
            <w:r w:rsidRPr="009A7518">
              <w:rPr>
                <w:rFonts w:cs="Times New Roman"/>
                <w:color w:val="000000" w:themeColor="text1"/>
                <w:sz w:val="20"/>
                <w:szCs w:val="20"/>
                <w:shd w:val="clear" w:color="auto" w:fill="FFFFFF"/>
              </w:rPr>
              <w:t>Alping</w:t>
            </w:r>
            <w:proofErr w:type="spellEnd"/>
            <w:r w:rsidRPr="009A7518">
              <w:rPr>
                <w:rFonts w:cs="Times New Roman"/>
                <w:color w:val="000000" w:themeColor="text1"/>
                <w:sz w:val="20"/>
                <w:szCs w:val="20"/>
                <w:shd w:val="clear" w:color="auto" w:fill="FFFFFF"/>
              </w:rPr>
              <w:t xml:space="preserve"> et al., 2020</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{"citationID":"vI1M7q6d","properties":{"formattedCitation":"(19)","plainCitation":"(19)","noteIndex":0},"citationItems":[{"id":187,"uris":["http://zotero.org/users/local/DBM3sz94/items/SM4Q7FF4"],"itemData":{"id":187,"type":"article-journal","abstract":"Objective Novel, highly effective disease-modifying therapies have revolutionized multiple sclerosis (MS) care. However, evidence from large comparative studies on important safety outcomes, such as cancer, is still lacking. Methods In this nationwide register-based cohort study, we linked data from the Swedish MS register to the Swedish Cancer Register and other national health care and census registers. We included 4,187 first-ever initiations of rituximab, 1,620 of fingolimod, and 1,670 of natalizumab in 6,136 MS patients matched for age, sex, and location to 37,801 non-MS general population subjects. Primary outcome was time to first invasive cancer. Results We identified 78 invasive cancers among treated patients: rituximab 33 (incidence rate [IR] per 10,000 person-years = 34.4, 95% confidence interval [CI] = 23.7–48.3), fingolimod 28 (IR = 44.0, 95% CI = 29.2–63.5), and natalizumab 17 (IR = 26.0, 95% CI = 15.1–41.6). The general population IR was 31.0 (95% CI = 27.8–34.4). Adjusting for baseline characteristics, we found no difference in risk of invasive cancer between rituximab, natalizumab, and the general population but a possibly higher risk with fingolimod compared to the general population (hazard ratio [HR] = 1.53, 95% CI = 0.98–2.38) and rituximab (HR = 1.68, 95% CI = 1.00–2.84). Interpretation In this first large comparative study of 3 highly effective MS disease-modifying therapies, no increased risk of invasive cancer was seen with rituximab and natalizumab, compared to the general population. However, there was a borderline-significant increased risk with fingolimod, compared to both the general population and rituximab. It was not possible to attribute this increased risk to any specific type of cancer, and further studies are warranted to validate these findings. ANN NEUROL 2020;87:688–699","container-title":"Annals of Neurology","DOI":"10.1002/ana.25701","ISSN":"1531-8249","issue":"5","language":"en","note":"_eprint: https://onlinelibrary.wiley.com/doi/pdf/10.1002/ana.25701","page":"688-699","source":"Wiley Online Library","title":"Cancer Risk for Fingolimod, Natalizumab, and Rituximab in Multiple Sclerosis Patients","volume":"87","author":[{"family":"Alping","given":"Peter"},{"family":"Askling","given":"Johan"},{"family":"Burman","given":"Joachim"},{"family":"Fink","given":"Katharina"},{"family":"Fogdell-Hahn","given":"Anna"},{"family":"Gunnarsson","given":"Martin"},{"family":"Hillert","given":"Jan"},{"family":"Langer-Gould","given":"Annette"},{"family":"Lycke","given":"Jan"},{"family":"Nilsson","given":"Petra"},{"family":"Salzer","given":"Jonatan"},{"family":"Svenningsson","given":"Anders"},{"family":"Vrethem","given":"Magnus"},{"family":"Olsson","given":"Tomas"},{"family":"Piehl","given":"Fredrik"},{"family":"Frisell","given":"Thomas"}],"issued":{"date-parts":[["2020"]]}}}],"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(19)</w:t>
            </w:r>
            <w:r w:rsidRPr="009A7518">
              <w:rPr>
                <w:rFonts w:cs="Times New Roman"/>
                <w:color w:val="000000" w:themeColor="text1"/>
                <w:sz w:val="20"/>
                <w:szCs w:val="20"/>
                <w:shd w:val="clear" w:color="auto" w:fill="FFFFFF"/>
              </w:rPr>
              <w:fldChar w:fldCharType="end"/>
            </w:r>
          </w:p>
        </w:tc>
        <w:tc>
          <w:tcPr>
            <w:tcW w:w="1417" w:type="dxa"/>
            <w:gridSpan w:val="2"/>
          </w:tcPr>
          <w:p w14:paraId="19424CE7" w14:textId="77777777" w:rsidR="00D16970" w:rsidRPr="009A7518" w:rsidRDefault="00D16970" w:rsidP="00B967CB">
            <w:pPr>
              <w:spacing w:line="276" w:lineRule="auto"/>
              <w:contextualSpacing/>
              <w:rPr>
                <w:rFonts w:cs="Times New Roman"/>
                <w:color w:val="000000" w:themeColor="text1"/>
                <w:sz w:val="20"/>
                <w:szCs w:val="20"/>
              </w:rPr>
            </w:pPr>
            <w:r w:rsidRPr="009A7518">
              <w:rPr>
                <w:rFonts w:cs="Times New Roman"/>
                <w:sz w:val="20"/>
                <w:szCs w:val="20"/>
              </w:rPr>
              <w:t xml:space="preserve">Cohort study  </w:t>
            </w:r>
          </w:p>
        </w:tc>
        <w:tc>
          <w:tcPr>
            <w:tcW w:w="1276" w:type="dxa"/>
            <w:gridSpan w:val="2"/>
          </w:tcPr>
          <w:p w14:paraId="1F8D063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Sweden</w:t>
            </w:r>
          </w:p>
        </w:tc>
        <w:tc>
          <w:tcPr>
            <w:tcW w:w="1276" w:type="dxa"/>
            <w:gridSpan w:val="2"/>
          </w:tcPr>
          <w:p w14:paraId="0033829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6136 patients with MS, 37,801 non-MS controls </w:t>
            </w:r>
          </w:p>
          <w:p w14:paraId="53246BFC" w14:textId="77777777" w:rsidR="00D16970" w:rsidRPr="00AF230F" w:rsidRDefault="00D16970" w:rsidP="00B967CB">
            <w:pPr>
              <w:pStyle w:val="NormalWeb"/>
              <w:spacing w:line="276" w:lineRule="auto"/>
              <w:contextualSpacing/>
              <w:rPr>
                <w:color w:val="000000" w:themeColor="text1"/>
                <w:sz w:val="20"/>
                <w:szCs w:val="20"/>
              </w:rPr>
            </w:pPr>
            <w:r w:rsidRPr="00AF230F">
              <w:rPr>
                <w:sz w:val="20"/>
                <w:szCs w:val="20"/>
              </w:rPr>
              <w:t>1,620 FTY</w:t>
            </w:r>
          </w:p>
        </w:tc>
        <w:tc>
          <w:tcPr>
            <w:tcW w:w="1134" w:type="dxa"/>
            <w:gridSpan w:val="2"/>
          </w:tcPr>
          <w:p w14:paraId="374F79B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2011-2017</w:t>
            </w:r>
          </w:p>
        </w:tc>
        <w:tc>
          <w:tcPr>
            <w:tcW w:w="1559" w:type="dxa"/>
            <w:gridSpan w:val="2"/>
          </w:tcPr>
          <w:p w14:paraId="7EFC46A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RIX, FTY, NTZ </w:t>
            </w:r>
          </w:p>
        </w:tc>
        <w:tc>
          <w:tcPr>
            <w:tcW w:w="2552" w:type="dxa"/>
            <w:gridSpan w:val="2"/>
          </w:tcPr>
          <w:p w14:paraId="2F3050B6" w14:textId="353D9083"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6B95255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FTY</w:t>
            </w:r>
          </w:p>
          <w:p w14:paraId="53C56E0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IR (/10 000py) = 44.0 (95% CI 29.2–63.5)</w:t>
            </w:r>
          </w:p>
          <w:p w14:paraId="581B58C3" w14:textId="77777777" w:rsidR="00D16970" w:rsidRPr="009A7518" w:rsidRDefault="00D16970" w:rsidP="00B967CB">
            <w:pPr>
              <w:spacing w:line="276" w:lineRule="auto"/>
              <w:contextualSpacing/>
              <w:rPr>
                <w:rFonts w:cs="Times New Roman"/>
                <w:sz w:val="20"/>
                <w:szCs w:val="20"/>
              </w:rPr>
            </w:pPr>
          </w:p>
          <w:p w14:paraId="2C29169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Controls</w:t>
            </w:r>
          </w:p>
          <w:p w14:paraId="3F54925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IR 31.0 (95% CI 27.8–34.4) </w:t>
            </w:r>
          </w:p>
          <w:p w14:paraId="2A7E2A1C" w14:textId="77777777" w:rsidR="00D16970" w:rsidRPr="009A7518" w:rsidRDefault="00D16970" w:rsidP="00B967CB">
            <w:pPr>
              <w:spacing w:line="276" w:lineRule="auto"/>
              <w:contextualSpacing/>
              <w:rPr>
                <w:rFonts w:cs="Times New Roman"/>
                <w:sz w:val="20"/>
                <w:szCs w:val="20"/>
              </w:rPr>
            </w:pPr>
          </w:p>
          <w:p w14:paraId="4522313D" w14:textId="68F6B682"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4BC7CC6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FTY vs controls </w:t>
            </w:r>
          </w:p>
          <w:p w14:paraId="4AFA2E3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 1.53 (95% CI = 0.98–2.38)</w:t>
            </w:r>
          </w:p>
        </w:tc>
        <w:tc>
          <w:tcPr>
            <w:tcW w:w="2409" w:type="dxa"/>
            <w:gridSpan w:val="2"/>
          </w:tcPr>
          <w:p w14:paraId="7ACBCBCB" w14:textId="23AE1494" w:rsidR="00D16970"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68583007" w14:textId="187FCD74" w:rsidR="00B967CB" w:rsidRPr="00B967CB" w:rsidRDefault="00B967CB" w:rsidP="00B967CB">
            <w:pPr>
              <w:spacing w:line="276" w:lineRule="auto"/>
              <w:contextualSpacing/>
              <w:rPr>
                <w:rFonts w:cs="Times New Roman"/>
                <w:sz w:val="20"/>
                <w:szCs w:val="20"/>
              </w:rPr>
            </w:pPr>
            <w:r w:rsidRPr="00B967CB">
              <w:rPr>
                <w:rFonts w:cs="Times New Roman"/>
                <w:sz w:val="20"/>
                <w:szCs w:val="20"/>
              </w:rPr>
              <w:t xml:space="preserve">FTY </w:t>
            </w:r>
          </w:p>
          <w:p w14:paraId="7756267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Cervical abnormality</w:t>
            </w:r>
          </w:p>
          <w:p w14:paraId="3F0E05C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CIN 3</w:t>
            </w:r>
          </w:p>
          <w:p w14:paraId="1800BB2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IR (/10 000py) 39.1 (95% CI 22.8–62.6)</w:t>
            </w:r>
          </w:p>
          <w:p w14:paraId="6F1967F0" w14:textId="77777777" w:rsidR="00D16970" w:rsidRPr="009A7518" w:rsidRDefault="00D16970" w:rsidP="00B967CB">
            <w:pPr>
              <w:spacing w:line="276" w:lineRule="auto"/>
              <w:contextualSpacing/>
              <w:rPr>
                <w:rFonts w:cs="Times New Roman"/>
                <w:sz w:val="20"/>
                <w:szCs w:val="20"/>
              </w:rPr>
            </w:pPr>
          </w:p>
          <w:p w14:paraId="3CB5640A" w14:textId="74E3F9E5"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15CBA53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Cervical abnormality</w:t>
            </w:r>
          </w:p>
          <w:p w14:paraId="408E9AD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1.63 (95% CI 0.94-2.82)</w:t>
            </w:r>
          </w:p>
        </w:tc>
        <w:tc>
          <w:tcPr>
            <w:tcW w:w="2127" w:type="dxa"/>
            <w:gridSpan w:val="2"/>
          </w:tcPr>
          <w:p w14:paraId="48EC12E5" w14:textId="2251027B" w:rsidR="00D16970" w:rsidRPr="009A7518" w:rsidRDefault="00D16970" w:rsidP="00B967CB">
            <w:pPr>
              <w:spacing w:line="276" w:lineRule="auto"/>
              <w:contextualSpacing/>
              <w:rPr>
                <w:rFonts w:cs="Times New Roman"/>
                <w:sz w:val="20"/>
                <w:szCs w:val="20"/>
              </w:rPr>
            </w:pPr>
            <w:r w:rsidRPr="009A7518">
              <w:rPr>
                <w:rFonts w:cs="Times New Roman"/>
                <w:sz w:val="20"/>
                <w:szCs w:val="20"/>
              </w:rPr>
              <w:t>No difference in risk of cervical cancer FTY compared with the general population</w:t>
            </w:r>
            <w:r w:rsidR="00B967CB">
              <w:rPr>
                <w:rFonts w:cs="Times New Roman"/>
                <w:sz w:val="20"/>
                <w:szCs w:val="20"/>
              </w:rPr>
              <w:t>.</w:t>
            </w:r>
          </w:p>
          <w:p w14:paraId="239DAA51" w14:textId="77777777" w:rsidR="00D16970" w:rsidRPr="009A7518" w:rsidRDefault="00D16970" w:rsidP="00B967CB">
            <w:pPr>
              <w:spacing w:line="276" w:lineRule="auto"/>
              <w:contextualSpacing/>
              <w:rPr>
                <w:rFonts w:cs="Times New Roman"/>
                <w:sz w:val="20"/>
                <w:szCs w:val="20"/>
              </w:rPr>
            </w:pPr>
          </w:p>
        </w:tc>
      </w:tr>
      <w:tr w:rsidR="00D16970" w:rsidRPr="009A7518" w14:paraId="7BA737E8" w14:textId="77777777" w:rsidTr="00BA7170">
        <w:tc>
          <w:tcPr>
            <w:tcW w:w="15310" w:type="dxa"/>
            <w:gridSpan w:val="17"/>
          </w:tcPr>
          <w:p w14:paraId="5AF171CA"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Siponimod </w:t>
            </w:r>
          </w:p>
        </w:tc>
      </w:tr>
      <w:tr w:rsidR="00D16970" w:rsidRPr="009A7518" w14:paraId="25F7C928" w14:textId="77777777" w:rsidTr="00BA7170">
        <w:tc>
          <w:tcPr>
            <w:tcW w:w="1560" w:type="dxa"/>
          </w:tcPr>
          <w:p w14:paraId="5918C434" w14:textId="3C4A2A40"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Kappos</w:t>
            </w:r>
            <w:proofErr w:type="spellEnd"/>
            <w:r w:rsidRPr="009A7518">
              <w:rPr>
                <w:rFonts w:cs="Times New Roman"/>
                <w:sz w:val="20"/>
                <w:szCs w:val="20"/>
              </w:rPr>
              <w:t xml:space="preserve"> et al., 2018</w:t>
            </w:r>
            <w:r w:rsidRPr="009A7518">
              <w:rPr>
                <w:rFonts w:cs="Times New Roman"/>
                <w:sz w:val="20"/>
                <w:szCs w:val="20"/>
              </w:rPr>
              <w:fldChar w:fldCharType="begin"/>
            </w:r>
            <w:r w:rsidR="00B967CB">
              <w:rPr>
                <w:rFonts w:cs="Times New Roman"/>
                <w:sz w:val="20"/>
                <w:szCs w:val="20"/>
              </w:rPr>
              <w:instrText xml:space="preserve"> ADDIN ZOTERO_ITEM CSL_CITATION {"citationID":"WljGEQAn","properties":{"formattedCitation":"(26)","plainCitation":"(26)","noteIndex":0},"citationItems":[{"id":887,"uris":["http://zotero.org/users/local/DBM3sz94/items/8IRRWI84"],"itemData":{"id":887,"type":"article-journal","abstract":"Background\nNo treatment has consistently shown efficacy in slowing disability progression in patients with secondary progressive multiple sclerosis (SPMS). We assessed the effect of siponimod, a selective sphingosine 1-phosphate (S1P) receptor1,5 modulator, on disability progression in patients with SPMS.\nMethods\nThis event-driven and exposure-driven, double-blind, phase 3 trial was done at 292 hospital clinics and specialised multiple sclerosis centres in 31 countries. Using interactive response technology to assign numbers linked to treatment arms, patients (age 18–60 years) with SPMS and an Expanded Disability Status Scale score of 3·0–6·5 were randomly assigned (2:1) to once daily oral siponimod 2 mg or placebo for up to 3 years or until the occurrence of a prespecified number of confirmed disability progression (CDP) events. The primary endpoint was time to 3-month CDP. Efficacy was assessed for the full analysis set (ie, all randomly assigned and treated patients); safety was assessed for the safety set. This trial is registered with ClinicalTrials.gov, number NCT01665144.\nFindings\n1651 patients were randomly assigned between Feb 5, 2013, and June 2, 2015 (1105 to the siponimod group, and 546 to the placebo group). One patient did not sign the consent form, and five patients did not receive study drug, all of whom were in the siponimod group. 1645 patients were included in the analyses (1099 in the siponimod group and 546 in the placebo). At baseline, the mean time since first multiple sclerosis symptoms was 16·8 years (SD 8·3), and the mean time since conversion to SPMS was 3·8 years (SD 3·5); 1055 (64%) patients had not relapsed in the previous 2 years, and 918 (56%) of 1651 needed walking assistance. 903 (82%) patients receiving siponimod and 424 (78%) patients receiving placebo completed the study. 288 (26%) of 1096 patients receiving siponimod and 173 (32%) of 545 patients receiving placebo had 3-month CDP (hazard ratio 0·79, 95% CI 0·65–0·95; relative risk reduction 21%; p=0·013). Adverse events occurred in 975 (89%) of 1099 patients receiving siponimod versus 445 (82%) of 546 patients receiving placebo; serious adverse events were reported for 197 (18%) patients in the siponimod group versus 83 (15%) patients in the placebo group. Lymphopenia, increased liver transaminase concentration, bradycardia and bradyarrhythmia at treatment initiation, macular oedema, hypertension, varicella zoster reactivation, and convulsions occurred more frequently with siponimod than with placebo. Initial dose titration mitigated cardiac first-dose effects. Frequencies of infections, malignancies, and fatalities did not differ between groups.\nInterpretation\nSiponimod reduced the risk of disability progression with a safety profile similar to that of other S1P modulators and is likely to be a useful treatment for SPMS.\nFunding\nNovartis Pharma AG.","container-title":"The Lancet","DOI":"10.1016/S0140-6736(18)30475-6","ISSN":"0140-6736","issue":"10127","journalAbbreviation":"The Lancet","language":"en","page":"1263-1273","source":"ScienceDirect","title":"Siponimod versus placebo in secondary progressive multiple sclerosis (EXPAND): a double-blind, randomised, phase 3 study","title-short":"Siponimod versus placebo in secondary progressive multiple sclerosis (EXPAND)","volume":"391","author":[{"family":"Kappos","given":"Ludwig"},{"family":"Bar-Or","given":"Amit"},{"family":"Cree","given":"Bruce A C"},{"family":"Fox","given":"Robert J"},{"family":"Giovannoni","given":"Gavin"},{"family":"Gold","given":"Ralf"},{"family":"Vermersch","given":"Patrick"},{"family":"Arnold","given":"Douglas L"},{"family":"Arnould","given":"Sophie"},{"family":"Scherz","given":"Tatiana"},{"family":"Wolf","given":"Christian"},{"family":"Wallström","given":"Erik"},{"family":"Dahlke","given":"Frank"},{"family":"Achiron","given":"Anat"},{"family":"Achtnichts","given":"Lutz"},{"family":"Agan","given":"Kadriye"},{"family":"Akman-Demir","given":"Gulsen"},{"family":"Allen","given":"Alison B"},{"family":"Antel","given":"Jack P"},{"family":"Antiguedad","given":"Alfredo Rodriguez"},{"family":"Apperson","given":"Michelle"},{"family":"Applebee","given":"Angela M"},{"family":"Ayuso","given":"Guillermo Izquierdo"},{"family":"Baba","given":"Masayuki"},{"family":"Bajenaru","given":"Ovidiu"},{"family":"Balasa","given":"Rodica"},{"family":"Balci","given":"Belgin Petek"},{"family":"Barnett","given":"Michael"},{"family":"Bass","given":"Ann"},{"family":"Becker","given":"Veit U"},{"family":"Bejinariu","given":"Mihaela"},{"family":"Bergh","given":"Florian Then"},{"family":"Bergmann","given":"Arnfin"},{"family":"Bernitsas","given":"Evanthia"},{"family":"Berthele","given":"Achim"},{"family":"Bhan","given":"Virender"},{"family":"Bischof","given":"Felix"},{"family":"Bjork","given":"Randall John"},{"family":"Blevins","given":"Gregg"},{"family":"Boehringer","given":"Matthias"},{"family":"Boerner","given":"Thomas"},{"family":"Bonek","given":"Robert"},{"family":"Bowen","given":"James D"},{"family":"Bowling","given":"Allen"},{"family":"Boyko","given":"Alexey N"},{"family":"Boz","given":"Cavit"},{"family":"Bracknies","given":"Vera"},{"family":"Braune","given":"Stefan"},{"family":"Brescia Morra","given":"Vincenzo"},{"family":"Brochet","given":"Bruno"},{"family":"Brola","given":"Waldemar"},{"family":"Brownstone","given":"Paul Kenneth"},{"family":"Brozman","given":"Miroslav"},{"family":"Brunet","given":"Donald"},{"family":"Buraga","given":"Ioan"},{"family":"Burnett","given":"Margaret"},{"family":"Buttmann","given":"Mathias"},{"family":"Butzkueven","given":"Helmut"},{"family":"Cahill","given":"Jonathan"},{"family":"Calkwood","given":"Jonathan C"},{"family":"Camu","given":"William"},{"family":"Cascione","given":"Mark"},{"family":"Castelnovo","given":"Giovani"},{"family":"Centonze","given":"Diego"},{"family":"Cerqueira","given":"Joao"},{"family":"Chan","given":"Andrew"},{"family":"Cimprichova","given":"Andrea"},{"family":"Cohan","given":"Stanley"},{"family":"Comi","given":"Giancarlo"},{"family":"Conway","given":"Jill"},{"family":"Cooper","given":"Joanna A"},{"family":"Corboy","given":"John"},{"family":"Correale","given":"Jorge"},{"family":"Costell","given":"Brian"},{"family":"Cottrell","given":"David A"},{"family":"Coyle","given":"Patricia K"},{"family":"Craner","given":"Matthew"},{"family":"Cui","given":"Liying"},{"family":"Cunha","given":"Luis"},{"family":"Czlonkowska","given":"Anna"},{"family":"Silva","given":"Ana Martins","non-dropping-particle":"da"},{"family":"Sa","given":"Joao","non-dropping-particle":"de"},{"family":"Seze","given":"Jérôme","non-dropping-particle":"de"},{"family":"Debouverie","given":"Marc"},{"family":"Debruyne","given":"Jan"},{"family":"Decoo","given":"Danny"},{"family":"Defer","given":"Gilles"},{"family":"Derfuss","given":"Tobias"},{"family":"Deri","given":"Norma H"},{"family":"Dihenia","given":"Bhupesh"},{"family":"Dioszeghy","given":"Peter"},{"family":"Donath","given":"Vladimir"},{"family":"Dubois","given":"Benedicte"},{"family":"Duddy","given":"Martin"},{"family":"Duquette","given":"Pierre"},{"family":"Edan","given":"Gilles"},{"family":"Efendi","given":"Husnu"},{"family":"Elias","given":"Stanton"},{"family":"Emrich","given":"Peter J"},{"family":"Estruch","given":"Bonaventura Casanova"},{"family":"Evdoshenko","given":"Evgeniy P"},{"family":"Faiss","given":"Juergen"},{"family":"Fedyanin","given":"Alexander S"},{"family":"Feneberg","given":"Wolfgang"},{"family":"Fermont","given":"Jiske"},{"family":"Fernandez","given":"Oscar Fernandez"},{"family":"Ferrer","given":"Francisco Coret"},{"family":"Fink","given":"Katharina"},{"family":"Ford","given":"Helen"},{"family":"Ford","given":"Corey"},{"family":"Francia","given":"Ada"},{"family":"Freedman","given":"Mark"},{"family":"Frishberg","given":"Benjamin"},{"family":"Galgani","given":"Simonetta"},{"family":"Garmany","given":"George P"},{"family":"Gehring","given":"Klaus"},{"family":"Gitt","given":"Jeffrey"},{"family":"Gobbi","given":"Claudio"},{"family":"Goldstick","given":"Lawrence P"},{"family":"Gonzalez","given":"Rafael Arroyo"},{"family":"Grandmaison","given":"Francois"},{"family":"Grigoriadis","given":"Nikolaos"},{"family":"Grigorova","given":"Olga"},{"family":"Grimaldi","given":"Luigi Maria Edoardo"},{"family":"Gross","given":"Jeffrey"},{"family":"Gross-Paju","given":"Katrin"},{"family":"Gudesblatt","given":"Mark"},{"family":"Guillaume","given":"Daniel"},{"family":"Haas","given":"Judith"},{"family":"Hancinova","given":"Viera"},{"family":"Hancu","given":"Anca"},{"family":"Hardiman","given":"Orla"},{"family":"Harmjanz","given":"Arndt"},{"family":"Heidenreich","given":"Fedor R"},{"family":"Hengstman","given":"G J D"},{"family":"Herbert","given":"Joseph"},{"family":"Herring","given":"Mark"},{"family":"Hodgkinson","given":"Suzanne"},{"family":"Hoffmann","given":"Olaf M"},{"family":"Hofmann","given":"Werner E"},{"family":"Honeycutt","given":"William D"},{"family":"Hua","given":"Le Hanh"},{"family":"Huang","given":"Dehui"},{"family":"Huang","given":"Yining"},{"family":"Huang","given":"DeRen"},{"family":"Hupperts","given":"Raymond"},{"family":"Imre","given":"Piroska"},{"family":"Jacobs","given":"Alan Keith"},{"family":"Jakab","given":"Gabor"},{"family":"Jasinska","given":"Elzbieta"},{"family":"Kaida","given":"Kenichi"},{"family":"Kalnina","given":"Jolanta"},{"family":"Kaprelyan","given":"Ara"},{"family":"Karelis","given":"Guntis"},{"family":"Karussis","given":"Dimitrios"},{"family":"Katz","given":"Amos"},{"family":"Khabirov","given":"Farit A"},{"family":"Khatri","given":"Bhupendra"},{"family":"Kimura","given":"Takashi"},{"family":"Kister","given":"Ilya"},{"family":"Kizlaitiene","given":"Rasa"},{"family":"Klimova","given":"Eleonora"},{"family":"Koehler","given":"Juergen"},{"family":"Komatineni","given":"Aparna"},{"family":"Kornhuber","given":"Anselm"},{"family":"Kovacs","given":"Krisztina"},{"family":"Koves","given":"Agnes"},{"family":"Kozubski","given":"Wojciech"},{"family":"Krastev","given":"Georgi"},{"family":"Krupp","given":"Lauren B"},{"family":"Kurca","given":"Egon"},{"family":"Lassek","given":"Christoph"},{"family":"Laureys","given":"Guy"},{"family":"Lee","given":"Liesly"},{"family":"Lensch","given":"Eckart"},{"family":"Leutmezer","given":"Fritz"},{"family":"Li","given":"Hongzeng"},{"family":"Linker","given":"Ralf A"},{"family":"Linnebank","given":"Michael"},{"family":"Liskova","given":"Petra"},{"family":"Llanera","given":"Cristina"},{"family":"Lu","given":"Jiahong"},{"family":"Lutterotti","given":"Andreas"},{"family":"Lycke","given":"Jan"},{"family":"Macdonell","given":"Richard"},{"family":"Maciejowski","given":"Maciej"},{"family":"Maeurer","given":"Mathias"},{"family":"Magzhanov","given":"Rim V"},{"family":"Maida","given":"Eva-Maria"},{"family":"Malciene","given":"Lina"},{"family":"Mao-Draayer","given":"Yang"},{"family":"Marfia","given":"Girolama Alessandra"},{"family":"Markowitz","given":"Clyde"},{"family":"Mastorodimos","given":"Vasileios"},{"family":"Matyas","given":"Klotild"},{"family":"Meca-Lallana","given":"Jose"},{"family":"Merino","given":"Juan Antonio Garcia"},{"family":"Mihetiu","given":"Ioan Gheorghe"},{"family":"Milanov","given":"Ivan"},{"family":"Miller","given":"Aaron E"},{"family":"Millers","given":"Andrejs"},{"family":"Mirabella","given":"Massimiliano"},{"family":"Mizuno","given":"Masanori"},{"family":"Montalban","given":"Xavier"},{"family":"Montoya","given":"Lilina"},{"family":"Mori","given":"Masahiro"},{"family":"Mueller","given":"Stefanie"},{"family":"Nakahara","given":"Jin"},{"family":"Nakatsuji","given":"Yuji"},{"family":"Newsome","given":"Scott"},{"family":"Nicholas","given":"Richard"},{"family":"Nielsen","given":"A Scott"},{"family":"Nikfekr","given":"Esmaeil"},{"family":"Nocentini","given":"Ugo"},{"family":"Nohara","given":"Chiyoko"},{"family":"Nomura","given":"Kyoichi"},{"family":"Odinak","given":"Miroslav M"},{"family":"Olsson","given":"Tomas"},{"family":"Oosten","given":"B W","non-dropping-particle":"van"},{"family":"Oreja-Guevara","given":"Celia"},{"family":"Oschmann","given":"Patrick"},{"family":"Overell","given":"James"},{"family":"Pachner","given":"Andrew"},{"family":"Panczel","given":"Gyula"},{"family":"Pandolfo","given":"Massimo"},{"family":"Papeix","given":"Caroline"},{"family":"Patrucco","given":"Liliana"},{"family":"Pelletier","given":"Jean"},{"family":"Piedrabuena","given":"Raul"},{"family":"Pless","given":"Misha"},{"family":"Polzer","given":"Udo"},{"family":"Pozsegovits","given":"Krisztian"},{"family":"Rastenyte","given":"Daiva"},{"family":"Rauer","given":"Sebastian"},{"family":"Reifschneider","given":"Gerd"},{"family":"Rey","given":"Roberto"},{"family":"Rizvi","given":"Syed A"},{"family":"Robertson","given":"Derrick"},{"family":"Rodriguez","given":"Jose Martinez"},{"family":"Rog","given":"David"},{"family":"Roshanisefat","given":"Homayoun"},{"family":"Rowe","given":"Vernon"},{"family":"Rozsa","given":"Csilla"},{"family":"Rubin","given":"Susan"},{"family":"Rusek","given":"Stanislaw"},{"family":"Saccà","given":"Francesco"},{"family":"Saida","given":"Takahiko"},{"family":"Salgado","given":"Antonio Vasco"},{"family":"Sanchez","given":"Victoria Eugenia Fernandez"},{"family":"Sanders","given":"Kalina"},{"family":"Satori","given":"Maria"},{"family":"Sazonov","given":"Denis V"},{"family":"Scarpini","given":"Elio Angelo"},{"family":"Schlegel","given":"Eugen"},{"family":"Schluep","given":"Myriam"},{"family":"Schmidt","given":"Stephan"},{"family":"Scholz","given":"Erich"},{"family":"Schrijver","given":"H M"},{"family":"Schwab","given":"Matthias"},{"family":"Schwartz","given":"Raymond"},{"family":"Scott","given":"James"},{"family":"Selmaj","given":"Krzysztof"},{"family":"Shafer","given":"Stuart"},{"family":"Sharrack","given":"Basil"},{"family":"Shchukin","given":"Ivan A"},{"family":"Shimizu","given":"Yuko"},{"family":"Shotekov","given":"Penko"},{"family":"Siever","given":"Arno"},{"family":"Sigel","given":"Karl-Otto"},{"family":"Silliman","given":"Scott"},{"family":"Simo","given":"Magdolna"},{"family":"Simu","given":"Mihaela"},{"family":"Sinay","given":"Vladimiro"},{"family":"Siquier","given":"Antonio Escartin"},{"family":"Siva","given":"Aksel"},{"family":"Skoda","given":"Ondrej"},{"family":"Solomon","given":"Andrew"},{"family":"Stangel","given":"Martin"},{"family":"Stefoski","given":"Dusan"},{"family":"Steingo","given":"Brian"},{"family":"Stolyarov","given":"Igor D"},{"family":"Stourac","given":"Pavel"},{"family":"Strassburger-Krogias","given":"Katrin"},{"family":"Strauss","given":"Erik"},{"family":"Stuve","given":"Olaf"},{"family":"Tarnev","given":"Ivaylo"},{"family":"Tavernarakis","given":"Antonios"},{"family":"Tello","given":"Cristina Ramo"},{"family":"Terzi","given":"Murat"},{"family":"Ticha","given":"Veronika"},{"family":"Ticmeanu","given":"Marina"},{"family":"Tiel-Wilck","given":"Klaus"},{"family":"Toomsoo","given":"Toomas"},{"family":"Tubridy","given":"Niall"},{"family":"Tullman","given":"Mark J"},{"family":"Tumani","given":"Hayrettin"},{"family":"Turcani","given":"Peter"},{"family":"Turner","given":"Ben"},{"family":"Uccelli","given":"Antonio"},{"family":"Urtaza","given":"Francisco Javier Olascoaga"},{"family":"Vachova","given":"Marta"},{"family":"Valikovics","given":"Attila"},{"family":"Walter","given":"Silke"},{"family":"Van Wijmeersch","given":"Bart"},{"family":"Vanopdenbosch","given":"Ludo"},{"family":"Weber","given":"Joerg R"},{"family":"Weiss","given":"Sara"},{"family":"Weissert","given":"Robert"},{"family":"Vermersch","given":"Patrick"},{"family":"West","given":"Timothy"},{"family":"Wiendl","given":"Heinz"},{"family":"Wiertlewski","given":"Sandrine"},{"family":"Wildemann","given":"Brigitte"},{"family":"Willekens","given":"Barbara"},{"family":"Visser","given":"L H"},{"family":"Vorobeychik","given":"Galina"},{"family":"Xu","given":"Xianhao"},{"family":"Yamamura","given":"Takashi"},{"family":"Yang","given":"Yi N"},{"family":"Yelamos","given":"Sergio Martinez"},{"family":"Yeung","given":"Michael"},{"family":"Zacharias","given":"Alan"},{"family":"Zelkowitz","given":"Marvin"},{"family":"Zettl","given":"Uwe"},{"family":"Zhang","given":"Meini"},{"family":"Zhou","given":"Hongyu"},{"family":"Zieman","given":"Ulf"},{"family":"Ziemssen","given":"Tjalf"}],"issued":{"date-parts":[["2018",3,31]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(26)</w:t>
            </w:r>
            <w:r w:rsidRPr="009A7518">
              <w:rPr>
                <w:rFonts w:cs="Times New Roman"/>
                <w:sz w:val="20"/>
                <w:szCs w:val="20"/>
              </w:rPr>
              <w:fldChar w:fldCharType="end"/>
            </w:r>
          </w:p>
          <w:p w14:paraId="262BE1B9" w14:textId="77777777" w:rsidR="00D16970" w:rsidRPr="009A7518" w:rsidRDefault="00D16970" w:rsidP="00B967CB">
            <w:pPr>
              <w:spacing w:line="276" w:lineRule="auto"/>
              <w:contextualSpacing/>
              <w:rPr>
                <w:rFonts w:cs="Times New Roman"/>
                <w:sz w:val="20"/>
                <w:szCs w:val="20"/>
              </w:rPr>
            </w:pPr>
          </w:p>
          <w:p w14:paraId="7C7F401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EXPAND</w:t>
            </w:r>
          </w:p>
          <w:p w14:paraId="38CA699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NCT01665144  </w:t>
            </w:r>
          </w:p>
        </w:tc>
        <w:tc>
          <w:tcPr>
            <w:tcW w:w="1417" w:type="dxa"/>
            <w:gridSpan w:val="2"/>
          </w:tcPr>
          <w:p w14:paraId="484127A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 xml:space="preserve">Phase 3 </w:t>
            </w:r>
            <w:proofErr w:type="spellStart"/>
            <w:r w:rsidRPr="009A7518">
              <w:rPr>
                <w:rFonts w:cs="Times New Roman"/>
                <w:sz w:val="20"/>
                <w:szCs w:val="20"/>
              </w:rPr>
              <w:t>randomised</w:t>
            </w:r>
            <w:proofErr w:type="spellEnd"/>
            <w:r w:rsidRPr="009A7518">
              <w:rPr>
                <w:rFonts w:cs="Times New Roman"/>
                <w:sz w:val="20"/>
                <w:szCs w:val="20"/>
              </w:rPr>
              <w:t xml:space="preserve"> </w:t>
            </w:r>
            <w:r w:rsidRPr="009A7518">
              <w:rPr>
                <w:rFonts w:cs="Times New Roman"/>
                <w:sz w:val="20"/>
                <w:szCs w:val="20"/>
              </w:rPr>
              <w:lastRenderedPageBreak/>
              <w:t>placebo-controlled trial</w:t>
            </w:r>
          </w:p>
        </w:tc>
        <w:tc>
          <w:tcPr>
            <w:tcW w:w="1276" w:type="dxa"/>
            <w:gridSpan w:val="2"/>
          </w:tcPr>
          <w:p w14:paraId="069B508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 xml:space="preserve">International </w:t>
            </w:r>
            <w:proofErr w:type="spellStart"/>
            <w:r>
              <w:rPr>
                <w:rFonts w:cs="Times New Roman"/>
                <w:sz w:val="20"/>
                <w:szCs w:val="20"/>
              </w:rPr>
              <w:t>multicentre</w:t>
            </w:r>
            <w:proofErr w:type="spellEnd"/>
          </w:p>
        </w:tc>
        <w:tc>
          <w:tcPr>
            <w:tcW w:w="1276" w:type="dxa"/>
            <w:gridSpan w:val="2"/>
          </w:tcPr>
          <w:p w14:paraId="0F6CB4C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1651 SPMS, 1099 </w:t>
            </w:r>
            <w:r w:rsidRPr="009A7518">
              <w:rPr>
                <w:rFonts w:cs="Times New Roman"/>
                <w:sz w:val="20"/>
                <w:szCs w:val="20"/>
              </w:rPr>
              <w:lastRenderedPageBreak/>
              <w:t xml:space="preserve">Siponimod, 546 Placebo </w:t>
            </w:r>
          </w:p>
        </w:tc>
        <w:tc>
          <w:tcPr>
            <w:tcW w:w="1134" w:type="dxa"/>
            <w:gridSpan w:val="2"/>
          </w:tcPr>
          <w:p w14:paraId="5860853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2013-2015</w:t>
            </w:r>
          </w:p>
        </w:tc>
        <w:tc>
          <w:tcPr>
            <w:tcW w:w="1559" w:type="dxa"/>
            <w:gridSpan w:val="2"/>
          </w:tcPr>
          <w:p w14:paraId="09E48FE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Siponimod </w:t>
            </w:r>
          </w:p>
        </w:tc>
        <w:tc>
          <w:tcPr>
            <w:tcW w:w="2552" w:type="dxa"/>
            <w:gridSpan w:val="2"/>
          </w:tcPr>
          <w:p w14:paraId="2070D4AE"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239BC93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Siponimod </w:t>
            </w:r>
          </w:p>
          <w:p w14:paraId="2A82163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 xml:space="preserve">28 </w:t>
            </w:r>
          </w:p>
          <w:p w14:paraId="5B9A5B3F" w14:textId="77777777" w:rsidR="00D16970" w:rsidRPr="009A7518" w:rsidRDefault="00D16970" w:rsidP="00B967CB">
            <w:pPr>
              <w:spacing w:line="276" w:lineRule="auto"/>
              <w:contextualSpacing/>
              <w:rPr>
                <w:rFonts w:cs="Times New Roman"/>
                <w:sz w:val="20"/>
                <w:szCs w:val="20"/>
              </w:rPr>
            </w:pPr>
          </w:p>
          <w:p w14:paraId="4BAB6CF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0A80C50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17 </w:t>
            </w:r>
          </w:p>
          <w:p w14:paraId="09129FD1"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2A89D05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No cervical abnormality reported</w:t>
            </w:r>
          </w:p>
        </w:tc>
        <w:tc>
          <w:tcPr>
            <w:tcW w:w="2127" w:type="dxa"/>
            <w:gridSpan w:val="2"/>
          </w:tcPr>
          <w:p w14:paraId="040A9B63" w14:textId="77777777" w:rsidR="00D16970" w:rsidRPr="009A7518" w:rsidRDefault="00D16970" w:rsidP="00B967CB">
            <w:pPr>
              <w:spacing w:line="276" w:lineRule="auto"/>
              <w:contextualSpacing/>
              <w:rPr>
                <w:rFonts w:cs="Times New Roman"/>
                <w:sz w:val="20"/>
                <w:szCs w:val="20"/>
              </w:rPr>
            </w:pPr>
          </w:p>
        </w:tc>
      </w:tr>
      <w:tr w:rsidR="00D16970" w:rsidRPr="009A7518" w14:paraId="716B88E6" w14:textId="77777777" w:rsidTr="00BA7170">
        <w:tc>
          <w:tcPr>
            <w:tcW w:w="15310" w:type="dxa"/>
            <w:gridSpan w:val="17"/>
          </w:tcPr>
          <w:p w14:paraId="2DECD31B"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Inhibitors o</w:t>
            </w:r>
            <w:r>
              <w:rPr>
                <w:rFonts w:cs="Times New Roman"/>
                <w:b/>
                <w:bCs/>
                <w:sz w:val="20"/>
                <w:szCs w:val="20"/>
              </w:rPr>
              <w:t>f</w:t>
            </w:r>
            <w:r w:rsidRPr="009A7518">
              <w:rPr>
                <w:rFonts w:cs="Times New Roman"/>
                <w:b/>
                <w:bCs/>
                <w:sz w:val="20"/>
                <w:szCs w:val="20"/>
              </w:rPr>
              <w:t xml:space="preserve"> DNA </w:t>
            </w:r>
            <w:r>
              <w:rPr>
                <w:rFonts w:cs="Times New Roman"/>
                <w:b/>
                <w:bCs/>
                <w:sz w:val="20"/>
                <w:szCs w:val="20"/>
              </w:rPr>
              <w:t>Synthesis</w:t>
            </w:r>
            <w:r w:rsidRPr="009A7518">
              <w:rPr>
                <w:rFonts w:cs="Times New Roman"/>
                <w:b/>
                <w:bCs/>
                <w:sz w:val="20"/>
                <w:szCs w:val="20"/>
              </w:rPr>
              <w:t>: Teriflunomide and Cladribine</w:t>
            </w:r>
          </w:p>
        </w:tc>
      </w:tr>
      <w:tr w:rsidR="00D16970" w:rsidRPr="009A7518" w14:paraId="6E35DAAD" w14:textId="77777777" w:rsidTr="00BA7170">
        <w:tc>
          <w:tcPr>
            <w:tcW w:w="15310" w:type="dxa"/>
            <w:gridSpan w:val="17"/>
          </w:tcPr>
          <w:p w14:paraId="456FD471"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Teriflunomide</w:t>
            </w:r>
          </w:p>
        </w:tc>
      </w:tr>
      <w:tr w:rsidR="00D16970" w:rsidRPr="009A7518" w14:paraId="0A729ACC" w14:textId="77777777" w:rsidTr="00BA7170">
        <w:tc>
          <w:tcPr>
            <w:tcW w:w="1560" w:type="dxa"/>
          </w:tcPr>
          <w:p w14:paraId="231300B5" w14:textId="5C5DC22D"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O’Connor et al., 2011</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{"citationID":"bk9TMtfU","properties":{"formattedCitation":"(27)","plainCitation":"(27)","noteIndex":0},"citationItems":[{"id":1054,"uris":["http://zotero.org/users/local/DBM3sz94/items/ZA6XXYVP"],"itemData":{"id":1054,"type":"paper-conference","language":"eng","note":"Book Title: MULTIPLE SCLEROSIS JOURNAL\nISSN: 1352-4585","page":"S95-","source":"monash.com","title":"Effect of teriflunomide on relapses leading to healthcare resource use: results from the TEMSO study","title-short":"Effect of teriflunomide on relapses leading to healthcare resource use","volume":"17","author":[{"family":"O'Connor","given":"P."},{"family":"Lublin","given":"F."},{"family":"Wolinsky","given":"J."},{"family":"Comi","given":"G."},{"family":"Kappos","given":"L."},{"family":"Freedman","given":"M."},{"family":"Olsson","given":"T."},{"family":"Miller","given":"A."},{"family":"Burrell","given":"A."},{"family":"Dive-Pouletty","given":"C."},{"family":"Grand","given":"A."},{"family":"Confavreux","given":"C."}],"issued":{"date-parts":[["2011"]]}}}],"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(27)</w:t>
            </w:r>
            <w:r w:rsidRPr="009A7518">
              <w:rPr>
                <w:rFonts w:cs="Times New Roman"/>
                <w:color w:val="000000" w:themeColor="text1"/>
                <w:sz w:val="20"/>
                <w:szCs w:val="20"/>
                <w:shd w:val="clear" w:color="auto" w:fill="FFFFFF"/>
              </w:rPr>
              <w:fldChar w:fldCharType="end"/>
            </w:r>
            <w:r w:rsidRPr="009A7518">
              <w:rPr>
                <w:rFonts w:cs="Times New Roman"/>
                <w:color w:val="000000" w:themeColor="text1"/>
                <w:sz w:val="20"/>
                <w:szCs w:val="20"/>
                <w:shd w:val="clear" w:color="auto" w:fill="FFFFFF"/>
              </w:rPr>
              <w:t xml:space="preserve"> </w:t>
            </w:r>
          </w:p>
          <w:p w14:paraId="2B0EDBEC"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p w14:paraId="7417C11A"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 xml:space="preserve">TEMSO </w:t>
            </w:r>
          </w:p>
          <w:p w14:paraId="4E57F084"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NCT00134563</w:t>
            </w:r>
          </w:p>
          <w:p w14:paraId="1EB2CB5A" w14:textId="77777777" w:rsidR="00D16970" w:rsidRPr="009A7518" w:rsidRDefault="00D16970" w:rsidP="00B967CB">
            <w:pPr>
              <w:spacing w:line="276" w:lineRule="auto"/>
              <w:contextualSpacing/>
              <w:rPr>
                <w:rFonts w:cs="Times New Roman"/>
                <w:sz w:val="20"/>
                <w:szCs w:val="20"/>
              </w:rPr>
            </w:pPr>
          </w:p>
        </w:tc>
        <w:tc>
          <w:tcPr>
            <w:tcW w:w="1417" w:type="dxa"/>
            <w:gridSpan w:val="2"/>
          </w:tcPr>
          <w:p w14:paraId="4C2FF58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Pr>
                <w:rFonts w:cs="Times New Roman"/>
                <w:sz w:val="20"/>
                <w:szCs w:val="20"/>
              </w:rPr>
              <w:t>randomised</w:t>
            </w:r>
            <w:proofErr w:type="spellEnd"/>
            <w:r w:rsidRPr="009A7518">
              <w:rPr>
                <w:rFonts w:cs="Times New Roman"/>
                <w:sz w:val="20"/>
                <w:szCs w:val="20"/>
              </w:rPr>
              <w:t xml:space="preserve">, placebo-controlled trial </w:t>
            </w:r>
          </w:p>
        </w:tc>
        <w:tc>
          <w:tcPr>
            <w:tcW w:w="1276" w:type="dxa"/>
            <w:gridSpan w:val="2"/>
          </w:tcPr>
          <w:p w14:paraId="66EB91A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763FFB2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1088 MS patients </w:t>
            </w:r>
          </w:p>
          <w:p w14:paraId="0F91E8B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725 TER</w:t>
            </w:r>
          </w:p>
          <w:p w14:paraId="6B98C80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363 Placebo  </w:t>
            </w:r>
          </w:p>
        </w:tc>
        <w:tc>
          <w:tcPr>
            <w:tcW w:w="1134" w:type="dxa"/>
            <w:gridSpan w:val="2"/>
          </w:tcPr>
          <w:p w14:paraId="5F3FC7A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2004-2008</w:t>
            </w:r>
          </w:p>
        </w:tc>
        <w:tc>
          <w:tcPr>
            <w:tcW w:w="1559" w:type="dxa"/>
            <w:gridSpan w:val="2"/>
          </w:tcPr>
          <w:p w14:paraId="2CDB5A9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TER </w:t>
            </w:r>
          </w:p>
        </w:tc>
        <w:tc>
          <w:tcPr>
            <w:tcW w:w="2552" w:type="dxa"/>
            <w:gridSpan w:val="2"/>
          </w:tcPr>
          <w:p w14:paraId="762E1AAE"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61C2734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TER </w:t>
            </w:r>
          </w:p>
          <w:p w14:paraId="7BCD648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p w14:paraId="1197556F" w14:textId="77777777" w:rsidR="00D16970" w:rsidRPr="009A7518" w:rsidRDefault="00D16970" w:rsidP="00B967CB">
            <w:pPr>
              <w:spacing w:line="276" w:lineRule="auto"/>
              <w:contextualSpacing/>
              <w:rPr>
                <w:rFonts w:cs="Times New Roman"/>
                <w:sz w:val="20"/>
                <w:szCs w:val="20"/>
              </w:rPr>
            </w:pPr>
          </w:p>
          <w:p w14:paraId="75B53F7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4551992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3 </w:t>
            </w:r>
          </w:p>
          <w:p w14:paraId="666CE84C"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7B188CDD"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77E0F1A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Cervical cancer </w:t>
            </w:r>
          </w:p>
          <w:p w14:paraId="0BA32E6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TER </w:t>
            </w:r>
          </w:p>
          <w:p w14:paraId="0E3892D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p w14:paraId="2B6719E1" w14:textId="77777777" w:rsidR="00D16970" w:rsidRPr="009A7518" w:rsidRDefault="00D16970" w:rsidP="00B967CB">
            <w:pPr>
              <w:spacing w:line="276" w:lineRule="auto"/>
              <w:contextualSpacing/>
              <w:rPr>
                <w:rFonts w:cs="Times New Roman"/>
                <w:sz w:val="20"/>
                <w:szCs w:val="20"/>
              </w:rPr>
            </w:pPr>
          </w:p>
          <w:p w14:paraId="2D588E4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3957F75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tc>
        <w:tc>
          <w:tcPr>
            <w:tcW w:w="2127" w:type="dxa"/>
            <w:gridSpan w:val="2"/>
          </w:tcPr>
          <w:p w14:paraId="7EB89680" w14:textId="77777777" w:rsidR="00D16970" w:rsidRPr="009A7518" w:rsidRDefault="00D16970" w:rsidP="00B967CB">
            <w:pPr>
              <w:spacing w:line="276" w:lineRule="auto"/>
              <w:contextualSpacing/>
              <w:rPr>
                <w:rFonts w:cs="Times New Roman"/>
                <w:sz w:val="20"/>
                <w:szCs w:val="20"/>
              </w:rPr>
            </w:pPr>
          </w:p>
        </w:tc>
      </w:tr>
      <w:tr w:rsidR="00D16970" w:rsidRPr="009A7518" w14:paraId="4344F3A7" w14:textId="77777777" w:rsidTr="00BA7170">
        <w:tc>
          <w:tcPr>
            <w:tcW w:w="1560" w:type="dxa"/>
          </w:tcPr>
          <w:p w14:paraId="69A945F8" w14:textId="332805C0"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Miller et al., 2014</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{"citationID":"3QgcVu38","properties":{"formattedCitation":"(28)","plainCitation":"(28)","noteIndex":0},"citationItems":[{"id":956,"uris":["http://zotero.org/users/local/DBM3sz94/items/N4LL5KCC"],"itemData":{"id":956,"type":"article-journal","abstract":"Background Teriﬂunomide is a once-daily oral immunomodulator approved for the treatment of relapsing-remitting multiple sclerosis. We aimed to assess the eﬃcacy and safety of teriﬂunomide in patients with a ﬁrst clinical episode suggestive of multiple sclerosis.","container-title":"The Lancet Neurology","DOI":"10.1016/S1474-4422(14)70191-7","ISSN":"14744422","issue":"10","journalAbbreviation":"The Lancet Neurology","language":"en","page":"977-986","source":"DOI.org (Crossref)","title":"Oral teriflunomide for patients with a first clinical episode suggestive of multiple sclerosis (TOPIC): a randomised, double-blind, placebo-controlled, phase 3 trial","title-short":"Oral teriflunomide for patients with a first clinical episode suggestive of multiple sclerosis (TOPIC)","volume":"13","author":[{"family":"Miller","given":"Aaron E"},{"family":"Wolinsky","given":"Jerry S"},{"family":"Kappos","given":"Ludwig"},{"family":"Comi","given":"Giancarlo"},{"family":"Freedman","given":"Mark S"},{"family":"Olsson","given":"Tomas P"},{"family":"Bauer","given":"Deborah"},{"family":"Benamor","given":"Myriam"},{"family":"Truffinet","given":"Philippe"},{"family":"O'Connor","given":"Paul W"}],"issued":{"date-parts":[["2014",10]]}}}],"schema":"https://github.com/citation-style-language/schema/raw/master/csl-citation.json"}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(28)</w:t>
            </w:r>
            <w:r w:rsidRPr="009A7518">
              <w:rPr>
                <w:rFonts w:cs="Times New Roman"/>
                <w:color w:val="000000" w:themeColor="text1"/>
                <w:sz w:val="20"/>
                <w:szCs w:val="20"/>
                <w:shd w:val="clear" w:color="auto" w:fill="FFFFFF"/>
              </w:rPr>
              <w:fldChar w:fldCharType="end"/>
            </w:r>
          </w:p>
          <w:p w14:paraId="1DEE2E56"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p w14:paraId="55745AA7"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 xml:space="preserve">TOPIC </w:t>
            </w:r>
          </w:p>
          <w:p w14:paraId="6BC6A87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NCT00622700</w:t>
            </w:r>
          </w:p>
          <w:p w14:paraId="3F399102"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tc>
        <w:tc>
          <w:tcPr>
            <w:tcW w:w="1417" w:type="dxa"/>
            <w:gridSpan w:val="2"/>
          </w:tcPr>
          <w:p w14:paraId="1E7CC0F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Phase 3</w:t>
            </w:r>
          </w:p>
          <w:p w14:paraId="3304536C" w14:textId="77777777" w:rsidR="00D16970" w:rsidRPr="009A7518" w:rsidRDefault="00D16970" w:rsidP="00B967CB">
            <w:pPr>
              <w:spacing w:line="276" w:lineRule="auto"/>
              <w:contextualSpacing/>
              <w:rPr>
                <w:rFonts w:cs="Times New Roman"/>
                <w:sz w:val="20"/>
                <w:szCs w:val="20"/>
              </w:rPr>
            </w:pPr>
            <w:proofErr w:type="spellStart"/>
            <w:r>
              <w:rPr>
                <w:rFonts w:cs="Times New Roman"/>
                <w:sz w:val="20"/>
                <w:szCs w:val="20"/>
              </w:rPr>
              <w:t>randomised</w:t>
            </w:r>
            <w:proofErr w:type="spellEnd"/>
            <w:r w:rsidRPr="009A7518">
              <w:rPr>
                <w:rFonts w:cs="Times New Roman"/>
                <w:sz w:val="20"/>
                <w:szCs w:val="20"/>
              </w:rPr>
              <w:t xml:space="preserve">, placebo-controlled trial </w:t>
            </w:r>
          </w:p>
        </w:tc>
        <w:tc>
          <w:tcPr>
            <w:tcW w:w="1276" w:type="dxa"/>
            <w:gridSpan w:val="2"/>
          </w:tcPr>
          <w:p w14:paraId="480121D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6E7BF32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618 MS patients</w:t>
            </w:r>
          </w:p>
          <w:p w14:paraId="242BBB9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421 TER </w:t>
            </w:r>
          </w:p>
          <w:p w14:paraId="3CC77D8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197 Placebo </w:t>
            </w:r>
          </w:p>
        </w:tc>
        <w:tc>
          <w:tcPr>
            <w:tcW w:w="1134" w:type="dxa"/>
            <w:gridSpan w:val="2"/>
          </w:tcPr>
          <w:p w14:paraId="4C273AF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2008-2012</w:t>
            </w:r>
          </w:p>
        </w:tc>
        <w:tc>
          <w:tcPr>
            <w:tcW w:w="1559" w:type="dxa"/>
            <w:gridSpan w:val="2"/>
          </w:tcPr>
          <w:p w14:paraId="180E2C4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tc>
        <w:tc>
          <w:tcPr>
            <w:tcW w:w="2552" w:type="dxa"/>
            <w:gridSpan w:val="2"/>
          </w:tcPr>
          <w:p w14:paraId="72C4DCF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cancer reported </w:t>
            </w:r>
          </w:p>
        </w:tc>
        <w:tc>
          <w:tcPr>
            <w:tcW w:w="2409" w:type="dxa"/>
            <w:gridSpan w:val="2"/>
          </w:tcPr>
          <w:p w14:paraId="055D7BF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6E68BDC4" w14:textId="77777777" w:rsidR="00D16970" w:rsidRPr="009A7518" w:rsidRDefault="00D16970" w:rsidP="00B967CB">
            <w:pPr>
              <w:spacing w:line="276" w:lineRule="auto"/>
              <w:contextualSpacing/>
              <w:rPr>
                <w:rFonts w:cs="Times New Roman"/>
                <w:sz w:val="20"/>
                <w:szCs w:val="20"/>
              </w:rPr>
            </w:pPr>
          </w:p>
        </w:tc>
      </w:tr>
      <w:tr w:rsidR="00D16970" w:rsidRPr="009A7518" w14:paraId="2612C4F1" w14:textId="77777777" w:rsidTr="00BA7170">
        <w:tc>
          <w:tcPr>
            <w:tcW w:w="1560" w:type="dxa"/>
          </w:tcPr>
          <w:p w14:paraId="4744136D" w14:textId="5545D587" w:rsidR="00D16970" w:rsidRPr="009A7518" w:rsidRDefault="00D16970" w:rsidP="00B967CB">
            <w:pPr>
              <w:spacing w:line="276" w:lineRule="auto"/>
              <w:contextualSpacing/>
              <w:rPr>
                <w:rFonts w:cs="Times New Roman"/>
                <w:color w:val="000000" w:themeColor="text1"/>
                <w:sz w:val="20"/>
                <w:szCs w:val="20"/>
                <w:shd w:val="clear" w:color="auto" w:fill="FFFFFF"/>
              </w:rPr>
            </w:pPr>
            <w:proofErr w:type="spellStart"/>
            <w:r w:rsidRPr="009A7518">
              <w:rPr>
                <w:rFonts w:cs="Times New Roman"/>
                <w:color w:val="000000" w:themeColor="text1"/>
                <w:sz w:val="20"/>
                <w:szCs w:val="20"/>
                <w:shd w:val="clear" w:color="auto" w:fill="FFFFFF"/>
              </w:rPr>
              <w:t>Confavreux</w:t>
            </w:r>
            <w:proofErr w:type="spellEnd"/>
            <w:r w:rsidRPr="009A7518">
              <w:rPr>
                <w:rFonts w:cs="Times New Roman"/>
                <w:color w:val="000000" w:themeColor="text1"/>
                <w:sz w:val="20"/>
                <w:szCs w:val="20"/>
                <w:shd w:val="clear" w:color="auto" w:fill="FFFFFF"/>
              </w:rPr>
              <w:t xml:space="preserve"> et al., 2014</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{"citationID":"RTPjhShL","properties":{"formattedCitation":"(29)","plainCitation":"(29)","noteIndex":0},"citationItems":[{"id":950,"uris":["http://zotero.org/users/local/DBM3sz94/items/54IVPPYI"],"itemData":{"id":950,"type":"article-journal","abstract":"Background Teriﬂunomide is an oral disease-modifying therapy approved for treatment of relapsing or relapsing–remitting multiple sclerosis. We aimed to provide further evidence for the safety and eﬃcacy of teriﬂunomide in patients with relapsing multiple sclerosis.","container-title":"The Lancet Neurology","DOI":"10.1016/S1474-4422(13)70308-9","ISSN":"14744422","issue":"3","journalAbbreviation":"The Lancet Neurology","language":"en","page":"247-256","source":"DOI.org (Crossref)","title":"Oral teriflunomide for patients with relapsing multiple sclerosis (TOWER): a randomised, double-blind, placebo-controlled, phase 3 trial","title-short":"Oral teriflunomide for patients with relapsing multiple sclerosis (TOWER)","volume":"13","author":[{"family":"Confavreux","given":"Christian"},{"family":"O'Connor","given":"Paul"},{"family":"Comi","given":"Giancarlo"},{"family":"Freedman","given":"Mark S"},{"family":"Miller","given":"Aaron E"},{"family":"Olsson","given":"Tomas P"},{"family":"Wolinsky","given":"Jerry S"},{"family":"Bagulho","given":"Teresa"},{"family":"Delhay","given":"Jean-Luc"},{"family":"Dukovic","given":"Deborah"},{"family":"Truffinet","given":"Philippe"},{"family":"Kappos","given":"Ludwig"}],"issued":{"date-parts":[["2014",3]]}}}],"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(29)</w:t>
            </w:r>
            <w:r w:rsidRPr="009A7518">
              <w:rPr>
                <w:rFonts w:cs="Times New Roman"/>
                <w:color w:val="000000" w:themeColor="text1"/>
                <w:sz w:val="20"/>
                <w:szCs w:val="20"/>
                <w:shd w:val="clear" w:color="auto" w:fill="FFFFFF"/>
              </w:rPr>
              <w:fldChar w:fldCharType="end"/>
            </w:r>
          </w:p>
          <w:p w14:paraId="19AA1A8F"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p w14:paraId="2DC9B13F"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TOWER</w:t>
            </w:r>
          </w:p>
          <w:p w14:paraId="2DA19ACD"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NCT00751881</w:t>
            </w:r>
          </w:p>
          <w:p w14:paraId="2BBC66F1"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tc>
        <w:tc>
          <w:tcPr>
            <w:tcW w:w="1417" w:type="dxa"/>
            <w:gridSpan w:val="2"/>
          </w:tcPr>
          <w:p w14:paraId="75C5F56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 placebo-controlled trial</w:t>
            </w:r>
          </w:p>
        </w:tc>
        <w:tc>
          <w:tcPr>
            <w:tcW w:w="1276" w:type="dxa"/>
            <w:gridSpan w:val="2"/>
          </w:tcPr>
          <w:p w14:paraId="46655A8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394F81C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1169 MS patients</w:t>
            </w:r>
          </w:p>
          <w:p w14:paraId="3A319B3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p w14:paraId="1C1D29A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780 TER</w:t>
            </w:r>
          </w:p>
          <w:p w14:paraId="25D307B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385 Placebo </w:t>
            </w:r>
          </w:p>
          <w:p w14:paraId="2BDBC57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tc>
        <w:tc>
          <w:tcPr>
            <w:tcW w:w="1134" w:type="dxa"/>
            <w:gridSpan w:val="2"/>
          </w:tcPr>
          <w:p w14:paraId="2933DCE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2008-2011</w:t>
            </w:r>
          </w:p>
        </w:tc>
        <w:tc>
          <w:tcPr>
            <w:tcW w:w="1559" w:type="dxa"/>
            <w:gridSpan w:val="2"/>
          </w:tcPr>
          <w:p w14:paraId="45AE158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tc>
        <w:tc>
          <w:tcPr>
            <w:tcW w:w="2552" w:type="dxa"/>
            <w:gridSpan w:val="2"/>
          </w:tcPr>
          <w:p w14:paraId="427CE22A"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4BFD445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p w14:paraId="4E33AAB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tc>
        <w:tc>
          <w:tcPr>
            <w:tcW w:w="2409" w:type="dxa"/>
            <w:gridSpan w:val="2"/>
          </w:tcPr>
          <w:p w14:paraId="2F2880D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3FE3ED48" w14:textId="77777777" w:rsidR="00D16970" w:rsidRPr="009A7518" w:rsidRDefault="00D16970" w:rsidP="00B967CB">
            <w:pPr>
              <w:spacing w:line="276" w:lineRule="auto"/>
              <w:contextualSpacing/>
              <w:rPr>
                <w:rFonts w:cs="Times New Roman"/>
                <w:sz w:val="20"/>
                <w:szCs w:val="20"/>
              </w:rPr>
            </w:pPr>
          </w:p>
        </w:tc>
      </w:tr>
      <w:tr w:rsidR="00D16970" w:rsidRPr="009A7518" w14:paraId="07DA8316" w14:textId="77777777" w:rsidTr="00BA7170">
        <w:tc>
          <w:tcPr>
            <w:tcW w:w="1560" w:type="dxa"/>
          </w:tcPr>
          <w:p w14:paraId="391A069A" w14:textId="01986D66"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O’Connor et al, 2016</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{"citationID":"EvjXQO3T","properties":{"formattedCitation":"(30)","plainCitation":"(30)","noteIndex":0},"citationItems":[{"id":370,"uris":["http://zotero.org/users/local/DBM3sz94/items/JDUTNUB2"],"itemData":{"id":370,"type":"article-journal","abstract":"OBJECTIVE: To report safety and efficacy outcomes from up to 9 years of treatment with teriflunomide in an extension (NCT00803049) of the pivotal phase 3 Teriflunomide Multiple Sclerosis Oral (TEMSO) trial (NCT00134563).\nMETHODS: A total of 742 patients entered the extension. Teriflunomide-treated patients continued the original dose; those previously receiving placebo were randomized 1:1 to teriflunomide 14 mg or 7 mg.\nRESULTS: By June 2013, median (maximum) teriflunomide exposure exceeded 190 (325) weeks per patient; 468 patients (63%) remained on treatment. Teriflunomide was well-tolerated with continued exposure. The most common adverse events (AEs) matched those in the core study. In extension year 1, first AEs of transient liver enzyme increases or reversible hair thinning were generally attributable to patients switching from placebo to teriflunomide. Approximately 11% of patients discontinued treatment owing to AEs. Twenty percent of patients experienced serious AEs. There were 3 deaths unrelated to teriflunomide. Soon after the extension started, annualized relapse rates and gadolinium-enhancing T1 lesion counts fell in patients switching from placebo to teriflunomide, remaining low thereafter. Disability remained stable in all treatment groups (median Expanded Disability Status Scale score ≤2.5; probability of 12-week disability progression ≤0.48).\nCONCLUSIONS: In the TEMSO extension, safety observations were consistent with the core trial, with no new or unexpected AEs in patients receiving teriflunomide for up to 9 years. Disease activity decreased in patients switching from placebo and remained low in patients continuing on teriflunomide.\nCLASSIFICATION OF EVIDENCE: This study provides Class III evidence that long-term treatment with teriflunomide is well-tolerated and efficacy of teriflunomide is maintained long-term.","container-title":"Neurology","DOI":"10.1212/WNL.0000000000002441","ISSN":"1526-632X","issue":"10","journalAbbreviation":"Neurology","language":"eng","note":"PMID: 26865517\nPMCID: PMC4782117","page":"920-930","source":"PubMed","title":"Long-term safety and efficacy of teriflunomide: Nine-year follow-up of the randomized TEMSO study","title-short":"Long-term safety and efficacy of teriflunomide","volume":"86","author":[{"family":"O'Connor","given":"Paul"},{"family":"Comi","given":"Giancarlo"},{"family":"Freedman","given":"Mark S."},{"family":"Miller","given":"Aaron E."},{"family":"Kappos","given":"Ludwig"},{"family":"Bouchard","given":"Jean-Pierre"},{"family":"Lebrun-Frenay","given":"Christine"},{"family":"Mares","given":"Jan"},{"family":"Benamor","given":"Myriam"},{"family":"Thangavelu","given":"Karthinathan"},{"family":"Liang","given":"Jinjun"},{"family":"Truffinet","given":"Philippe"},{"family":"Lawson","given":"Victoria J."},{"family":"Wolinsky","given":"Jerry S."},{"literal":"Teriflunomide Multiple Sclerosis Oral (TEMSO) Trial Group and the MRI-AC in Houston, Texas"}],"issued":{"date-parts":[["2016",3,8]]}}}],"schema":"https://github.com/citation-style-language/schema/raw/master/csl-citation.json"}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(30)</w:t>
            </w:r>
            <w:r w:rsidRPr="009A7518">
              <w:rPr>
                <w:rFonts w:cs="Times New Roman"/>
                <w:color w:val="000000" w:themeColor="text1"/>
                <w:sz w:val="20"/>
                <w:szCs w:val="20"/>
                <w:shd w:val="clear" w:color="auto" w:fill="FFFFFF"/>
              </w:rPr>
              <w:fldChar w:fldCharType="end"/>
            </w:r>
            <w:r w:rsidRPr="009A7518">
              <w:rPr>
                <w:rFonts w:cs="Times New Roman"/>
                <w:color w:val="000000" w:themeColor="text1"/>
                <w:sz w:val="20"/>
                <w:szCs w:val="20"/>
                <w:shd w:val="clear" w:color="auto" w:fill="FFFFFF"/>
              </w:rPr>
              <w:t xml:space="preserve"> </w:t>
            </w:r>
          </w:p>
          <w:p w14:paraId="367C0C80"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p>
          <w:p w14:paraId="4FF85A13"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color w:val="000000" w:themeColor="text1"/>
                <w:sz w:val="20"/>
                <w:szCs w:val="20"/>
                <w:shd w:val="clear" w:color="auto" w:fill="FFFFFF"/>
              </w:rPr>
              <w:t xml:space="preserve">TEMSO Extension </w:t>
            </w:r>
          </w:p>
          <w:p w14:paraId="05A46100" w14:textId="77777777" w:rsidR="00D16970" w:rsidRPr="009A7518" w:rsidRDefault="00D16970" w:rsidP="00B967CB">
            <w:pPr>
              <w:spacing w:line="276" w:lineRule="auto"/>
              <w:contextualSpacing/>
              <w:rPr>
                <w:rFonts w:cs="Times New Roman"/>
                <w:color w:val="000000" w:themeColor="text1"/>
                <w:sz w:val="20"/>
                <w:szCs w:val="20"/>
                <w:shd w:val="clear" w:color="auto" w:fill="FFFFFF"/>
              </w:rPr>
            </w:pPr>
            <w:r w:rsidRPr="009A7518">
              <w:rPr>
                <w:rFonts w:cs="Times New Roman"/>
                <w:sz w:val="20"/>
                <w:szCs w:val="20"/>
              </w:rPr>
              <w:t>NCT00803049</w:t>
            </w:r>
          </w:p>
        </w:tc>
        <w:tc>
          <w:tcPr>
            <w:tcW w:w="1417" w:type="dxa"/>
            <w:gridSpan w:val="2"/>
          </w:tcPr>
          <w:p w14:paraId="0E29E52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Phase 3 extension study</w:t>
            </w:r>
          </w:p>
        </w:tc>
        <w:tc>
          <w:tcPr>
            <w:tcW w:w="1276" w:type="dxa"/>
            <w:gridSpan w:val="2"/>
          </w:tcPr>
          <w:p w14:paraId="78493D8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2CC9F92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742 TER </w:t>
            </w:r>
          </w:p>
        </w:tc>
        <w:tc>
          <w:tcPr>
            <w:tcW w:w="1134" w:type="dxa"/>
            <w:gridSpan w:val="2"/>
          </w:tcPr>
          <w:p w14:paraId="5B68EF8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2008-2013</w:t>
            </w:r>
          </w:p>
        </w:tc>
        <w:tc>
          <w:tcPr>
            <w:tcW w:w="1559" w:type="dxa"/>
            <w:gridSpan w:val="2"/>
          </w:tcPr>
          <w:p w14:paraId="63B96F5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TER </w:t>
            </w:r>
          </w:p>
        </w:tc>
        <w:tc>
          <w:tcPr>
            <w:tcW w:w="2552" w:type="dxa"/>
            <w:gridSpan w:val="2"/>
          </w:tcPr>
          <w:p w14:paraId="5BF08ADB" w14:textId="18D8E022"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 (n)</w:t>
            </w:r>
          </w:p>
          <w:p w14:paraId="360BED3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0.01 (10) vs general MS population in Sweden 0.11</w:t>
            </w:r>
            <w:r w:rsidRPr="009A7518">
              <w:rPr>
                <w:rFonts w:cs="Times New Roman"/>
                <w:color w:val="70AD47" w:themeColor="accent6"/>
                <w:sz w:val="20"/>
                <w:szCs w:val="20"/>
              </w:rPr>
              <w:t xml:space="preserve"> </w:t>
            </w:r>
          </w:p>
        </w:tc>
        <w:tc>
          <w:tcPr>
            <w:tcW w:w="2409" w:type="dxa"/>
            <w:gridSpan w:val="2"/>
          </w:tcPr>
          <w:p w14:paraId="02993CC4"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4BBCEB7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Cervical cancer </w:t>
            </w:r>
          </w:p>
          <w:p w14:paraId="29A314C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p w14:paraId="7060ABC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tc>
        <w:tc>
          <w:tcPr>
            <w:tcW w:w="2127" w:type="dxa"/>
            <w:gridSpan w:val="2"/>
          </w:tcPr>
          <w:p w14:paraId="47AB8FF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Overall incidence cancer comparable to the general MS population in Sweden </w:t>
            </w:r>
          </w:p>
          <w:p w14:paraId="1BBEF570" w14:textId="77777777" w:rsidR="00D16970" w:rsidRPr="009A7518" w:rsidRDefault="00D16970" w:rsidP="00B967CB">
            <w:pPr>
              <w:spacing w:line="276" w:lineRule="auto"/>
              <w:contextualSpacing/>
              <w:rPr>
                <w:rFonts w:cs="Times New Roman"/>
                <w:sz w:val="20"/>
                <w:szCs w:val="20"/>
              </w:rPr>
            </w:pPr>
          </w:p>
        </w:tc>
      </w:tr>
      <w:tr w:rsidR="00D16970" w:rsidRPr="009A7518" w14:paraId="0AD98237" w14:textId="77777777" w:rsidTr="00BA7170">
        <w:tc>
          <w:tcPr>
            <w:tcW w:w="15310" w:type="dxa"/>
            <w:gridSpan w:val="17"/>
          </w:tcPr>
          <w:p w14:paraId="64E39BB6"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Cladribine </w:t>
            </w:r>
          </w:p>
        </w:tc>
      </w:tr>
      <w:tr w:rsidR="00D16970" w:rsidRPr="009A7518" w14:paraId="4788240C" w14:textId="77777777" w:rsidTr="00BA7170">
        <w:tc>
          <w:tcPr>
            <w:tcW w:w="1560" w:type="dxa"/>
          </w:tcPr>
          <w:p w14:paraId="55653D70" w14:textId="7680EDE4"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lastRenderedPageBreak/>
              <w:t>Giovannoni</w:t>
            </w:r>
            <w:proofErr w:type="spellEnd"/>
            <w:r w:rsidRPr="009A7518">
              <w:rPr>
                <w:rFonts w:cs="Times New Roman"/>
                <w:sz w:val="20"/>
                <w:szCs w:val="20"/>
              </w:rPr>
              <w:t xml:space="preserve"> et al., 2010</w:t>
            </w:r>
            <w:r w:rsidRPr="009A7518">
              <w:rPr>
                <w:rFonts w:cs="Times New Roman"/>
                <w:sz w:val="20"/>
                <w:szCs w:val="20"/>
              </w:rPr>
              <w:fldChar w:fldCharType="begin"/>
            </w:r>
            <w:r w:rsidR="00B967CB">
              <w:rPr>
                <w:rFonts w:cs="Times New Roman"/>
                <w:sz w:val="20"/>
                <w:szCs w:val="20"/>
              </w:rPr>
              <w:instrText xml:space="preserve"> ADDIN ZOTERO_ITEM CSL_CITATION {"citationID":"Os16CFJQ","properties":{"formattedCitation":"(31)","plainCitation":"(31)","noteIndex":0},"citationItems":[{"id":368,"uris":["http://zotero.org/users/local/DBM3sz94/items/EBJZ3C73"],"itemData":{"id":368,"type":"article-journal","abstract":"BACKGROUND: Long-term safety data are of particular interest for any newly approved treatment in multiple sclerosis such as cladribine tablets 10 mg (MAVENCLAD®; 3.5 mg/kg cumulative dose over 2 years, referred to as cladribine tablets 3.5 mg/kg), which is approved in Europe and the USA. Here we provide the final report on the integrated analysis of the safety profile of cladribine tablets 3.5 mg/kg from the clinical development program, including final data from the PREMIERE registry.\nMETHODS: Safety data for cladribine tablets 3.5 mg/kg from three previously reported Phase III studies (CLARITY, CLARITY Extension and ORACLE-MS), as well as the prospective, observational PREMIERE registry (which ran from November 2009 to October 2018; consisting of patients who had participated in at least one of the Phase III trials) were combined to provide the Monotherapy Oral cohort. Serious adverse events (SAEs) and predefined SAEs of special interest were recorded. Observation-adjusted incidence rates per 100 patient-years (Adj-AE per 100 PY) were used to assess adverse events (AEs). Standardized incidence ratios for malignancies were calculated in relation to a matched GLOBOCAN reference population, and risk differences (cladribine tablets versus placebo) were estimated.\nRESULTS: The Monotherapy Oral cohort comprised 923 patients who received cladribine tablets 3.5 mg/kg and 641 patients who received placebo. Overall, the reported number of SAEs was higher in the cladribine tablets 3.5 mg/kg group (133/923 [14.4%] patients with at least 1 SAE), versus the placebo group (68/641 [10.6%] patients with at least 1 SAE). Four patients in the cladribine tablets 3.5 mg/kg group had lymphopenia classified as a serious event (resulting in an Adj-AE of 0.10 per 100 PY) and 2 patients had serious herpes zoster (resulting in an Adj-AE of 0.05 per 100 PY). There were no cases in the corresponding placebo groups. There was no difference between the cladribine tablets 3.5 mg/kg group and placebo in the overall incidence of infections. However herpetic infection AEs occurred more frequently in the cladribine tablets 3.5 mg/kg group (driven primarily by herpes zoster, followed by oral herpes and herpes simplex). Overall, there was a numerical imbalance in malignancy incidence between cladribine tablets 3.5 mg/kg and placebo, with an Adj-AE of 0.26 and 0.12 per 100 PY, respectively; however the difference was not statistically significant. The rate of malignancies observed with cladribine tablets 3.5 mg/kg in the final integrated safety analysis was not different from the expected rate in the matched GLOBOCAN reference population (standardized incidence ratio, 0.88; 95% CI, 0.44-1.69).\nCONCLUSION: Additional patient-years of observation do not significantly alter the conclusions of earlier interim analyses, and no new major safety findings were identified in this consolidated analysis of safety data of cladribine tablets 3.5 mg/kg monotherapy in patients with relapsing-remitting multiple sclerosis.","container-title":"Multiple Sclerosis and Related Disorders","DOI":"10.1016/j.msard.2020.102572","ISSN":"2211-0356","journalAbbreviation":"Mult Scler Relat Disord","language":"eng","note":"PMID: 33296971","page":"102572","source":"PubMed","title":"Long-term safety data from the cladribine tablets clinical development program in multiple sclerosis","volume":"46","author":[{"family":"Leist","given":"T."},{"family":"Cook","given":"S."},{"family":"Comi","given":"G."},{"family":"Montalban","given":"X."},{"family":"Giovannoni","given":"G."},{"family":"Nolting","given":"A."},{"family":"Damian","given":"D."},{"family":"Syed","given":"S."},{"family":"Galazka","given":"A."}],"issued":{"date-parts":[["2020",11]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(31)</w:t>
            </w:r>
            <w:r w:rsidRPr="009A7518">
              <w:rPr>
                <w:rFonts w:cs="Times New Roman"/>
                <w:sz w:val="20"/>
                <w:szCs w:val="20"/>
              </w:rPr>
              <w:fldChar w:fldCharType="end"/>
            </w:r>
          </w:p>
          <w:p w14:paraId="27F2DA24" w14:textId="77777777" w:rsidR="00D16970" w:rsidRPr="009A7518" w:rsidRDefault="00D16970" w:rsidP="00B967CB">
            <w:pPr>
              <w:spacing w:line="276" w:lineRule="auto"/>
              <w:contextualSpacing/>
              <w:rPr>
                <w:rFonts w:cs="Times New Roman"/>
                <w:sz w:val="20"/>
                <w:szCs w:val="20"/>
              </w:rPr>
            </w:pPr>
          </w:p>
          <w:p w14:paraId="2AA7527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CLARITY </w:t>
            </w:r>
          </w:p>
          <w:p w14:paraId="7014AD8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NCT00213135</w:t>
            </w:r>
          </w:p>
          <w:p w14:paraId="6452C4C6" w14:textId="77777777" w:rsidR="00D16970" w:rsidRPr="009A7518" w:rsidRDefault="00D16970" w:rsidP="00B967CB">
            <w:pPr>
              <w:spacing w:line="276" w:lineRule="auto"/>
              <w:contextualSpacing/>
              <w:rPr>
                <w:rFonts w:cs="Times New Roman"/>
                <w:sz w:val="20"/>
                <w:szCs w:val="20"/>
              </w:rPr>
            </w:pPr>
          </w:p>
          <w:p w14:paraId="5653D5F1" w14:textId="77777777" w:rsidR="00D16970" w:rsidRPr="009A7518" w:rsidRDefault="00D16970" w:rsidP="00B967CB">
            <w:pPr>
              <w:spacing w:line="276" w:lineRule="auto"/>
              <w:contextualSpacing/>
              <w:rPr>
                <w:rFonts w:cs="Times New Roman"/>
                <w:sz w:val="20"/>
                <w:szCs w:val="20"/>
              </w:rPr>
            </w:pPr>
          </w:p>
        </w:tc>
        <w:tc>
          <w:tcPr>
            <w:tcW w:w="1417" w:type="dxa"/>
            <w:gridSpan w:val="2"/>
          </w:tcPr>
          <w:p w14:paraId="69435B9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Pr>
                <w:rFonts w:cs="Times New Roman"/>
                <w:sz w:val="20"/>
                <w:szCs w:val="20"/>
              </w:rPr>
              <w:t>ramdomised</w:t>
            </w:r>
            <w:proofErr w:type="spellEnd"/>
            <w:r w:rsidRPr="009A7518">
              <w:rPr>
                <w:rFonts w:cs="Times New Roman"/>
                <w:sz w:val="20"/>
                <w:szCs w:val="20"/>
              </w:rPr>
              <w:t xml:space="preserve">, placebo-controlled trial </w:t>
            </w:r>
          </w:p>
        </w:tc>
        <w:tc>
          <w:tcPr>
            <w:tcW w:w="1276" w:type="dxa"/>
            <w:gridSpan w:val="2"/>
          </w:tcPr>
          <w:p w14:paraId="581E607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206690B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1326 RRMS</w:t>
            </w:r>
          </w:p>
          <w:p w14:paraId="19C98E4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884 Cladribine </w:t>
            </w:r>
          </w:p>
          <w:p w14:paraId="6463E13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453 Placebo </w:t>
            </w:r>
          </w:p>
          <w:p w14:paraId="66C3768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tc>
        <w:tc>
          <w:tcPr>
            <w:tcW w:w="1134" w:type="dxa"/>
            <w:gridSpan w:val="2"/>
          </w:tcPr>
          <w:p w14:paraId="73A830A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2005-2007</w:t>
            </w:r>
          </w:p>
        </w:tc>
        <w:tc>
          <w:tcPr>
            <w:tcW w:w="1559" w:type="dxa"/>
            <w:gridSpan w:val="2"/>
          </w:tcPr>
          <w:p w14:paraId="165F554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Cladribine </w:t>
            </w:r>
          </w:p>
        </w:tc>
        <w:tc>
          <w:tcPr>
            <w:tcW w:w="2552" w:type="dxa"/>
            <w:gridSpan w:val="2"/>
          </w:tcPr>
          <w:p w14:paraId="625854B2"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71B615D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Cladribine </w:t>
            </w:r>
          </w:p>
          <w:p w14:paraId="716FD50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10 (1.1%)</w:t>
            </w:r>
          </w:p>
          <w:p w14:paraId="6A4B7EB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6D4966A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0 (0%) </w:t>
            </w:r>
          </w:p>
          <w:p w14:paraId="33F51B7F"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5D2C9B65"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13525DB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Cladribine </w:t>
            </w:r>
          </w:p>
          <w:p w14:paraId="59E2F2A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 cervical carcinoma in situ</w:t>
            </w:r>
          </w:p>
          <w:p w14:paraId="7283C61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4453168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w:t>
            </w:r>
          </w:p>
        </w:tc>
        <w:tc>
          <w:tcPr>
            <w:tcW w:w="2127" w:type="dxa"/>
            <w:gridSpan w:val="2"/>
          </w:tcPr>
          <w:p w14:paraId="42941F78" w14:textId="77777777" w:rsidR="00D16970" w:rsidRPr="009A7518" w:rsidRDefault="00D16970" w:rsidP="00B967CB">
            <w:pPr>
              <w:spacing w:line="276" w:lineRule="auto"/>
              <w:contextualSpacing/>
              <w:rPr>
                <w:rFonts w:cs="Times New Roman"/>
                <w:sz w:val="20"/>
                <w:szCs w:val="20"/>
              </w:rPr>
            </w:pPr>
          </w:p>
        </w:tc>
      </w:tr>
      <w:tr w:rsidR="00D16970" w:rsidRPr="009A7518" w14:paraId="225D0B9C" w14:textId="77777777" w:rsidTr="00BA7170">
        <w:tc>
          <w:tcPr>
            <w:tcW w:w="1560" w:type="dxa"/>
          </w:tcPr>
          <w:p w14:paraId="4CDBB7F3" w14:textId="3E66D4B3"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Leist</w:t>
            </w:r>
            <w:proofErr w:type="spellEnd"/>
            <w:r w:rsidRPr="009A7518">
              <w:rPr>
                <w:rFonts w:cs="Times New Roman"/>
                <w:sz w:val="20"/>
                <w:szCs w:val="20"/>
              </w:rPr>
              <w:t xml:space="preserve"> et al., 2014</w:t>
            </w:r>
            <w:r w:rsidRPr="009A7518">
              <w:rPr>
                <w:rFonts w:cs="Times New Roman"/>
                <w:sz w:val="20"/>
                <w:szCs w:val="20"/>
              </w:rPr>
              <w:fldChar w:fldCharType="begin"/>
            </w:r>
            <w:r w:rsidR="00B967CB">
              <w:rPr>
                <w:rFonts w:cs="Times New Roman"/>
                <w:sz w:val="20"/>
                <w:szCs w:val="20"/>
              </w:rPr>
              <w:instrText xml:space="preserve"> ADDIN ZOTERO_ITEM CSL_CITATION {"citationID":"kk6DLwLj","properties":{"formattedCitation":"(32)","plainCitation":"(32)","noteIndex":0},"citationItems":[{"id":932,"uris":["http://zotero.org/users/local/DBM3sz94/items/2JJE4JKF"],"itemData":{"id":932,"type":"article-journal","container-title":"The Lancet Neurology","DOI":"10.1016/S1474-4422(14)70005-5","ISSN":"1474-4422, 1474-4465","issue":"3","journalAbbreviation":"The Lancet Neurology","language":"English","note":"publisher: Elsevier\nPMID: 24502830","page":"257-267","source":"www.thelancet.com","title":"Effect of oral cladribine on time to conversion to clinically definite multiple sclerosis in patients with a first demyelinating event (ORACLE MS): a phase 3 randomised trial","title-short":"Effect of oral cladribine on time to conversion to clinically definite multiple sclerosis in patients with a first demyelinating event (ORACLE MS)","volume":"13","author":[{"family":"Leist","given":"Thomas P."},{"family":"Comi","given":"Giancarlo"},{"family":"Cree","given":"Bruce A. C."},{"family":"Coyle","given":"Patricia K."},{"family":"Freedman","given":"Mark S."},{"family":"Hartung","given":"Hans-Peter"},{"family":"Vermersch","given":"Patrick"},{"family":"Casset-Semanaz","given":"Florence"},{"family":"Scaramozza","given":"Matthew"}],"issued":{"date-parts":[["2014",3,1]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(32)</w:t>
            </w:r>
            <w:r w:rsidRPr="009A7518">
              <w:rPr>
                <w:rFonts w:cs="Times New Roman"/>
                <w:sz w:val="20"/>
                <w:szCs w:val="20"/>
              </w:rPr>
              <w:fldChar w:fldCharType="end"/>
            </w:r>
            <w:r w:rsidRPr="009A7518">
              <w:rPr>
                <w:rFonts w:cs="Times New Roman"/>
                <w:sz w:val="20"/>
                <w:szCs w:val="20"/>
              </w:rPr>
              <w:t xml:space="preserve"> </w:t>
            </w:r>
          </w:p>
          <w:p w14:paraId="242CCC15" w14:textId="77777777" w:rsidR="00D16970" w:rsidRPr="009A7518" w:rsidRDefault="00D16970" w:rsidP="00B967CB">
            <w:pPr>
              <w:spacing w:line="276" w:lineRule="auto"/>
              <w:contextualSpacing/>
              <w:jc w:val="center"/>
              <w:rPr>
                <w:rFonts w:cs="Times New Roman"/>
                <w:sz w:val="20"/>
                <w:szCs w:val="20"/>
              </w:rPr>
            </w:pPr>
          </w:p>
          <w:p w14:paraId="659DFD3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ORACLE-MS </w:t>
            </w:r>
          </w:p>
          <w:p w14:paraId="7907508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NCT00725985</w:t>
            </w:r>
          </w:p>
        </w:tc>
        <w:tc>
          <w:tcPr>
            <w:tcW w:w="1417" w:type="dxa"/>
            <w:gridSpan w:val="2"/>
          </w:tcPr>
          <w:p w14:paraId="28A89A4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Pr>
                <w:rFonts w:cs="Times New Roman"/>
                <w:sz w:val="20"/>
                <w:szCs w:val="20"/>
              </w:rPr>
              <w:t>ramdomised</w:t>
            </w:r>
            <w:proofErr w:type="spellEnd"/>
            <w:r w:rsidRPr="009A7518">
              <w:rPr>
                <w:rFonts w:cs="Times New Roman"/>
                <w:sz w:val="20"/>
                <w:szCs w:val="20"/>
              </w:rPr>
              <w:t>, placebo-controlled trial</w:t>
            </w:r>
          </w:p>
        </w:tc>
        <w:tc>
          <w:tcPr>
            <w:tcW w:w="1276" w:type="dxa"/>
            <w:gridSpan w:val="2"/>
          </w:tcPr>
          <w:p w14:paraId="6732F31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28A5027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616 patients</w:t>
            </w:r>
          </w:p>
          <w:p w14:paraId="5D5C56C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410 Cladribine </w:t>
            </w:r>
          </w:p>
          <w:p w14:paraId="3A7A48C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206 Placebo </w:t>
            </w:r>
          </w:p>
          <w:p w14:paraId="004668B0" w14:textId="77777777" w:rsidR="00D16970" w:rsidRPr="009A7518" w:rsidRDefault="00D16970" w:rsidP="00B967CB">
            <w:pPr>
              <w:spacing w:line="276" w:lineRule="auto"/>
              <w:contextualSpacing/>
              <w:rPr>
                <w:rFonts w:cs="Times New Roman"/>
                <w:sz w:val="20"/>
                <w:szCs w:val="20"/>
              </w:rPr>
            </w:pPr>
          </w:p>
        </w:tc>
        <w:tc>
          <w:tcPr>
            <w:tcW w:w="1134" w:type="dxa"/>
            <w:gridSpan w:val="2"/>
          </w:tcPr>
          <w:p w14:paraId="282AE77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2008 </w:t>
            </w:r>
            <w:r>
              <w:rPr>
                <w:rFonts w:cs="Times New Roman"/>
                <w:sz w:val="20"/>
                <w:szCs w:val="20"/>
              </w:rPr>
              <w:t>–</w:t>
            </w:r>
            <w:r w:rsidRPr="009A7518">
              <w:rPr>
                <w:rFonts w:cs="Times New Roman"/>
                <w:sz w:val="20"/>
                <w:szCs w:val="20"/>
              </w:rPr>
              <w:t xml:space="preserve"> 2010</w:t>
            </w:r>
          </w:p>
        </w:tc>
        <w:tc>
          <w:tcPr>
            <w:tcW w:w="1559" w:type="dxa"/>
            <w:gridSpan w:val="2"/>
          </w:tcPr>
          <w:p w14:paraId="10FF0E5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Cladribine </w:t>
            </w:r>
          </w:p>
        </w:tc>
        <w:tc>
          <w:tcPr>
            <w:tcW w:w="2552" w:type="dxa"/>
            <w:gridSpan w:val="2"/>
          </w:tcPr>
          <w:p w14:paraId="23D6BBE3"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7FF2AC7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Benign, </w:t>
            </w:r>
            <w:proofErr w:type="gramStart"/>
            <w:r w:rsidRPr="009A7518">
              <w:rPr>
                <w:rFonts w:cs="Times New Roman"/>
                <w:sz w:val="20"/>
                <w:szCs w:val="20"/>
              </w:rPr>
              <w:t>malignant</w:t>
            </w:r>
            <w:proofErr w:type="gramEnd"/>
            <w:r w:rsidRPr="009A7518">
              <w:rPr>
                <w:rFonts w:cs="Times New Roman"/>
                <w:sz w:val="20"/>
                <w:szCs w:val="20"/>
              </w:rPr>
              <w:t xml:space="preserve"> and unspecified neoplasms</w:t>
            </w:r>
          </w:p>
          <w:p w14:paraId="1BCFF3A8" w14:textId="77777777" w:rsidR="00D16970" w:rsidRPr="009A7518" w:rsidRDefault="00D16970" w:rsidP="00B967CB">
            <w:pPr>
              <w:spacing w:line="276" w:lineRule="auto"/>
              <w:contextualSpacing/>
              <w:rPr>
                <w:rFonts w:cs="Times New Roman"/>
                <w:sz w:val="20"/>
                <w:szCs w:val="20"/>
              </w:rPr>
            </w:pPr>
          </w:p>
          <w:p w14:paraId="13C3290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Cladribine </w:t>
            </w:r>
          </w:p>
          <w:p w14:paraId="4108F55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 </w:t>
            </w:r>
          </w:p>
          <w:p w14:paraId="0FB7D1C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Placebo</w:t>
            </w:r>
          </w:p>
          <w:p w14:paraId="19F6D53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6</w:t>
            </w:r>
          </w:p>
          <w:p w14:paraId="2D5DB136"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7E643A7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66248707" w14:textId="77777777" w:rsidR="00D16970" w:rsidRPr="009A7518" w:rsidRDefault="00D16970" w:rsidP="00B967CB">
            <w:pPr>
              <w:spacing w:line="276" w:lineRule="auto"/>
              <w:contextualSpacing/>
              <w:rPr>
                <w:rFonts w:cs="Times New Roman"/>
                <w:sz w:val="20"/>
                <w:szCs w:val="20"/>
              </w:rPr>
            </w:pPr>
          </w:p>
        </w:tc>
      </w:tr>
      <w:tr w:rsidR="00D16970" w:rsidRPr="009A7518" w14:paraId="6DC639B8" w14:textId="77777777" w:rsidTr="00BA7170">
        <w:tc>
          <w:tcPr>
            <w:tcW w:w="1560" w:type="dxa"/>
          </w:tcPr>
          <w:p w14:paraId="66932102" w14:textId="65EF4F33"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Giovannoni</w:t>
            </w:r>
            <w:proofErr w:type="spellEnd"/>
            <w:r w:rsidRPr="009A7518">
              <w:rPr>
                <w:rFonts w:cs="Times New Roman"/>
                <w:sz w:val="20"/>
                <w:szCs w:val="20"/>
              </w:rPr>
              <w:t xml:space="preserve"> et al., 201</w:t>
            </w:r>
            <w:r w:rsidR="00B967CB">
              <w:rPr>
                <w:rFonts w:cs="Times New Roman"/>
                <w:sz w:val="20"/>
                <w:szCs w:val="20"/>
              </w:rPr>
              <w:t>8</w:t>
            </w:r>
            <w:r w:rsidRPr="009A7518">
              <w:rPr>
                <w:rFonts w:cs="Times New Roman"/>
                <w:sz w:val="20"/>
                <w:szCs w:val="20"/>
              </w:rPr>
              <w:fldChar w:fldCharType="begin"/>
            </w:r>
            <w:r w:rsidR="00B967CB">
              <w:rPr>
                <w:rFonts w:cs="Times New Roman"/>
                <w:sz w:val="20"/>
                <w:szCs w:val="20"/>
              </w:rPr>
              <w:instrText xml:space="preserve"> ADDIN ZOTERO_ITEM CSL_CITATION {"citationID":"gZfV7Ywr","properties":{"formattedCitation":"(33)","plainCitation":"(33)","noteIndex":0},"citationItems":[{"id":930,"uris":["http://zotero.org/users/local/DBM3sz94/items/KTHF5DXR"],"itemData":{"id":930,"type":"article-journal","abstract":"Background:In the 2-year CLARITY study, cladribine tablets significantly improved clinical and magnetic resonance imaging (MRI) outcomes (vs placebo) in patients with relapsing?remitting multiple sclerosis (MS).Objective:To assess the safety and efficacy of cladribine treatment in a 2-year Extension study.Methods:In this 2-year Extension study, placebo recipients from CLARITY received cladribine 3.5?mg/kg; cladribine recipients were re-randomized 2:1 to cladribine 3.5?mg/kg or placebo, with blind maintained.Results:A total of 806 patients were assigned to treatment. Adverse event rates were generally similar between groups, but lymphopenia Grade???3 rates were higher with cladribine than placebo (Grade 4 lymphopenia occurred infrequently). In patients receiving cladribine 3.5?mg/kg in CLARITY and experiencing lymphopenia Grade???3 in the Extension, &gt;90% of those treated with cladribine 3.5?mg/kg and all treated with placebo in the Extension, recovered to Grade 0?1 by study end. Cladribine treatment in CLARITY produced efficacy improvements that were maintained in patients treated with placebo in the Extension; in patients treated with cladribine 3.5?mg/kg in CLARITY, approximately 75% remained relapse-free when given placebo during the Extension.Conclusion:Cladribine tablets treatment for 2?years followed by 2?years? placebo treatment produced durable clinical benefits similar to 4?years of cladribine treatment with a low risk of severe lymphopenia or clinical worsening. No clinical improvement in efficacy was apparent following further treatment with cladribine tablets after the initial 2-year treatment period in this trial setting.","container-title":"Multiple Sclerosis Journal","DOI":"10.1177/1352458517727603","ISSN":"1352-4585","issue":"12","journalAbbreviation":"Mult Scler","note":"publisher: SAGE Publications Ltd STM","page":"1594-1604","source":"SAGE Journals","title":"Safety and efficacy of cladribine tablets in patients with relapsing–remitting multiple sclerosis: Results from the randomized extension trial of the CLARITY study","title-short":"Safety and efficacy of cladribine tablets in patients with relapsing–remitting multiple sclerosis","volume":"24","author":[{"family":"Giovannoni","given":"Gavin"},{"family":"Soelberg Sorensen","given":"Per"},{"family":"Cook","given":"Stuart"},{"family":"Rammohan","given":"Kottil"},{"family":"Rieckmann","given":"Peter"},{"family":"Comi","given":"Giancarlo"},{"family":"Dangond","given":"Fernando"},{"family":"Adeniji","given":"Abidemi K"},{"family":"Vermersch","given":"Patrick"}],"issued":{"date-parts":[["2018",10,1]]}}}],"schema":"https://github.com/citation-style-language/schema/raw/master/csl-citation.json"}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(33)</w:t>
            </w:r>
            <w:r w:rsidRPr="009A7518">
              <w:rPr>
                <w:rFonts w:cs="Times New Roman"/>
                <w:sz w:val="20"/>
                <w:szCs w:val="20"/>
              </w:rPr>
              <w:fldChar w:fldCharType="end"/>
            </w:r>
          </w:p>
          <w:p w14:paraId="3566328D" w14:textId="77777777" w:rsidR="00D16970" w:rsidRPr="009A7518" w:rsidRDefault="00D16970" w:rsidP="00B967CB">
            <w:pPr>
              <w:spacing w:line="276" w:lineRule="auto"/>
              <w:contextualSpacing/>
              <w:rPr>
                <w:rFonts w:cs="Times New Roman"/>
                <w:sz w:val="20"/>
                <w:szCs w:val="20"/>
              </w:rPr>
            </w:pPr>
          </w:p>
          <w:p w14:paraId="2CAE297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CLARITY Extension</w:t>
            </w:r>
          </w:p>
          <w:p w14:paraId="307A40DB" w14:textId="77777777" w:rsidR="00D16970" w:rsidRPr="009A7518" w:rsidRDefault="00D16970" w:rsidP="00B967CB">
            <w:pPr>
              <w:spacing w:line="276" w:lineRule="auto"/>
              <w:contextualSpacing/>
              <w:rPr>
                <w:rFonts w:cs="Times New Roman"/>
                <w:sz w:val="20"/>
                <w:szCs w:val="20"/>
              </w:rPr>
            </w:pPr>
          </w:p>
          <w:p w14:paraId="5D16DDF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NCT00641537</w:t>
            </w:r>
          </w:p>
        </w:tc>
        <w:tc>
          <w:tcPr>
            <w:tcW w:w="1417" w:type="dxa"/>
            <w:gridSpan w:val="2"/>
          </w:tcPr>
          <w:p w14:paraId="514EF0E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Phase 3b extension study</w:t>
            </w:r>
          </w:p>
        </w:tc>
        <w:tc>
          <w:tcPr>
            <w:tcW w:w="1276" w:type="dxa"/>
            <w:gridSpan w:val="2"/>
          </w:tcPr>
          <w:p w14:paraId="5C7BA38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0E3D704D"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867</w:t>
            </w:r>
          </w:p>
          <w:p w14:paraId="6609EFE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884 Cladribine 453 Placebo </w:t>
            </w:r>
          </w:p>
        </w:tc>
        <w:tc>
          <w:tcPr>
            <w:tcW w:w="1134" w:type="dxa"/>
            <w:gridSpan w:val="2"/>
          </w:tcPr>
          <w:p w14:paraId="2646022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2008-2011</w:t>
            </w:r>
          </w:p>
        </w:tc>
        <w:tc>
          <w:tcPr>
            <w:tcW w:w="1559" w:type="dxa"/>
            <w:gridSpan w:val="2"/>
          </w:tcPr>
          <w:p w14:paraId="66CE898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Cladribine </w:t>
            </w:r>
          </w:p>
        </w:tc>
        <w:tc>
          <w:tcPr>
            <w:tcW w:w="2552" w:type="dxa"/>
            <w:gridSpan w:val="2"/>
          </w:tcPr>
          <w:p w14:paraId="1C800D8A"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779431C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11 (1.4%)</w:t>
            </w:r>
          </w:p>
          <w:p w14:paraId="0B45DC63" w14:textId="77777777" w:rsidR="00D16970" w:rsidRPr="009A7518" w:rsidRDefault="00D16970" w:rsidP="00B967CB">
            <w:pPr>
              <w:spacing w:line="276" w:lineRule="auto"/>
              <w:contextualSpacing/>
              <w:rPr>
                <w:rFonts w:cs="Times New Roman"/>
                <w:sz w:val="20"/>
                <w:szCs w:val="20"/>
              </w:rPr>
            </w:pPr>
          </w:p>
          <w:p w14:paraId="12246DA7"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1A8F4F2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cervical abnormality reported </w:t>
            </w:r>
          </w:p>
        </w:tc>
        <w:tc>
          <w:tcPr>
            <w:tcW w:w="2127" w:type="dxa"/>
            <w:gridSpan w:val="2"/>
          </w:tcPr>
          <w:p w14:paraId="06DD2AF9" w14:textId="77777777" w:rsidR="00D16970" w:rsidRPr="009A7518" w:rsidRDefault="00D16970" w:rsidP="00B967CB">
            <w:pPr>
              <w:spacing w:line="276" w:lineRule="auto"/>
              <w:contextualSpacing/>
              <w:rPr>
                <w:rFonts w:cs="Times New Roman"/>
                <w:sz w:val="20"/>
                <w:szCs w:val="20"/>
              </w:rPr>
            </w:pPr>
          </w:p>
        </w:tc>
      </w:tr>
      <w:tr w:rsidR="00D16970" w:rsidRPr="009A7518" w14:paraId="099E7C6D" w14:textId="77777777" w:rsidTr="00BA7170">
        <w:tc>
          <w:tcPr>
            <w:tcW w:w="15310" w:type="dxa"/>
            <w:gridSpan w:val="17"/>
          </w:tcPr>
          <w:p w14:paraId="68A12893" w14:textId="77777777" w:rsidR="00D16970" w:rsidRPr="009A7518" w:rsidRDefault="00D16970" w:rsidP="00B967CB">
            <w:pPr>
              <w:spacing w:line="276" w:lineRule="auto"/>
              <w:contextualSpacing/>
              <w:rPr>
                <w:rFonts w:cs="Times New Roman"/>
                <w:sz w:val="20"/>
                <w:szCs w:val="20"/>
              </w:rPr>
            </w:pPr>
            <w:r w:rsidRPr="009A7518">
              <w:rPr>
                <w:rFonts w:cs="Times New Roman"/>
                <w:b/>
                <w:bCs/>
                <w:sz w:val="20"/>
                <w:szCs w:val="20"/>
              </w:rPr>
              <w:t>Monoclonal antibodies: Rituximab, Ocrelizumab and Alemtuzumab</w:t>
            </w:r>
          </w:p>
        </w:tc>
      </w:tr>
      <w:tr w:rsidR="00D16970" w:rsidRPr="009A7518" w14:paraId="5893D890" w14:textId="77777777" w:rsidTr="00BA7170">
        <w:tc>
          <w:tcPr>
            <w:tcW w:w="15310" w:type="dxa"/>
            <w:gridSpan w:val="17"/>
          </w:tcPr>
          <w:p w14:paraId="20182017"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Rituximab</w:t>
            </w:r>
          </w:p>
        </w:tc>
      </w:tr>
      <w:tr w:rsidR="00D16970" w:rsidRPr="009A7518" w14:paraId="65D1BB1D" w14:textId="77777777" w:rsidTr="00BA7170">
        <w:tc>
          <w:tcPr>
            <w:tcW w:w="1560" w:type="dxa"/>
          </w:tcPr>
          <w:p w14:paraId="3AE7EDB8" w14:textId="2A095AEF" w:rsidR="00D16970" w:rsidRPr="009A7518" w:rsidRDefault="00D16970" w:rsidP="00B967CB">
            <w:pPr>
              <w:spacing w:line="276" w:lineRule="auto"/>
              <w:contextualSpacing/>
              <w:rPr>
                <w:rFonts w:cs="Times New Roman"/>
                <w:color w:val="000000" w:themeColor="text1"/>
                <w:sz w:val="20"/>
                <w:szCs w:val="20"/>
                <w:shd w:val="clear" w:color="auto" w:fill="FFFFFF"/>
              </w:rPr>
            </w:pPr>
            <w:proofErr w:type="spellStart"/>
            <w:r w:rsidRPr="009A7518">
              <w:rPr>
                <w:rFonts w:cs="Times New Roman"/>
                <w:color w:val="000000" w:themeColor="text1"/>
                <w:sz w:val="20"/>
                <w:szCs w:val="20"/>
                <w:shd w:val="clear" w:color="auto" w:fill="FFFFFF"/>
              </w:rPr>
              <w:t>Alping</w:t>
            </w:r>
            <w:proofErr w:type="spellEnd"/>
            <w:r w:rsidRPr="009A7518">
              <w:rPr>
                <w:rFonts w:cs="Times New Roman"/>
                <w:color w:val="000000" w:themeColor="text1"/>
                <w:sz w:val="20"/>
                <w:szCs w:val="20"/>
                <w:shd w:val="clear" w:color="auto" w:fill="FFFFFF"/>
              </w:rPr>
              <w:t xml:space="preserve"> et al., 2020</w:t>
            </w:r>
            <w:r w:rsidRPr="009A7518">
              <w:rPr>
                <w:rFonts w:cs="Times New Roman"/>
                <w:color w:val="000000" w:themeColor="text1"/>
                <w:sz w:val="20"/>
                <w:szCs w:val="20"/>
                <w:shd w:val="clear" w:color="auto" w:fill="FFFFFF"/>
              </w:rPr>
              <w:fldChar w:fldCharType="begin"/>
            </w:r>
            <w:r w:rsidR="00B967CB">
              <w:rPr>
                <w:rFonts w:cs="Times New Roman"/>
                <w:color w:val="000000" w:themeColor="text1"/>
                <w:sz w:val="20"/>
                <w:szCs w:val="20"/>
                <w:shd w:val="clear" w:color="auto" w:fill="FFFFFF"/>
              </w:rPr>
              <w:instrText xml:space="preserve"> ADDIN ZOTERO_ITEM CSL_CITATION {"citationID":"Qia7p9h3","properties":{"formattedCitation":"(19)","plainCitation":"(19)","noteIndex":0},"citationItems":[{"id":187,"uris":["http://zotero.org/users/local/DBM3sz94/items/SM4Q7FF4"],"itemData":{"id":187,"type":"article-journal","abstract":"Objective Novel, highly effective disease-modifying therapies have revolutionized multiple sclerosis (MS) care. However, evidence from large comparative studies on important safety outcomes, such as cancer, is still lacking. Methods In this nationwide register-based cohort study, we linked data from the Swedish MS register to the Swedish Cancer Register and other national health care and census registers. We included 4,187 first-ever initiations of rituximab, 1,620 of fingolimod, and 1,670 of natalizumab in 6,136 MS patients matched for age, sex, and location to 37,801 non-MS general population subjects. Primary outcome was time to first invasive cancer. Results We identified 78 invasive cancers among treated patients: rituximab 33 (incidence rate [IR] per 10,000 person-years = 34.4, 95% confidence interval [CI] = 23.7–48.3), fingolimod 28 (IR = 44.0, 95% CI = 29.2–63.5), and natalizumab 17 (IR = 26.0, 95% CI = 15.1–41.6). The general population IR was 31.0 (95% CI = 27.8–34.4). Adjusting for baseline characteristics, we found no difference in risk of invasive cancer between rituximab, natalizumab, and the general population but a possibly higher risk with fingolimod compared to the general population (hazard ratio [HR] = 1.53, 95% CI = 0.98–2.38) and rituximab (HR = 1.68, 95% CI = 1.00–2.84). Interpretation In this first large comparative study of 3 highly effective MS disease-modifying therapies, no increased risk of invasive cancer was seen with rituximab and natalizumab, compared to the general population. However, there was a borderline-significant increased risk with fingolimod, compared to both the general population and rituximab. It was not possible to attribute this increased risk to any specific type of cancer, and further studies are warranted to validate these findings. ANN NEUROL 2020;87:688–699","container-title":"Annals of Neurology","DOI":"10.1002/ana.25701","ISSN":"1531-8249","issue":"5","language":"en","note":"_eprint: https://onlinelibrary.wiley.com/doi/pdf/10.1002/ana.25701","page":"688-699","source":"Wiley Online Library","title":"Cancer Risk for Fingolimod, Natalizumab, and Rituximab in Multiple Sclerosis Patients","volume":"87","author":[{"family":"Alping","given":"Peter"},{"family":"Askling","given":"Johan"},{"family":"Burman","given":"Joachim"},{"family":"Fink","given":"Katharina"},{"family":"Fogdell-Hahn","given":"Anna"},{"family":"Gunnarsson","given":"Martin"},{"family":"Hillert","given":"Jan"},{"family":"Langer-Gould","given":"Annette"},{"family":"Lycke","given":"Jan"},{"family":"Nilsson","given":"Petra"},{"family":"Salzer","given":"Jonatan"},{"family":"Svenningsson","given":"Anders"},{"family":"Vrethem","given":"Magnus"},{"family":"Olsson","given":"Tomas"},{"family":"Piehl","given":"Fredrik"},{"family":"Frisell","given":"Thomas"}],"issued":{"date-parts":[["2020"]]}}}],"schema":"https://github.com/citation-style-language/schema/raw/master/csl-citation.json"} </w:instrText>
            </w:r>
            <w:r w:rsidRPr="009A7518">
              <w:rPr>
                <w:rFonts w:cs="Times New Roman"/>
                <w:color w:val="000000" w:themeColor="text1"/>
                <w:sz w:val="20"/>
                <w:szCs w:val="20"/>
                <w:shd w:val="clear" w:color="auto" w:fill="FFFFFF"/>
              </w:rPr>
              <w:fldChar w:fldCharType="separate"/>
            </w:r>
            <w:r w:rsidR="00B967CB">
              <w:rPr>
                <w:rFonts w:cs="Times New Roman"/>
                <w:color w:val="000000"/>
                <w:sz w:val="20"/>
                <w:lang w:val="en-GB"/>
              </w:rPr>
              <w:t>(19)</w:t>
            </w:r>
            <w:r w:rsidRPr="009A7518">
              <w:rPr>
                <w:rFonts w:cs="Times New Roman"/>
                <w:color w:val="000000" w:themeColor="text1"/>
                <w:sz w:val="20"/>
                <w:szCs w:val="20"/>
                <w:shd w:val="clear" w:color="auto" w:fill="FFFFFF"/>
              </w:rPr>
              <w:fldChar w:fldCharType="end"/>
            </w:r>
          </w:p>
        </w:tc>
        <w:tc>
          <w:tcPr>
            <w:tcW w:w="1417" w:type="dxa"/>
            <w:gridSpan w:val="2"/>
          </w:tcPr>
          <w:p w14:paraId="6E978AC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Cohort study  </w:t>
            </w:r>
          </w:p>
        </w:tc>
        <w:tc>
          <w:tcPr>
            <w:tcW w:w="1276" w:type="dxa"/>
            <w:gridSpan w:val="2"/>
          </w:tcPr>
          <w:p w14:paraId="46B3D37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Sweden</w:t>
            </w:r>
          </w:p>
        </w:tc>
        <w:tc>
          <w:tcPr>
            <w:tcW w:w="1276" w:type="dxa"/>
            <w:gridSpan w:val="2"/>
          </w:tcPr>
          <w:p w14:paraId="7BC3D6F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6136 patients with MS, 37,801 non-MS controls </w:t>
            </w:r>
          </w:p>
          <w:p w14:paraId="231B9D8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4187 RIX</w:t>
            </w:r>
          </w:p>
        </w:tc>
        <w:tc>
          <w:tcPr>
            <w:tcW w:w="1134" w:type="dxa"/>
            <w:gridSpan w:val="2"/>
          </w:tcPr>
          <w:p w14:paraId="7577E49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2011-2017</w:t>
            </w:r>
          </w:p>
        </w:tc>
        <w:tc>
          <w:tcPr>
            <w:tcW w:w="1559" w:type="dxa"/>
            <w:gridSpan w:val="2"/>
          </w:tcPr>
          <w:p w14:paraId="138961C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RIX, FTY, NTZ </w:t>
            </w:r>
          </w:p>
        </w:tc>
        <w:tc>
          <w:tcPr>
            <w:tcW w:w="2552" w:type="dxa"/>
            <w:gridSpan w:val="2"/>
          </w:tcPr>
          <w:p w14:paraId="1879D383" w14:textId="531B3BB6"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14B3FA7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RIX  </w:t>
            </w:r>
          </w:p>
          <w:p w14:paraId="579D8C9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IR (/10 000py) = 34.4 (95% CI 23.7–48.3)</w:t>
            </w:r>
          </w:p>
          <w:p w14:paraId="5226538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Controls</w:t>
            </w:r>
          </w:p>
          <w:p w14:paraId="235EDBA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IR 31.0 (95% CI 27.8–34.4) </w:t>
            </w:r>
          </w:p>
          <w:p w14:paraId="091E44D5" w14:textId="77777777" w:rsidR="00D16970" w:rsidRPr="009A7518" w:rsidRDefault="00D16970" w:rsidP="00B967CB">
            <w:pPr>
              <w:spacing w:line="276" w:lineRule="auto"/>
              <w:contextualSpacing/>
              <w:rPr>
                <w:rFonts w:cs="Times New Roman"/>
                <w:sz w:val="20"/>
                <w:szCs w:val="20"/>
              </w:rPr>
            </w:pPr>
          </w:p>
          <w:p w14:paraId="69434FB5" w14:textId="7AE121B9"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Risk</w:t>
            </w:r>
          </w:p>
          <w:p w14:paraId="5655B2A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 xml:space="preserve">RIX vs controls </w:t>
            </w:r>
          </w:p>
          <w:p w14:paraId="30B3EA6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 0.85, 95% CI = 0.54–1.32)</w:t>
            </w:r>
          </w:p>
        </w:tc>
        <w:tc>
          <w:tcPr>
            <w:tcW w:w="2409" w:type="dxa"/>
            <w:gridSpan w:val="2"/>
          </w:tcPr>
          <w:p w14:paraId="0134C95E" w14:textId="3622F9E1" w:rsidR="00D16970" w:rsidRDefault="00D16970" w:rsidP="00B967CB">
            <w:pPr>
              <w:spacing w:line="276" w:lineRule="auto"/>
              <w:contextualSpacing/>
              <w:rPr>
                <w:rFonts w:cs="Times New Roman"/>
                <w:b/>
                <w:bCs/>
                <w:sz w:val="20"/>
                <w:szCs w:val="20"/>
              </w:rPr>
            </w:pPr>
            <w:r w:rsidRPr="009A7518">
              <w:rPr>
                <w:rFonts w:cs="Times New Roman"/>
                <w:b/>
                <w:bCs/>
                <w:sz w:val="20"/>
                <w:szCs w:val="20"/>
              </w:rPr>
              <w:lastRenderedPageBreak/>
              <w:t>Incidence</w:t>
            </w:r>
          </w:p>
          <w:p w14:paraId="76D8EEE6" w14:textId="7F5CBC3B" w:rsidR="00B967CB" w:rsidRPr="00B967CB" w:rsidRDefault="00B967CB" w:rsidP="00B967CB">
            <w:pPr>
              <w:spacing w:line="276" w:lineRule="auto"/>
              <w:contextualSpacing/>
              <w:rPr>
                <w:rFonts w:cs="Times New Roman"/>
                <w:sz w:val="20"/>
                <w:szCs w:val="20"/>
              </w:rPr>
            </w:pPr>
            <w:r w:rsidRPr="00B967CB">
              <w:rPr>
                <w:rFonts w:cs="Times New Roman"/>
                <w:sz w:val="20"/>
                <w:szCs w:val="20"/>
              </w:rPr>
              <w:t>RIX</w:t>
            </w:r>
          </w:p>
          <w:p w14:paraId="611DBAF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Cervical abnormalities </w:t>
            </w:r>
          </w:p>
          <w:p w14:paraId="4C9B83A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CIN 3 </w:t>
            </w:r>
          </w:p>
          <w:p w14:paraId="0517949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IR (/10 000py) 22.3 (95% CI 12.5–36.8)</w:t>
            </w:r>
          </w:p>
          <w:p w14:paraId="74ACFBD0" w14:textId="77777777" w:rsidR="00D16970" w:rsidRPr="009A7518" w:rsidRDefault="00D16970" w:rsidP="00B967CB">
            <w:pPr>
              <w:spacing w:line="276" w:lineRule="auto"/>
              <w:contextualSpacing/>
              <w:rPr>
                <w:rFonts w:cs="Times New Roman"/>
                <w:sz w:val="20"/>
                <w:szCs w:val="20"/>
              </w:rPr>
            </w:pPr>
          </w:p>
          <w:p w14:paraId="2B453DEB" w14:textId="4F012B26" w:rsidR="00D16970" w:rsidRPr="009A7518" w:rsidRDefault="00D16970" w:rsidP="00B967CB">
            <w:pPr>
              <w:spacing w:line="276" w:lineRule="auto"/>
              <w:contextualSpacing/>
              <w:rPr>
                <w:rFonts w:cs="Times New Roman"/>
                <w:sz w:val="20"/>
                <w:szCs w:val="20"/>
              </w:rPr>
            </w:pPr>
            <w:r w:rsidRPr="009A7518">
              <w:rPr>
                <w:rFonts w:cs="Times New Roman"/>
                <w:b/>
                <w:bCs/>
                <w:sz w:val="20"/>
                <w:szCs w:val="20"/>
              </w:rPr>
              <w:t>Risk</w:t>
            </w:r>
          </w:p>
          <w:p w14:paraId="1A6534D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 xml:space="preserve">Cervical abnormalities </w:t>
            </w:r>
          </w:p>
          <w:p w14:paraId="37A8049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HR 1.15 (95% CI 0.66-2.02)</w:t>
            </w:r>
          </w:p>
          <w:p w14:paraId="43C55725" w14:textId="77777777" w:rsidR="00D16970" w:rsidRPr="009A7518" w:rsidRDefault="00D16970" w:rsidP="00B967CB">
            <w:pPr>
              <w:spacing w:line="276" w:lineRule="auto"/>
              <w:contextualSpacing/>
              <w:rPr>
                <w:rFonts w:cs="Times New Roman"/>
                <w:sz w:val="20"/>
                <w:szCs w:val="20"/>
              </w:rPr>
            </w:pPr>
          </w:p>
        </w:tc>
        <w:tc>
          <w:tcPr>
            <w:tcW w:w="2127" w:type="dxa"/>
            <w:gridSpan w:val="2"/>
          </w:tcPr>
          <w:p w14:paraId="0DC3AFBD" w14:textId="547AA082"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No difference in risk of cervical cancer between RIX, and the general population</w:t>
            </w:r>
            <w:r w:rsidR="00B967CB">
              <w:rPr>
                <w:rFonts w:cs="Times New Roman"/>
                <w:sz w:val="20"/>
                <w:szCs w:val="20"/>
              </w:rPr>
              <w:t>.</w:t>
            </w:r>
          </w:p>
          <w:p w14:paraId="27398C8D" w14:textId="77777777" w:rsidR="00D16970" w:rsidRPr="009A7518" w:rsidRDefault="00D16970" w:rsidP="00B967CB">
            <w:pPr>
              <w:spacing w:line="276" w:lineRule="auto"/>
              <w:contextualSpacing/>
              <w:rPr>
                <w:rFonts w:cs="Times New Roman"/>
                <w:sz w:val="20"/>
                <w:szCs w:val="20"/>
              </w:rPr>
            </w:pPr>
          </w:p>
        </w:tc>
      </w:tr>
      <w:tr w:rsidR="00D16970" w:rsidRPr="009A7518" w14:paraId="4BB4EF38" w14:textId="77777777" w:rsidTr="00BA7170">
        <w:tc>
          <w:tcPr>
            <w:tcW w:w="15310" w:type="dxa"/>
            <w:gridSpan w:val="17"/>
          </w:tcPr>
          <w:p w14:paraId="3A0422B9"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Ocrelizumab</w:t>
            </w:r>
          </w:p>
        </w:tc>
      </w:tr>
      <w:tr w:rsidR="00D16970" w:rsidRPr="009A7518" w14:paraId="18383EF4" w14:textId="77777777" w:rsidTr="00BA7170">
        <w:tc>
          <w:tcPr>
            <w:tcW w:w="1560" w:type="dxa"/>
          </w:tcPr>
          <w:p w14:paraId="774A1347" w14:textId="045F5781"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Montablan</w:t>
            </w:r>
            <w:proofErr w:type="spellEnd"/>
            <w:r w:rsidRPr="009A7518">
              <w:rPr>
                <w:rFonts w:cs="Times New Roman"/>
                <w:sz w:val="20"/>
                <w:szCs w:val="20"/>
              </w:rPr>
              <w:t xml:space="preserve"> et al., 2017</w:t>
            </w:r>
            <w:r w:rsidRPr="009A7518">
              <w:rPr>
                <w:rFonts w:cs="Times New Roman"/>
                <w:sz w:val="20"/>
                <w:szCs w:val="20"/>
              </w:rPr>
              <w:fldChar w:fldCharType="begin"/>
            </w:r>
            <w:r w:rsidR="00B967CB">
              <w:rPr>
                <w:rFonts w:cs="Times New Roman"/>
                <w:sz w:val="20"/>
                <w:szCs w:val="20"/>
              </w:rPr>
              <w:instrText xml:space="preserve"> ADDIN ZOTERO_ITEM CSL_CITATION {"citationID":"heKBkoXt","properties":{"formattedCitation":"(34)","plainCitation":"(34)","noteIndex":0},"citationItems":[{"id":384,"uris":["http://zotero.org/users/local/DBM3sz94/items/H935MYIF"],"itemData":{"id":384,"type":"article-journal","abstract":"Primary progressive multiple sclerosis accounts for 10 to 15% of the overall population with multiple sclerosis.1 The course of this disease differs from those of relapsing–remitting and secondary progressive forms of multiple sclerosis in that progression consists mainly of gradual worsening of neurologic disability from symptom onset, although relapses may occur.1 Phase 3 trials in primary progressive multiple sclerosis have been unsuccessful,2–4 and no disease-modifying treatments have been approved. B cells contribute to the pathogenesis of multiple sclerosis, including the primary progressive form.5 Although the mechanisms of tissue injury in multiple sclerosis are uncertain, B cells may influence pathogenesis . . .","container-title":"New England Journal of Medicine","DOI":"10.1056/NEJMoa1606468","ISSN":"0028-4793","issue":"3","note":"publisher: Massachusetts Medical Society\n_eprint: https://doi.org/10.1056/NEJMoa1606468\nPMID: 28002688","page":"209-220","source":"Taylor and Francis+NEJM","title":"Ocrelizumab versus Placebo in Primary Progressive Multiple Sclerosis","volume":"376","author":[{"family":"Montalban","given":"Xavier"},{"family":"Hauser","given":"Stephen L."},{"family":"Kappos","given":"Ludwig"},{"family":"Arnold","given":"Douglas L."},{"family":"Bar-Or","given":"Amit"},{"family":"Comi","given":"Giancarlo"},{"family":"Seze","given":"Jérôme","non-dropping-particle":"de"},{"family":"Giovannoni","given":"Gavin"},{"family":"Hartung","given":"Hans-Peter"},{"family":"Hemmer","given":"Bernhard"},{"family":"Lublin","given":"Fred"},{"family":"Rammohan","given":"Kottil W."},{"family":"Selmaj","given":"Krzysztof"},{"family":"Traboulsee","given":"Anthony"},{"family":"Sauter","given":"Annette"},{"family":"Masterman","given":"Donna"},{"family":"Fontoura","given":"Paulo"},{"family":"Belachew","given":"Shibeshih"},{"family":"Garren","given":"Hideki"},{"family":"Mairon","given":"Nicole"},{"family":"Chin","given":"Peter"},{"family":"Wolinsky","given":"Jerry S."}],"issued":{"date-parts":[["2017",1,19]]}}}],"schema":"https://github.com/citation-style-language/schema/raw/master/csl-citation.json"}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(34)</w:t>
            </w:r>
            <w:r w:rsidRPr="009A7518">
              <w:rPr>
                <w:rFonts w:cs="Times New Roman"/>
                <w:sz w:val="20"/>
                <w:szCs w:val="20"/>
              </w:rPr>
              <w:fldChar w:fldCharType="end"/>
            </w:r>
            <w:r w:rsidRPr="009A7518">
              <w:rPr>
                <w:rFonts w:cs="Times New Roman"/>
                <w:sz w:val="20"/>
                <w:szCs w:val="20"/>
              </w:rPr>
              <w:t xml:space="preserve"> </w:t>
            </w:r>
          </w:p>
          <w:p w14:paraId="6FD2861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ORTORIO </w:t>
            </w:r>
          </w:p>
          <w:p w14:paraId="7A7052DD" w14:textId="77777777" w:rsidR="00D16970" w:rsidRPr="009A7518" w:rsidRDefault="00D16970" w:rsidP="00B967CB">
            <w:pPr>
              <w:spacing w:line="276" w:lineRule="auto"/>
              <w:contextualSpacing/>
              <w:rPr>
                <w:rFonts w:cs="Times New Roman"/>
                <w:sz w:val="20"/>
                <w:szCs w:val="20"/>
              </w:rPr>
            </w:pPr>
          </w:p>
        </w:tc>
        <w:tc>
          <w:tcPr>
            <w:tcW w:w="1417" w:type="dxa"/>
            <w:gridSpan w:val="2"/>
          </w:tcPr>
          <w:p w14:paraId="4227CF0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andomised</w:t>
            </w:r>
            <w:proofErr w:type="spellEnd"/>
            <w:r w:rsidRPr="009A7518">
              <w:rPr>
                <w:rFonts w:cs="Times New Roman"/>
                <w:sz w:val="20"/>
                <w:szCs w:val="20"/>
              </w:rPr>
              <w:t xml:space="preserve">, placebo-controlled trial </w:t>
            </w:r>
          </w:p>
        </w:tc>
        <w:tc>
          <w:tcPr>
            <w:tcW w:w="1276" w:type="dxa"/>
            <w:gridSpan w:val="2"/>
          </w:tcPr>
          <w:p w14:paraId="0C3D812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2E8F9D1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732 PPMS patients </w:t>
            </w:r>
          </w:p>
          <w:p w14:paraId="568952FE" w14:textId="77777777" w:rsidR="00D16970" w:rsidRPr="009A7518" w:rsidRDefault="00D16970" w:rsidP="00B967CB">
            <w:pPr>
              <w:spacing w:line="276" w:lineRule="auto"/>
              <w:contextualSpacing/>
              <w:rPr>
                <w:rFonts w:cs="Times New Roman"/>
              </w:rPr>
            </w:pPr>
            <w:r w:rsidRPr="009A7518">
              <w:rPr>
                <w:rFonts w:cs="Times New Roman"/>
                <w:sz w:val="20"/>
                <w:szCs w:val="20"/>
              </w:rPr>
              <w:t xml:space="preserve">488 OCR </w:t>
            </w:r>
          </w:p>
          <w:p w14:paraId="6D41AE7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244 Placebo </w:t>
            </w:r>
          </w:p>
        </w:tc>
        <w:tc>
          <w:tcPr>
            <w:tcW w:w="1134" w:type="dxa"/>
            <w:gridSpan w:val="2"/>
          </w:tcPr>
          <w:p w14:paraId="0BCFF7E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2011-2012</w:t>
            </w:r>
          </w:p>
        </w:tc>
        <w:tc>
          <w:tcPr>
            <w:tcW w:w="1559" w:type="dxa"/>
            <w:gridSpan w:val="2"/>
          </w:tcPr>
          <w:p w14:paraId="44665AE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OCR </w:t>
            </w:r>
          </w:p>
        </w:tc>
        <w:tc>
          <w:tcPr>
            <w:tcW w:w="2552" w:type="dxa"/>
            <w:gridSpan w:val="2"/>
          </w:tcPr>
          <w:p w14:paraId="25BAC8D5"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09B7569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OCR </w:t>
            </w:r>
          </w:p>
          <w:p w14:paraId="5981B61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11 (2.3%) </w:t>
            </w:r>
          </w:p>
          <w:p w14:paraId="6032BAD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Placebo</w:t>
            </w:r>
          </w:p>
          <w:p w14:paraId="1537807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 (0.8%)</w:t>
            </w:r>
          </w:p>
        </w:tc>
        <w:tc>
          <w:tcPr>
            <w:tcW w:w="2409" w:type="dxa"/>
            <w:gridSpan w:val="2"/>
          </w:tcPr>
          <w:p w14:paraId="0D47EFFC"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1BCE441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OCR </w:t>
            </w:r>
          </w:p>
          <w:p w14:paraId="5317841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 (0%)</w:t>
            </w:r>
          </w:p>
          <w:p w14:paraId="48326C3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516E9DB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(0.4%) </w:t>
            </w:r>
          </w:p>
        </w:tc>
        <w:tc>
          <w:tcPr>
            <w:tcW w:w="2127" w:type="dxa"/>
            <w:gridSpan w:val="2"/>
          </w:tcPr>
          <w:p w14:paraId="1BA4B173" w14:textId="77777777" w:rsidR="00D16970" w:rsidRPr="009A7518" w:rsidRDefault="00D16970" w:rsidP="00B967CB">
            <w:pPr>
              <w:spacing w:line="276" w:lineRule="auto"/>
              <w:contextualSpacing/>
              <w:rPr>
                <w:rFonts w:cs="Times New Roman"/>
                <w:sz w:val="20"/>
                <w:szCs w:val="20"/>
              </w:rPr>
            </w:pPr>
          </w:p>
        </w:tc>
      </w:tr>
      <w:tr w:rsidR="00D16970" w:rsidRPr="009A7518" w14:paraId="78227FDD" w14:textId="77777777" w:rsidTr="00BA7170">
        <w:tc>
          <w:tcPr>
            <w:tcW w:w="1560" w:type="dxa"/>
          </w:tcPr>
          <w:p w14:paraId="40D3D6A1" w14:textId="3706FEC1" w:rsidR="00D16970" w:rsidRPr="009A7518" w:rsidRDefault="00D16970" w:rsidP="00B967CB">
            <w:pPr>
              <w:spacing w:line="276" w:lineRule="auto"/>
              <w:contextualSpacing/>
              <w:rPr>
                <w:rFonts w:cs="Times New Roman"/>
                <w:sz w:val="20"/>
                <w:szCs w:val="20"/>
              </w:rPr>
            </w:pPr>
            <w:r w:rsidRPr="009A7518">
              <w:rPr>
                <w:rFonts w:cs="Times New Roman"/>
                <w:sz w:val="20"/>
                <w:szCs w:val="20"/>
              </w:rPr>
              <w:t>Hauser et al., 2017</w:t>
            </w:r>
            <w:r w:rsidRPr="009A7518">
              <w:rPr>
                <w:rFonts w:cs="Times New Roman"/>
                <w:sz w:val="20"/>
                <w:szCs w:val="20"/>
              </w:rPr>
              <w:fldChar w:fldCharType="begin"/>
            </w:r>
            <w:r w:rsidR="00B967CB">
              <w:rPr>
                <w:rFonts w:cs="Times New Roman"/>
                <w:sz w:val="20"/>
                <w:szCs w:val="20"/>
              </w:rPr>
              <w:instrText xml:space="preserve"> ADDIN ZOTERO_ITEM CSL_CITATION {"citationID":"rnBiqjIh","properties":{"formattedCitation":"(35)","plainCitation":"(35)","noteIndex":0},"citationItems":[{"id":1057,"uris":["http://zotero.org/users/local/DBM3sz94/items/QRTV3LIG"],"itemData":{"id":1057,"type":"article-journal","abstract":"BACKGROUND B cells influence the pathogenesis of multiple sclerosis. Ocrelizumab is a humanized monoclonal antibody that selectively depletes CD20+ B cells.\nMETHODS In two identical phase 3 trials, we randomly assigned 821 and 835 patients with relapsing multiple sclerosis to receive intravenous ocrelizumab at a dose of 600 mg every 24 weeks or subcutaneous interferon beta-1a at a dose of 44 μg three times weekly for 96 weeks. The primary end point was the annualized relapse rate.\nRESULTS The annualized relapse rate was lower with ocrelizumab than with interferon beta-1a in trial 1 (0.16 vs. 0.29; 46% lower rate with ocrelizumab; P&lt;0.001) and in trial 2 (0.16 vs. 0.29; 47% lower rate; P&lt;0.001). In prespecified pooled analyses, the percentage of patients with disability progression confirmed at 12 weeks was significantly lower with ocrelizumab than with interferon beta-1a (9.1% vs. 13.6%; hazard ratio, 0.60; 95% confidence interval [CI], 0.45 to 0.81; P&lt;0.001), as was the percentage of patients with disability progression confirmed at 24 weeks (6.9% vs. 10.5%; hazard ratio, 0.60; 95% CI, 0.43 to 0.84; P = 0.003). The mean number of gadolinium-enhancing lesions per T1-weighted magnetic resonance scan was 0.02 with ocrelizumab versus 0.29 with interferon beta-1a in trial 1 (94% lower number of lesions with ocreliz­ umab, P&lt;0.001) and 0.02 versus 0.42 in trial 2 (95% lower number of lesions, P&lt;0.001). The change in the Multiple Sclerosis Functional Composite score (a composite measure of walking speed, upper-limb movements, and cognition; for this z score, negative values indicate worsening and positive values indicate improvement) significantly favored ocrelizumab over interferon beta-1a in trial 2 (0.28 vs. 0.17, P = 0.004) but not in trial 1 (0.21 vs. 0.17, P = 0.33). Infusion-related reactions occurred in 34.3% of the patients treated with ocrelizumab. Serious infection occurred in 1.3% of the patients treated with ocrelizumab and in 2.9% of those treated with interferon beta-1a. Neoplasms occurred in 0.5% of the patients treated with ocrelizumab and in 0.2% of those treated with interferon beta-1a. The authors’ full names, academic degrees, and affiliations are listed in the Appendix. Address reprint requests to Dr. Hauser at the Weill Institute for Neurosciences, Department of Neurology, University of California, San Francisco, 675 Nelson Rising Ln., San Francisco, CA 94158, or at ­stephen.­hauser@­ucsf.­edu; or to Dr. Kappos at University Hospital Basel, University of Basel, Petersgraben 4, CH-4301 Basel, Switzerland, or at ­ludwig.­kappos@­usb.­ch. *A complete list of investigators in the OPERA I and OPERA II trials is provided in the Supplementary Appendix, available at NEJM.org. Drs. Hauser and Kappos contributed equally to this article. This article was published on December 21, 2016, at NEJM.org. N Engl J Med 2017;376:221-34. DOI: 10.1056/NEJMoa1601277 Copyright © 2016 Massachusetts Medical Society.\nCONCLUSIONS Among patients with relapsing multiple sclerosis, ocrelizumab was associated with lower rates of disease activity and progression than interferon beta-1a over a period of 96 weeks. Larger and longer studies of the safety of ocrelizumab are required. (Funded by F. Hoffmann–La Roche; OPERA I and II ClinicalTrials.gov numbers, NCT01247324 and NCT01412333, respectively.)","container-title":"New England Journal of Medicine","DOI":"10.1056/NEJMoa1601277","ISSN":"0028-4793, 1533-4406","issue":"3","journalAbbreviation":"N Engl J Med","language":"en","page":"221-234","source":"DOI.org (Crossref)","title":"Ocrelizumab versus Interferon Beta-1a in Relapsing Multiple Sclerosis","volume":"376","author":[{"family":"Hauser","given":"Stephen L."},{"family":"Bar-Or","given":"Amit"},{"family":"Comi","given":"Giancarlo"},{"family":"Giovannoni","given":"Gavin"},{"family":"Hartung","given":"Hans-Peter"},{"family":"Hemmer","given":"Bernhard"},{"family":"Lublin","given":"Fred"},{"family":"Montalban","given":"Xavier"},{"family":"Rammohan","given":"Kottil W."},{"family":"Selmaj","given":"Krzysztof"},{"family":"Traboulsee","given":"Anthony"},{"family":"Wolinsky","given":"Jerry S."},{"family":"Arnold","given":"Douglas L."},{"family":"Klingelschmitt","given":"Gaelle"},{"family":"Masterman","given":"Donna"},{"family":"Fontoura","given":"Paulo"},{"family":"Belachew","given":"Shibeshih"},{"family":"Chin","given":"Peter"},{"family":"Mairon","given":"Nicole"},{"family":"Garren","given":"Hideki"},{"family":"Kappos","given":"Ludwig"}],"issued":{"date-parts":[["2017",1,19]]}}}],"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(35)</w:t>
            </w:r>
            <w:r w:rsidRPr="009A7518">
              <w:rPr>
                <w:rFonts w:cs="Times New Roman"/>
                <w:sz w:val="20"/>
                <w:szCs w:val="20"/>
              </w:rPr>
              <w:fldChar w:fldCharType="end"/>
            </w:r>
          </w:p>
          <w:p w14:paraId="19DDBCFA" w14:textId="77777777" w:rsidR="00D16970" w:rsidRPr="009A7518" w:rsidRDefault="00D16970" w:rsidP="00B967CB">
            <w:pPr>
              <w:spacing w:line="276" w:lineRule="auto"/>
              <w:contextualSpacing/>
              <w:rPr>
                <w:rFonts w:cs="Times New Roman"/>
                <w:sz w:val="20"/>
                <w:szCs w:val="20"/>
              </w:rPr>
            </w:pPr>
          </w:p>
          <w:p w14:paraId="6AA7782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OPERA I </w:t>
            </w:r>
          </w:p>
          <w:p w14:paraId="35B9F00D" w14:textId="77777777" w:rsidR="00D16970" w:rsidRPr="009A7518" w:rsidRDefault="00D16970" w:rsidP="00B967CB">
            <w:pPr>
              <w:spacing w:line="276" w:lineRule="auto"/>
              <w:contextualSpacing/>
              <w:rPr>
                <w:rFonts w:cs="Times New Roman"/>
                <w:sz w:val="20"/>
                <w:szCs w:val="20"/>
              </w:rPr>
            </w:pPr>
          </w:p>
          <w:p w14:paraId="393AE1D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NCT01247324 </w:t>
            </w:r>
          </w:p>
        </w:tc>
        <w:tc>
          <w:tcPr>
            <w:tcW w:w="1417" w:type="dxa"/>
            <w:gridSpan w:val="2"/>
          </w:tcPr>
          <w:p w14:paraId="22F5C028"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 xml:space="preserve">Phase 3 </w:t>
            </w:r>
            <w:proofErr w:type="spellStart"/>
            <w:r>
              <w:rPr>
                <w:rFonts w:cs="Times New Roman"/>
                <w:color w:val="000000"/>
                <w:sz w:val="20"/>
                <w:szCs w:val="20"/>
                <w:shd w:val="clear" w:color="auto" w:fill="FFFFFF"/>
              </w:rPr>
              <w:t>randomised</w:t>
            </w:r>
            <w:proofErr w:type="spellEnd"/>
            <w:r>
              <w:rPr>
                <w:rFonts w:cs="Times New Roman"/>
                <w:color w:val="000000"/>
                <w:sz w:val="20"/>
                <w:szCs w:val="20"/>
                <w:shd w:val="clear" w:color="auto" w:fill="FFFFFF"/>
              </w:rPr>
              <w:t xml:space="preserve"> </w:t>
            </w:r>
            <w:r w:rsidRPr="009A7518">
              <w:rPr>
                <w:rFonts w:cs="Times New Roman"/>
                <w:color w:val="000000"/>
                <w:sz w:val="20"/>
                <w:szCs w:val="20"/>
                <w:shd w:val="clear" w:color="auto" w:fill="FFFFFF"/>
              </w:rPr>
              <w:t xml:space="preserve">trial </w:t>
            </w:r>
          </w:p>
          <w:p w14:paraId="48D97EF8" w14:textId="77777777" w:rsidR="00D16970" w:rsidRPr="009A7518" w:rsidRDefault="00D16970" w:rsidP="00B967CB">
            <w:pPr>
              <w:spacing w:line="276" w:lineRule="auto"/>
              <w:contextualSpacing/>
              <w:rPr>
                <w:rFonts w:cs="Times New Roman"/>
                <w:sz w:val="20"/>
                <w:szCs w:val="20"/>
              </w:rPr>
            </w:pPr>
          </w:p>
        </w:tc>
        <w:tc>
          <w:tcPr>
            <w:tcW w:w="1276" w:type="dxa"/>
            <w:gridSpan w:val="2"/>
          </w:tcPr>
          <w:p w14:paraId="5AE8D20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p w14:paraId="30CE1988" w14:textId="77777777" w:rsidR="00D16970" w:rsidRPr="009A7518" w:rsidRDefault="00D16970" w:rsidP="00B967CB">
            <w:pPr>
              <w:spacing w:line="276" w:lineRule="auto"/>
              <w:contextualSpacing/>
              <w:rPr>
                <w:rFonts w:cs="Times New Roman"/>
                <w:sz w:val="20"/>
                <w:szCs w:val="20"/>
              </w:rPr>
            </w:pPr>
          </w:p>
        </w:tc>
        <w:tc>
          <w:tcPr>
            <w:tcW w:w="1276" w:type="dxa"/>
            <w:gridSpan w:val="2"/>
          </w:tcPr>
          <w:p w14:paraId="6DB638B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821 MS patients </w:t>
            </w:r>
          </w:p>
          <w:p w14:paraId="02AABB2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410 OCR</w:t>
            </w:r>
          </w:p>
          <w:p w14:paraId="6ADB2FA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411 Interferon beta </w:t>
            </w:r>
          </w:p>
        </w:tc>
        <w:tc>
          <w:tcPr>
            <w:tcW w:w="1134" w:type="dxa"/>
            <w:gridSpan w:val="2"/>
          </w:tcPr>
          <w:p w14:paraId="75C0A52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2011 </w:t>
            </w:r>
            <w:r>
              <w:rPr>
                <w:rFonts w:cs="Times New Roman"/>
                <w:sz w:val="20"/>
                <w:szCs w:val="20"/>
              </w:rPr>
              <w:t>–</w:t>
            </w:r>
            <w:r w:rsidRPr="009A7518">
              <w:rPr>
                <w:rFonts w:cs="Times New Roman"/>
                <w:sz w:val="20"/>
                <w:szCs w:val="20"/>
              </w:rPr>
              <w:t xml:space="preserve"> 2013</w:t>
            </w:r>
          </w:p>
        </w:tc>
        <w:tc>
          <w:tcPr>
            <w:tcW w:w="1559" w:type="dxa"/>
            <w:gridSpan w:val="2"/>
          </w:tcPr>
          <w:p w14:paraId="7A8D185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OCR</w:t>
            </w:r>
          </w:p>
        </w:tc>
        <w:tc>
          <w:tcPr>
            <w:tcW w:w="2552" w:type="dxa"/>
            <w:gridSpan w:val="2"/>
          </w:tcPr>
          <w:p w14:paraId="11EBCAF4"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1DD5A42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OCR</w:t>
            </w:r>
          </w:p>
          <w:p w14:paraId="2807E1EF" w14:textId="522E9378" w:rsidR="00D16970" w:rsidRPr="00B967CB" w:rsidRDefault="00B967CB" w:rsidP="00B967CB">
            <w:pPr>
              <w:spacing w:line="276" w:lineRule="auto"/>
              <w:rPr>
                <w:sz w:val="20"/>
                <w:szCs w:val="20"/>
              </w:rPr>
            </w:pPr>
            <w:r>
              <w:rPr>
                <w:sz w:val="20"/>
                <w:szCs w:val="20"/>
              </w:rPr>
              <w:t xml:space="preserve">1 </w:t>
            </w:r>
            <w:r w:rsidR="00D16970" w:rsidRPr="00B967CB">
              <w:rPr>
                <w:sz w:val="20"/>
                <w:szCs w:val="20"/>
              </w:rPr>
              <w:t xml:space="preserve">(0.7%) </w:t>
            </w:r>
          </w:p>
          <w:p w14:paraId="51735F4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 beta</w:t>
            </w:r>
          </w:p>
          <w:p w14:paraId="521AC4E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(0.2%) </w:t>
            </w:r>
          </w:p>
          <w:p w14:paraId="68011F98"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0E25FB3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62231D28" w14:textId="77777777" w:rsidR="00D16970" w:rsidRPr="009A7518" w:rsidRDefault="00D16970" w:rsidP="00B967CB">
            <w:pPr>
              <w:spacing w:line="276" w:lineRule="auto"/>
              <w:contextualSpacing/>
              <w:rPr>
                <w:rFonts w:cs="Times New Roman"/>
                <w:sz w:val="20"/>
                <w:szCs w:val="20"/>
              </w:rPr>
            </w:pPr>
          </w:p>
        </w:tc>
      </w:tr>
      <w:tr w:rsidR="00D16970" w:rsidRPr="009A7518" w14:paraId="06EF4523" w14:textId="77777777" w:rsidTr="00BA7170">
        <w:tc>
          <w:tcPr>
            <w:tcW w:w="1560" w:type="dxa"/>
          </w:tcPr>
          <w:p w14:paraId="5E90368C" w14:textId="6C518FDD" w:rsidR="00D16970" w:rsidRPr="009A7518" w:rsidRDefault="00D16970" w:rsidP="00B967CB">
            <w:pPr>
              <w:spacing w:line="276" w:lineRule="auto"/>
              <w:contextualSpacing/>
              <w:rPr>
                <w:rFonts w:cs="Times New Roman"/>
                <w:sz w:val="20"/>
                <w:szCs w:val="20"/>
              </w:rPr>
            </w:pPr>
            <w:r w:rsidRPr="009A7518">
              <w:rPr>
                <w:rFonts w:cs="Times New Roman"/>
                <w:sz w:val="20"/>
                <w:szCs w:val="20"/>
              </w:rPr>
              <w:t>Hauser et al., 2017</w:t>
            </w:r>
            <w:r w:rsidRPr="009A7518">
              <w:rPr>
                <w:rFonts w:cs="Times New Roman"/>
                <w:sz w:val="20"/>
                <w:szCs w:val="20"/>
              </w:rPr>
              <w:fldChar w:fldCharType="begin"/>
            </w:r>
            <w:r w:rsidR="00B967CB">
              <w:rPr>
                <w:rFonts w:cs="Times New Roman"/>
                <w:sz w:val="20"/>
                <w:szCs w:val="20"/>
              </w:rPr>
              <w:instrText xml:space="preserve"> ADDIN ZOTERO_ITEM CSL_CITATION {"citationID":"94Nb8LZf","properties":{"formattedCitation":"(35)","plainCitation":"(35)","noteIndex":0},"citationItems":[{"id":1057,"uris":["http://zotero.org/users/local/DBM3sz94/items/QRTV3LIG"],"itemData":{"id":1057,"type":"article-journal","abstract":"BACKGROUND B cells influence the pathogenesis of multiple sclerosis. Ocrelizumab is a humanized monoclonal antibody that selectively depletes CD20+ B cells.\nMETHODS In two identical phase 3 trials, we randomly assigned 821 and 835 patients with relapsing multiple sclerosis to receive intravenous ocrelizumab at a dose of 600 mg every 24 weeks or subcutaneous interferon beta-1a at a dose of 44 μg three times weekly for 96 weeks. The primary end point was the annualized relapse rate.\nRESULTS The annualized relapse rate was lower with ocrelizumab than with interferon beta-1a in trial 1 (0.16 vs. 0.29; 46% lower rate with ocrelizumab; P&lt;0.001) and in trial 2 (0.16 vs. 0.29; 47% lower rate; P&lt;0.001). In prespecified pooled analyses, the percentage of patients with disability progression confirmed at 12 weeks was significantly lower with ocrelizumab than with interferon beta-1a (9.1% vs. 13.6%; hazard ratio, 0.60; 95% confidence interval [CI], 0.45 to 0.81; P&lt;0.001), as was the percentage of patients with disability progression confirmed at 24 weeks (6.9% vs. 10.5%; hazard ratio, 0.60; 95% CI, 0.43 to 0.84; P = 0.003). The mean number of gadolinium-enhancing lesions per T1-weighted magnetic resonance scan was 0.02 with ocrelizumab versus 0.29 with interferon beta-1a in trial 1 (94% lower number of lesions with ocreliz­ umab, P&lt;0.001) and 0.02 versus 0.42 in trial 2 (95% lower number of lesions, P&lt;0.001). The change in the Multiple Sclerosis Functional Composite score (a composite measure of walking speed, upper-limb movements, and cognition; for this z score, negative values indicate worsening and positive values indicate improvement) significantly favored ocrelizumab over interferon beta-1a in trial 2 (0.28 vs. 0.17, P = 0.004) but not in trial 1 (0.21 vs. 0.17, P = 0.33). Infusion-related reactions occurred in 34.3% of the patients treated with ocrelizumab. Serious infection occurred in 1.3% of the patients treated with ocrelizumab and in 2.9% of those treated with interferon beta-1a. Neoplasms occurred in 0.5% of the patients treated with ocrelizumab and in 0.2% of those treated with interferon beta-1a. The authors’ full names, academic degrees, and affiliations are listed in the Appendix. Address reprint requests to Dr. Hauser at the Weill Institute for Neurosciences, Department of Neurology, University of California, San Francisco, 675 Nelson Rising Ln., San Francisco, CA 94158, or at ­stephen.­hauser@­ucsf.­edu; or to Dr. Kappos at University Hospital Basel, University of Basel, Petersgraben 4, CH-4301 Basel, Switzerland, or at ­ludwig.­kappos@­usb.­ch. *A complete list of investigators in the OPERA I and OPERA II trials is provided in the Supplementary Appendix, available at NEJM.org. Drs. Hauser and Kappos contributed equally to this article. This article was published on December 21, 2016, at NEJM.org. N Engl J Med 2017;376:221-34. DOI: 10.1056/NEJMoa1601277 Copyright © 2016 Massachusetts Medical Society.\nCONCLUSIONS Among patients with relapsing multiple sclerosis, ocrelizumab was associated with lower rates of disease activity and progression than interferon beta-1a over a period of 96 weeks. Larger and longer studies of the safety of ocrelizumab are required. (Funded by F. Hoffmann–La Roche; OPERA I and II ClinicalTrials.gov numbers, NCT01247324 and NCT01412333, respectively.)","container-title":"New England Journal of Medicine","DOI":"10.1056/NEJMoa1601277","ISSN":"0028-4793, 1533-4406","issue":"3","journalAbbreviation":"N Engl J Med","language":"en","page":"221-234","source":"DOI.org (Crossref)","title":"Ocrelizumab versus Interferon Beta-1a in Relapsing Multiple Sclerosis","volume":"376","author":[{"family":"Hauser","given":"Stephen L."},{"family":"Bar-Or","given":"Amit"},{"family":"Comi","given":"Giancarlo"},{"family":"Giovannoni","given":"Gavin"},{"family":"Hartung","given":"Hans-Peter"},{"family":"Hemmer","given":"Bernhard"},{"family":"Lublin","given":"Fred"},{"family":"Montalban","given":"Xavier"},{"family":"Rammohan","given":"Kottil W."},{"family":"Selmaj","given":"Krzysztof"},{"family":"Traboulsee","given":"Anthony"},{"family":"Wolinsky","given":"Jerry S."},{"family":"Arnold","given":"Douglas L."},{"family":"Klingelschmitt","given":"Gaelle"},{"family":"Masterman","given":"Donna"},{"family":"Fontoura","given":"Paulo"},{"family":"Belachew","given":"Shibeshih"},{"family":"Chin","given":"Peter"},{"family":"Mairon","given":"Nicole"},{"family":"Garren","given":"Hideki"},{"family":"Kappos","given":"Ludwig"}],"issued":{"date-parts":[["2017",1,19]]}}}],"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(35)</w:t>
            </w:r>
            <w:r w:rsidRPr="009A7518">
              <w:rPr>
                <w:rFonts w:cs="Times New Roman"/>
                <w:sz w:val="20"/>
                <w:szCs w:val="20"/>
              </w:rPr>
              <w:fldChar w:fldCharType="end"/>
            </w:r>
          </w:p>
          <w:p w14:paraId="5D897D09" w14:textId="77777777" w:rsidR="00D16970" w:rsidRPr="009A7518" w:rsidRDefault="00D16970" w:rsidP="00B967CB">
            <w:pPr>
              <w:spacing w:line="276" w:lineRule="auto"/>
              <w:contextualSpacing/>
              <w:rPr>
                <w:rFonts w:cs="Times New Roman"/>
                <w:sz w:val="20"/>
                <w:szCs w:val="20"/>
              </w:rPr>
            </w:pPr>
          </w:p>
          <w:p w14:paraId="7E8EBCD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OPERA II</w:t>
            </w:r>
          </w:p>
          <w:p w14:paraId="44EFD754" w14:textId="77777777" w:rsidR="00D16970" w:rsidRPr="009A7518" w:rsidRDefault="00D16970" w:rsidP="00B967CB">
            <w:pPr>
              <w:spacing w:line="276" w:lineRule="auto"/>
              <w:contextualSpacing/>
              <w:rPr>
                <w:rFonts w:cs="Times New Roman"/>
                <w:sz w:val="20"/>
                <w:szCs w:val="20"/>
              </w:rPr>
            </w:pPr>
          </w:p>
          <w:p w14:paraId="40248D2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NCT014123</w:t>
            </w:r>
          </w:p>
        </w:tc>
        <w:tc>
          <w:tcPr>
            <w:tcW w:w="1417" w:type="dxa"/>
            <w:gridSpan w:val="2"/>
          </w:tcPr>
          <w:p w14:paraId="5547F0A0"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 xml:space="preserve">Phase 3 </w:t>
            </w:r>
            <w:proofErr w:type="spellStart"/>
            <w:r>
              <w:rPr>
                <w:rFonts w:cs="Times New Roman"/>
                <w:color w:val="000000"/>
                <w:sz w:val="20"/>
                <w:szCs w:val="20"/>
                <w:shd w:val="clear" w:color="auto" w:fill="FFFFFF"/>
              </w:rPr>
              <w:t>randomised</w:t>
            </w:r>
            <w:proofErr w:type="spellEnd"/>
            <w:r>
              <w:rPr>
                <w:rFonts w:cs="Times New Roman"/>
                <w:color w:val="000000"/>
                <w:sz w:val="20"/>
                <w:szCs w:val="20"/>
                <w:shd w:val="clear" w:color="auto" w:fill="FFFFFF"/>
              </w:rPr>
              <w:t xml:space="preserve"> </w:t>
            </w:r>
            <w:r w:rsidRPr="009A7518">
              <w:rPr>
                <w:rFonts w:cs="Times New Roman"/>
                <w:color w:val="000000"/>
                <w:sz w:val="20"/>
                <w:szCs w:val="20"/>
                <w:shd w:val="clear" w:color="auto" w:fill="FFFFFF"/>
              </w:rPr>
              <w:t xml:space="preserve">trial </w:t>
            </w:r>
          </w:p>
          <w:p w14:paraId="43E713B3" w14:textId="77777777" w:rsidR="00D16970" w:rsidRPr="009A7518" w:rsidRDefault="00D16970" w:rsidP="00B967CB">
            <w:pPr>
              <w:spacing w:line="276" w:lineRule="auto"/>
              <w:contextualSpacing/>
              <w:rPr>
                <w:rFonts w:cs="Times New Roman"/>
                <w:sz w:val="20"/>
                <w:szCs w:val="20"/>
              </w:rPr>
            </w:pPr>
          </w:p>
        </w:tc>
        <w:tc>
          <w:tcPr>
            <w:tcW w:w="1276" w:type="dxa"/>
            <w:gridSpan w:val="2"/>
          </w:tcPr>
          <w:p w14:paraId="12EB913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p w14:paraId="722FE1D8" w14:textId="77777777" w:rsidR="00D16970" w:rsidRPr="009A7518" w:rsidRDefault="00D16970" w:rsidP="00B967CB">
            <w:pPr>
              <w:spacing w:line="276" w:lineRule="auto"/>
              <w:contextualSpacing/>
              <w:rPr>
                <w:rFonts w:cs="Times New Roman"/>
                <w:sz w:val="20"/>
                <w:szCs w:val="20"/>
              </w:rPr>
            </w:pPr>
          </w:p>
        </w:tc>
        <w:tc>
          <w:tcPr>
            <w:tcW w:w="1276" w:type="dxa"/>
            <w:gridSpan w:val="2"/>
          </w:tcPr>
          <w:p w14:paraId="31F8120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835 patients </w:t>
            </w:r>
          </w:p>
          <w:p w14:paraId="14D797F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417 OCR</w:t>
            </w:r>
          </w:p>
          <w:p w14:paraId="2DEEA6C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418 Interferon beta</w:t>
            </w:r>
          </w:p>
        </w:tc>
        <w:tc>
          <w:tcPr>
            <w:tcW w:w="1134" w:type="dxa"/>
            <w:gridSpan w:val="2"/>
          </w:tcPr>
          <w:p w14:paraId="37808F9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2011- 2013</w:t>
            </w:r>
          </w:p>
        </w:tc>
        <w:tc>
          <w:tcPr>
            <w:tcW w:w="1559" w:type="dxa"/>
            <w:gridSpan w:val="2"/>
          </w:tcPr>
          <w:p w14:paraId="5A1133E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OCR</w:t>
            </w:r>
          </w:p>
        </w:tc>
        <w:tc>
          <w:tcPr>
            <w:tcW w:w="2552" w:type="dxa"/>
            <w:gridSpan w:val="2"/>
          </w:tcPr>
          <w:p w14:paraId="6101DB0B"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1F3D2DE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OCR </w:t>
            </w:r>
          </w:p>
          <w:p w14:paraId="0917E3B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(0.2%) </w:t>
            </w:r>
          </w:p>
          <w:p w14:paraId="7488D98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 beta</w:t>
            </w:r>
          </w:p>
          <w:p w14:paraId="410DB9E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(0.2%) </w:t>
            </w:r>
          </w:p>
        </w:tc>
        <w:tc>
          <w:tcPr>
            <w:tcW w:w="2409" w:type="dxa"/>
            <w:gridSpan w:val="2"/>
          </w:tcPr>
          <w:p w14:paraId="46A2A79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69052F2A" w14:textId="7DB57A55"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difference in risk of </w:t>
            </w:r>
            <w:r w:rsidR="00B967CB">
              <w:rPr>
                <w:rFonts w:cs="Times New Roman"/>
                <w:sz w:val="20"/>
                <w:szCs w:val="20"/>
              </w:rPr>
              <w:t xml:space="preserve">cervical </w:t>
            </w:r>
            <w:r w:rsidRPr="009A7518">
              <w:rPr>
                <w:rFonts w:cs="Times New Roman"/>
                <w:sz w:val="20"/>
                <w:szCs w:val="20"/>
              </w:rPr>
              <w:t xml:space="preserve">cancer </w:t>
            </w:r>
            <w:r w:rsidR="00B967CB">
              <w:rPr>
                <w:rFonts w:cs="Times New Roman"/>
                <w:sz w:val="20"/>
                <w:szCs w:val="20"/>
              </w:rPr>
              <w:t xml:space="preserve">between </w:t>
            </w:r>
            <w:r w:rsidRPr="009A7518">
              <w:rPr>
                <w:rFonts w:cs="Times New Roman"/>
                <w:sz w:val="20"/>
                <w:szCs w:val="20"/>
              </w:rPr>
              <w:t>OCR and interferon</w:t>
            </w:r>
            <w:r w:rsidR="00B967CB">
              <w:rPr>
                <w:rFonts w:cs="Times New Roman"/>
                <w:sz w:val="20"/>
                <w:szCs w:val="20"/>
              </w:rPr>
              <w:t>.</w:t>
            </w:r>
          </w:p>
        </w:tc>
      </w:tr>
      <w:tr w:rsidR="00D16970" w:rsidRPr="009A7518" w14:paraId="1E05A153" w14:textId="77777777" w:rsidTr="00BA7170">
        <w:tc>
          <w:tcPr>
            <w:tcW w:w="1560" w:type="dxa"/>
          </w:tcPr>
          <w:p w14:paraId="243C1241" w14:textId="7FC26D39" w:rsidR="00D16970" w:rsidRPr="009A7518" w:rsidRDefault="00D16970" w:rsidP="00B967CB">
            <w:pPr>
              <w:spacing w:line="276" w:lineRule="auto"/>
              <w:contextualSpacing/>
              <w:rPr>
                <w:rFonts w:cs="Times New Roman"/>
                <w:sz w:val="20"/>
                <w:szCs w:val="20"/>
              </w:rPr>
            </w:pPr>
            <w:proofErr w:type="spellStart"/>
            <w:r w:rsidRPr="009A7518">
              <w:rPr>
                <w:rFonts w:cs="Times New Roman"/>
                <w:sz w:val="20"/>
                <w:szCs w:val="20"/>
              </w:rPr>
              <w:t>Wolinsky</w:t>
            </w:r>
            <w:proofErr w:type="spellEnd"/>
            <w:r w:rsidRPr="009A7518">
              <w:rPr>
                <w:rFonts w:cs="Times New Roman"/>
                <w:sz w:val="20"/>
                <w:szCs w:val="20"/>
              </w:rPr>
              <w:t xml:space="preserve"> et al., 2020</w:t>
            </w:r>
            <w:r w:rsidRPr="009A7518">
              <w:rPr>
                <w:rFonts w:cs="Times New Roman"/>
                <w:sz w:val="20"/>
                <w:szCs w:val="20"/>
              </w:rPr>
              <w:fldChar w:fldCharType="begin"/>
            </w:r>
            <w:r w:rsidR="00B967CB">
              <w:rPr>
                <w:rFonts w:cs="Times New Roman"/>
                <w:sz w:val="20"/>
                <w:szCs w:val="20"/>
              </w:rPr>
              <w:instrText xml:space="preserve"> ADDIN ZOTERO_ITEM CSL_CITATION {"citationID":"1FE39tgE","properties":{"formattedCitation":"(36)","plainCitation":"(36)","noteIndex":0},"citationItems":[{"id":658,"uris":["http://zotero.org/users/local/DBM3sz94/items/9YQK4NXE"],"itemData":{"id":658,"type":"article-journal","container-title":"The Lancet Neurology","DOI":"10.1016/S1474-4422(20)30342-2","ISSN":"1474-4422, 1474-4465","issue":"12","journalAbbreviation":"The Lancet Neurology","language":"English","note":"publisher: Elsevier\nPMID: 33129442","page":"998-1009","source":"www.thelancet.com","title":"Long-term follow-up from the ORATORIO trial of ocrelizumab for primary progressive multiple sclerosis: a post-hoc analysis from the ongoing open-label extension of the randomised, placebo-controlled, phase 3 trial","title-short":"Long-term follow-up from the ORATORIO trial of ocrelizumab for primary progressive multiple sclerosis","volume":"19","author":[{"family":"Wolinsky","given":"Jerry S."},{"family":"Arnold","given":"Douglas L."},{"family":"Brochet","given":"Bruno"},{"family":"Hartung","given":"Hans-Peter"},{"family":"Montalban","given":"Xavier"},{"family":"Naismith","given":"Robert T."},{"family":"Manfrini","given":"Marianna"},{"family":"Overell","given":"James"},{"family":"Koendgen","given":"Harold"},{"family":"Sauter","given":"Annette"},{"family":"Bennett","given":"Iain"},{"family":"Hubeaux","given":"Stanislas"},{"family":"Kappos","given":"Ludwig"},{"family":"Hauser","given":"Stephen L."}],"issued":{"date-parts":[["2020",12,1]]}}}],"schema":"https://github.com/citation-style-language/schema/raw/master/csl-citation.json"}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(36)</w:t>
            </w:r>
            <w:r w:rsidRPr="009A7518">
              <w:rPr>
                <w:rFonts w:cs="Times New Roman"/>
                <w:sz w:val="20"/>
                <w:szCs w:val="20"/>
              </w:rPr>
              <w:fldChar w:fldCharType="end"/>
            </w:r>
            <w:r w:rsidRPr="009A7518">
              <w:rPr>
                <w:rFonts w:cs="Times New Roman"/>
                <w:sz w:val="20"/>
                <w:szCs w:val="20"/>
              </w:rPr>
              <w:t xml:space="preserve"> </w:t>
            </w:r>
          </w:p>
          <w:p w14:paraId="2F95067B" w14:textId="77777777" w:rsidR="00D16970" w:rsidRPr="009A7518" w:rsidRDefault="00D16970" w:rsidP="00B967CB">
            <w:pPr>
              <w:spacing w:line="276" w:lineRule="auto"/>
              <w:contextualSpacing/>
              <w:rPr>
                <w:rFonts w:cs="Times New Roman"/>
                <w:sz w:val="20"/>
                <w:szCs w:val="20"/>
              </w:rPr>
            </w:pPr>
          </w:p>
          <w:p w14:paraId="03265F6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ORTORIO Extension </w:t>
            </w:r>
          </w:p>
          <w:p w14:paraId="72258C4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NCT01194570</w:t>
            </w:r>
          </w:p>
          <w:p w14:paraId="2584B9E0" w14:textId="77777777" w:rsidR="00D16970" w:rsidRPr="009A7518" w:rsidRDefault="00D16970" w:rsidP="00B967CB">
            <w:pPr>
              <w:spacing w:line="276" w:lineRule="auto"/>
              <w:contextualSpacing/>
              <w:rPr>
                <w:rFonts w:cs="Times New Roman"/>
                <w:sz w:val="20"/>
                <w:szCs w:val="20"/>
              </w:rPr>
            </w:pPr>
          </w:p>
        </w:tc>
        <w:tc>
          <w:tcPr>
            <w:tcW w:w="1417" w:type="dxa"/>
            <w:gridSpan w:val="2"/>
          </w:tcPr>
          <w:p w14:paraId="6FDB84A3" w14:textId="77777777" w:rsidR="00D16970" w:rsidRPr="009A7518" w:rsidRDefault="00D16970" w:rsidP="00B967CB">
            <w:pPr>
              <w:spacing w:line="276" w:lineRule="auto"/>
              <w:contextualSpacing/>
              <w:rPr>
                <w:rFonts w:cs="Times New Roman"/>
                <w:color w:val="000000"/>
                <w:sz w:val="20"/>
                <w:szCs w:val="20"/>
                <w:shd w:val="clear" w:color="auto" w:fill="FFFFFF"/>
              </w:rPr>
            </w:pPr>
            <w:r w:rsidRPr="009A7518">
              <w:rPr>
                <w:rFonts w:cs="Times New Roman"/>
                <w:sz w:val="20"/>
                <w:szCs w:val="20"/>
              </w:rPr>
              <w:t xml:space="preserve">Open-labelled extension study of ORTORIO </w:t>
            </w:r>
          </w:p>
        </w:tc>
        <w:tc>
          <w:tcPr>
            <w:tcW w:w="1276" w:type="dxa"/>
            <w:gridSpan w:val="2"/>
          </w:tcPr>
          <w:p w14:paraId="537C5F3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655EBB7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527 PPMS patients </w:t>
            </w:r>
          </w:p>
          <w:p w14:paraId="7E49C9C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367 OCR</w:t>
            </w:r>
          </w:p>
          <w:p w14:paraId="6FCF789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160 Placebo  </w:t>
            </w:r>
          </w:p>
          <w:p w14:paraId="05521ED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tc>
        <w:tc>
          <w:tcPr>
            <w:tcW w:w="1134" w:type="dxa"/>
            <w:gridSpan w:val="2"/>
          </w:tcPr>
          <w:p w14:paraId="3A75B37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2011 – 2019 </w:t>
            </w:r>
          </w:p>
        </w:tc>
        <w:tc>
          <w:tcPr>
            <w:tcW w:w="1559" w:type="dxa"/>
            <w:gridSpan w:val="2"/>
          </w:tcPr>
          <w:p w14:paraId="507286C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OCR</w:t>
            </w:r>
          </w:p>
        </w:tc>
        <w:tc>
          <w:tcPr>
            <w:tcW w:w="2552" w:type="dxa"/>
            <w:gridSpan w:val="2"/>
          </w:tcPr>
          <w:p w14:paraId="15B8A341" w14:textId="77777777" w:rsidR="00B967CB"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54A9D3D1" w14:textId="627AA27E"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All exposure population </w:t>
            </w:r>
          </w:p>
          <w:p w14:paraId="122FCA0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0·91/100py (95% CI 0·61–1·32)</w:t>
            </w:r>
          </w:p>
          <w:p w14:paraId="4E652A01" w14:textId="77777777" w:rsidR="00D16970" w:rsidRPr="009A7518" w:rsidRDefault="00D16970" w:rsidP="00B967CB">
            <w:pPr>
              <w:spacing w:line="276" w:lineRule="auto"/>
              <w:contextualSpacing/>
              <w:rPr>
                <w:rFonts w:cs="Times New Roman"/>
                <w:sz w:val="20"/>
                <w:szCs w:val="20"/>
              </w:rPr>
            </w:pPr>
          </w:p>
          <w:p w14:paraId="1A09578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OCR </w:t>
            </w:r>
          </w:p>
          <w:p w14:paraId="7370D1B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0.93/100py (95% CI 0·52–1·54)</w:t>
            </w:r>
          </w:p>
          <w:p w14:paraId="4A29CE8A" w14:textId="77777777" w:rsidR="00D16970" w:rsidRPr="009A7518" w:rsidRDefault="00D16970" w:rsidP="00B967CB">
            <w:pPr>
              <w:spacing w:line="276" w:lineRule="auto"/>
              <w:contextualSpacing/>
              <w:rPr>
                <w:rFonts w:cs="Times New Roman"/>
                <w:sz w:val="20"/>
                <w:szCs w:val="20"/>
              </w:rPr>
            </w:pPr>
          </w:p>
          <w:p w14:paraId="40E5708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Placebo </w:t>
            </w:r>
          </w:p>
          <w:p w14:paraId="3D1BCB0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0.27 /100py (95% CI 0·03–0·99)</w:t>
            </w:r>
          </w:p>
          <w:p w14:paraId="6E49BF42"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1E3B4BC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No cervical abnormality reported</w:t>
            </w:r>
          </w:p>
        </w:tc>
        <w:tc>
          <w:tcPr>
            <w:tcW w:w="2127" w:type="dxa"/>
            <w:gridSpan w:val="2"/>
          </w:tcPr>
          <w:p w14:paraId="63D5D97E" w14:textId="77777777" w:rsidR="00D16970" w:rsidRPr="009A7518" w:rsidRDefault="00D16970" w:rsidP="00B967CB">
            <w:pPr>
              <w:spacing w:line="276" w:lineRule="auto"/>
              <w:contextualSpacing/>
              <w:rPr>
                <w:rFonts w:cs="Times New Roman"/>
                <w:sz w:val="20"/>
                <w:szCs w:val="20"/>
              </w:rPr>
            </w:pPr>
          </w:p>
        </w:tc>
      </w:tr>
      <w:tr w:rsidR="00D16970" w:rsidRPr="009A7518" w14:paraId="427A6AC4" w14:textId="77777777" w:rsidTr="00BA7170">
        <w:tc>
          <w:tcPr>
            <w:tcW w:w="1560" w:type="dxa"/>
          </w:tcPr>
          <w:p w14:paraId="590AABDE" w14:textId="6B20B1AC" w:rsidR="00D16970" w:rsidRPr="009A7518" w:rsidRDefault="00D16970" w:rsidP="00B967CB">
            <w:pPr>
              <w:spacing w:line="276" w:lineRule="auto"/>
              <w:contextualSpacing/>
              <w:rPr>
                <w:rFonts w:cs="Times New Roman"/>
                <w:sz w:val="20"/>
                <w:szCs w:val="20"/>
              </w:rPr>
            </w:pPr>
            <w:r w:rsidRPr="009A7518">
              <w:rPr>
                <w:rFonts w:cs="Times New Roman"/>
                <w:sz w:val="20"/>
                <w:szCs w:val="20"/>
              </w:rPr>
              <w:t>Hauser et al., 2021</w:t>
            </w:r>
            <w:r w:rsidRPr="009A7518">
              <w:rPr>
                <w:rFonts w:cs="Times New Roman"/>
                <w:sz w:val="20"/>
                <w:szCs w:val="20"/>
              </w:rPr>
              <w:fldChar w:fldCharType="begin"/>
            </w:r>
            <w:r w:rsidR="00B967CB">
              <w:rPr>
                <w:rFonts w:cs="Times New Roman"/>
                <w:sz w:val="20"/>
                <w:szCs w:val="20"/>
              </w:rPr>
              <w:instrText xml:space="preserve"> ADDIN ZOTERO_ITEM CSL_CITATION {"citationID":"obeSKhtt","properties":{"formattedCitation":"(37)","plainCitation":"(37)","noteIndex":0},"citationItems":[{"id":792,"uris":["http://zotero.org/users/local/DBM3sz94/items/N5HDMJEN"],"itemData":{"id":792,"type":"article-journal","abstract":"Background and Objectives To report safety of ocrelizumab (OCR) up to 7 years in patients with relapsing multiple sclerosis (RMS) and primary progressive multiple sclerosis (PPMS) enrolled in clinical trials or treated in real-world postmarketing settings.","container-title":"Neurology","DOI":"10.1212/WNL.0000000000012700","ISSN":"0028-3878, 1526-632X","issue":"16","journalAbbreviation":"Neurology","language":"en","page":"e1546-e1559","source":"DOI.org (Crossref)","title":"Safety of Ocrelizumab in Patients With Relapsing and Primary Progressive Multiple Sclerosis","volume":"97","author":[{"family":"Hauser","given":"Stephen L."},{"family":"Kappos","given":"Ludwig"},{"family":"Montalban","given":"Xavier"},{"family":"Craveiro","given":"Licinio"},{"family":"Chognot","given":"Cathy"},{"family":"Hughes","given":"Richard"},{"family":"Koendgen","given":"Harold"},{"family":"Pasquarelli","given":"Noemi"},{"family":"Pradhan","given":"Ashish"},{"family":"Prajapati","given":"Kalpesh"},{"family":"Wolinsky","given":"Jerry S."}],"issued":{"date-parts":[["2021",10,19]]}}}],"schema":"https://github.com/citation-style-language/schema/raw/master/csl-citation.json"}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(37)</w:t>
            </w:r>
            <w:r w:rsidRPr="009A7518">
              <w:rPr>
                <w:rFonts w:cs="Times New Roman"/>
                <w:sz w:val="20"/>
                <w:szCs w:val="20"/>
              </w:rPr>
              <w:fldChar w:fldCharType="end"/>
            </w:r>
            <w:r w:rsidRPr="009A7518">
              <w:rPr>
                <w:rFonts w:cs="Times New Roman"/>
                <w:sz w:val="20"/>
                <w:szCs w:val="20"/>
              </w:rPr>
              <w:t xml:space="preserve"> </w:t>
            </w:r>
          </w:p>
        </w:tc>
        <w:tc>
          <w:tcPr>
            <w:tcW w:w="1417" w:type="dxa"/>
            <w:gridSpan w:val="2"/>
          </w:tcPr>
          <w:p w14:paraId="09703EC4" w14:textId="77777777" w:rsidR="00D16970" w:rsidRPr="009A7518" w:rsidRDefault="00D16970" w:rsidP="00B967CB">
            <w:pPr>
              <w:spacing w:line="276" w:lineRule="auto"/>
              <w:contextualSpacing/>
              <w:rPr>
                <w:rFonts w:cs="Times New Roman"/>
                <w:color w:val="000000"/>
                <w:sz w:val="20"/>
                <w:szCs w:val="20"/>
                <w:shd w:val="clear" w:color="auto" w:fill="FFFFFF"/>
              </w:rPr>
            </w:pPr>
            <w:r w:rsidRPr="009A7518">
              <w:rPr>
                <w:rFonts w:cs="Times New Roman"/>
                <w:color w:val="000000"/>
                <w:sz w:val="20"/>
                <w:szCs w:val="20"/>
                <w:shd w:val="clear" w:color="auto" w:fill="FFFFFF"/>
              </w:rPr>
              <w:t xml:space="preserve">Pooled safety analysis of 11 phase 2 and 3 trials, phase 3b clinical trials </w:t>
            </w:r>
          </w:p>
        </w:tc>
        <w:tc>
          <w:tcPr>
            <w:tcW w:w="1276" w:type="dxa"/>
            <w:gridSpan w:val="2"/>
          </w:tcPr>
          <w:p w14:paraId="322493E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404A252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5,680 OCR </w:t>
            </w:r>
          </w:p>
        </w:tc>
        <w:tc>
          <w:tcPr>
            <w:tcW w:w="1134" w:type="dxa"/>
            <w:gridSpan w:val="2"/>
          </w:tcPr>
          <w:p w14:paraId="77806A7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2008-2020 </w:t>
            </w:r>
          </w:p>
        </w:tc>
        <w:tc>
          <w:tcPr>
            <w:tcW w:w="1559" w:type="dxa"/>
            <w:gridSpan w:val="2"/>
          </w:tcPr>
          <w:p w14:paraId="14821A0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OCR </w:t>
            </w:r>
          </w:p>
        </w:tc>
        <w:tc>
          <w:tcPr>
            <w:tcW w:w="2552" w:type="dxa"/>
            <w:gridSpan w:val="2"/>
          </w:tcPr>
          <w:p w14:paraId="5E2D1F23" w14:textId="675BA22B"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w:t>
            </w:r>
          </w:p>
          <w:p w14:paraId="04105C1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0.46 / 100py (95% CI 0.37–0.57)</w:t>
            </w:r>
          </w:p>
          <w:p w14:paraId="02A9475B" w14:textId="77777777" w:rsidR="00D16970" w:rsidRPr="009A7518" w:rsidRDefault="00D16970" w:rsidP="00B967CB">
            <w:pPr>
              <w:spacing w:line="276" w:lineRule="auto"/>
              <w:contextualSpacing/>
              <w:rPr>
                <w:rFonts w:cs="Times New Roman"/>
                <w:sz w:val="20"/>
                <w:szCs w:val="20"/>
              </w:rPr>
            </w:pPr>
          </w:p>
          <w:p w14:paraId="33232A9A"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672626CB"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3DAB2A3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 (cervical carcinoma stage II)</w:t>
            </w:r>
          </w:p>
          <w:p w14:paraId="6A7F4C1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 </w:t>
            </w:r>
          </w:p>
        </w:tc>
        <w:tc>
          <w:tcPr>
            <w:tcW w:w="2127" w:type="dxa"/>
            <w:gridSpan w:val="2"/>
          </w:tcPr>
          <w:p w14:paraId="309796A1" w14:textId="77777777" w:rsidR="00D16970" w:rsidRPr="009A7518" w:rsidRDefault="00D16970" w:rsidP="00B967CB">
            <w:pPr>
              <w:spacing w:line="276" w:lineRule="auto"/>
              <w:contextualSpacing/>
              <w:rPr>
                <w:rFonts w:cs="Times New Roman"/>
                <w:sz w:val="20"/>
                <w:szCs w:val="20"/>
              </w:rPr>
            </w:pPr>
          </w:p>
        </w:tc>
      </w:tr>
      <w:tr w:rsidR="00D16970" w:rsidRPr="009A7518" w14:paraId="65B62C9D" w14:textId="77777777" w:rsidTr="00BA7170">
        <w:tc>
          <w:tcPr>
            <w:tcW w:w="15310" w:type="dxa"/>
            <w:gridSpan w:val="17"/>
          </w:tcPr>
          <w:p w14:paraId="6D5EB798"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Alemtuzumab</w:t>
            </w:r>
          </w:p>
        </w:tc>
      </w:tr>
      <w:tr w:rsidR="00D16970" w:rsidRPr="009A7518" w14:paraId="7808C8AC" w14:textId="77777777" w:rsidTr="00BA7170">
        <w:tc>
          <w:tcPr>
            <w:tcW w:w="1560" w:type="dxa"/>
          </w:tcPr>
          <w:p w14:paraId="18DA808B" w14:textId="5F82F436"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Coles et al., 2008</w:t>
            </w:r>
            <w:r w:rsidRPr="009A7518">
              <w:rPr>
                <w:rFonts w:cs="Times New Roman"/>
                <w:sz w:val="20"/>
                <w:szCs w:val="20"/>
                <w:lang w:val="en-GB"/>
              </w:rPr>
              <w:fldChar w:fldCharType="begin"/>
            </w:r>
            <w:r w:rsidR="00B967CB">
              <w:rPr>
                <w:rFonts w:cs="Times New Roman"/>
                <w:sz w:val="20"/>
                <w:szCs w:val="20"/>
                <w:lang w:val="en-GB"/>
              </w:rPr>
              <w:instrText xml:space="preserve"> ADDIN ZOTERO_ITEM CSL_CITATION {"citationID":"4UU8fnOy","properties":{"formattedCitation":"(38)","plainCitation":"(38)","noteIndex":0},"citationItems":[{"id":915,"uris":["http://zotero.org/users/local/DBM3sz94/items/SVQ4TK8P"],"itemData":{"id":915,"type":"article-journal","abstract":"BACKGROUND: Alemtuzumab, a humanized monoclonal antibody that targets CD52 on lymphocytes and monocytes, may be an effective treatment for early multiple sclerosis.\nMETHODS: In this phase 2, randomized, blinded trial involving previously untreated, early, relapsing-remitting multiple sclerosis, we assigned 334 patients with scores of 3.0 or less on the Expanded Disability Status Scale and a disease duration of 3 years or less to receive either subcutaneous interferon beta-1a (at a dose of 44 microg) three times per week or annual intravenous cycles of alemtuzumab (at a dose of either 12 mg or 24 mg per day) for 36 months. In September 2005, alemtuzumab therapy was suspended after immune thrombocytopenic purpura developed in three patients, one of whom died. Treatment with interferon beta-1a continued throughout the study.\nRESULTS: Alemtuzumab significantly reduced the rate of sustained accumulation of disability, as compared with interferon beta-1a (9.0% vs. 26.2%; hazard ratio, 0.29; 95% confidence interval [CI], 0.16 to 0.54; P&lt;0.001) and the annualized rate of relapse (0.10 vs. 0.36; hazard ratio, 0.26; 95% CI, 0.16 to 0.41; P&lt;0.001). The mean disability score on a 10-point scale improved by 0.39 point in the alemtuzumab group and worsened by 0.38 point in the interferon beta-1a group (P&lt;0.001). In the alemtuzumab group, the lesion burden (as seen on T(2)-weighted magnetic resonance imaging) was reduced, as compared with that in the interferon beta-1a group (P=0.005). From month 12 to month 36, brain volume (as seen on T(1)-weighted magnetic resonance imaging) increased in the alemtuzumab group but decreased in the interferon beta-1a group (P=0.02). Adverse events in the alemtuzumab group, as compared with the interferon beta-1a group, included autoimmunity (thyroid disorders [23% vs. 3%] and immune thrombocytopenic purpura [3% vs. 1%]) and infections (66% vs. 47%). There were no significant differences in outcomes between the 12-mg dose and the 24-mg dose of alemtuzumab.\nCONCLUSIONS: In patients with early, relapsing-remitting multiple sclerosis, alemtuzumab was more effective than interferon beta-1a but was associated with autoimmunity, most seriously manifesting as immune thrombocytopenic purpura. The study was not powered to identify uncommon adverse events. (ClinicalTrials.gov number, NCT00050778.)","container-title":"The New England Journal of Medicine","DOI":"10.1056/NEJMoa0802670","ISSN":"1533-4406","issue":"17","journalAbbreviation":"N Engl J Med","language":"eng","note":"PMID: 18946064","page":"1786-1801","source":"PubMed","title":"Alemtuzumab vs. interferon beta-1a in early multiple sclerosis","volume":"359","author":[{"literal":"CAMMS223 Trial Investigators"},{"family":"Coles","given":"Alasdair J."},{"family":"Compston","given":"D. Alastair S."},{"family":"Selmaj","given":"Krzysztof W."},{"family":"Lake","given":"Stephen L."},{"family":"Moran","given":"Susan"},{"family":"Margolin","given":"David H."},{"family":"Norris","given":"Kim"},{"family":"Tandon","given":"P. K."}],"issued":{"date-parts":[["2008",10,23]]}}}],"schema":"https://github.com/citation-style-language/schema/raw/master/csl-citation.json"} </w:instrText>
            </w:r>
            <w:r w:rsidRPr="009A7518">
              <w:rPr>
                <w:rFonts w:cs="Times New Roman"/>
                <w:sz w:val="20"/>
                <w:szCs w:val="20"/>
                <w:lang w:val="en-GB"/>
              </w:rPr>
              <w:fldChar w:fldCharType="separate"/>
            </w:r>
            <w:r w:rsidR="00B967CB">
              <w:rPr>
                <w:rFonts w:cs="Times New Roman"/>
                <w:sz w:val="20"/>
                <w:lang w:val="en-GB"/>
              </w:rPr>
              <w:t>(38)</w:t>
            </w:r>
            <w:r w:rsidRPr="009A7518">
              <w:rPr>
                <w:rFonts w:cs="Times New Roman"/>
                <w:sz w:val="20"/>
                <w:szCs w:val="20"/>
                <w:lang w:val="en-GB"/>
              </w:rPr>
              <w:fldChar w:fldCharType="end"/>
            </w:r>
            <w:r w:rsidRPr="009A7518">
              <w:rPr>
                <w:rFonts w:cs="Times New Roman"/>
                <w:sz w:val="20"/>
                <w:szCs w:val="20"/>
                <w:lang w:val="en-GB"/>
              </w:rPr>
              <w:t xml:space="preserve"> </w:t>
            </w:r>
          </w:p>
          <w:p w14:paraId="1182117E" w14:textId="77777777" w:rsidR="00D16970" w:rsidRPr="009A7518" w:rsidRDefault="00D16970" w:rsidP="00B967CB">
            <w:pPr>
              <w:spacing w:line="276" w:lineRule="auto"/>
              <w:contextualSpacing/>
              <w:rPr>
                <w:rFonts w:cs="Times New Roman"/>
                <w:sz w:val="20"/>
                <w:szCs w:val="20"/>
                <w:lang w:val="en-GB"/>
              </w:rPr>
            </w:pPr>
          </w:p>
          <w:p w14:paraId="45E5BCB4"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CAMMS223</w:t>
            </w:r>
          </w:p>
          <w:p w14:paraId="19852C7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lang w:val="en-GB"/>
              </w:rPr>
              <w:t xml:space="preserve">NCT00050778 </w:t>
            </w:r>
          </w:p>
        </w:tc>
        <w:tc>
          <w:tcPr>
            <w:tcW w:w="1417" w:type="dxa"/>
            <w:gridSpan w:val="2"/>
          </w:tcPr>
          <w:p w14:paraId="2508B537" w14:textId="77777777" w:rsidR="00D16970" w:rsidRPr="00AF230F" w:rsidRDefault="00D16970" w:rsidP="00B967CB">
            <w:pPr>
              <w:pStyle w:val="NormalWeb"/>
              <w:spacing w:line="276" w:lineRule="auto"/>
              <w:contextualSpacing/>
              <w:rPr>
                <w:sz w:val="20"/>
                <w:szCs w:val="20"/>
              </w:rPr>
            </w:pPr>
            <w:r w:rsidRPr="00AF230F">
              <w:rPr>
                <w:sz w:val="20"/>
                <w:szCs w:val="20"/>
              </w:rPr>
              <w:t xml:space="preserve">Phase 2 </w:t>
            </w:r>
            <w:proofErr w:type="spellStart"/>
            <w:r>
              <w:rPr>
                <w:sz w:val="20"/>
                <w:szCs w:val="20"/>
              </w:rPr>
              <w:t>randomised</w:t>
            </w:r>
            <w:proofErr w:type="spellEnd"/>
            <w:r w:rsidRPr="00AF230F">
              <w:rPr>
                <w:sz w:val="20"/>
                <w:szCs w:val="20"/>
              </w:rPr>
              <w:t xml:space="preserve">, blinded trial </w:t>
            </w:r>
          </w:p>
          <w:p w14:paraId="5A1CD7D8" w14:textId="77777777" w:rsidR="00D16970" w:rsidRPr="009A7518" w:rsidRDefault="00D16970" w:rsidP="00B967CB">
            <w:pPr>
              <w:spacing w:line="276" w:lineRule="auto"/>
              <w:contextualSpacing/>
              <w:rPr>
                <w:rFonts w:cs="Times New Roman"/>
                <w:sz w:val="20"/>
                <w:szCs w:val="20"/>
              </w:rPr>
            </w:pPr>
          </w:p>
        </w:tc>
        <w:tc>
          <w:tcPr>
            <w:tcW w:w="1276" w:type="dxa"/>
            <w:gridSpan w:val="2"/>
          </w:tcPr>
          <w:p w14:paraId="1F9163A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r w:rsidRPr="009A7518">
              <w:rPr>
                <w:rFonts w:cs="Times New Roman"/>
                <w:sz w:val="20"/>
                <w:szCs w:val="20"/>
              </w:rPr>
              <w:t xml:space="preserve"> </w:t>
            </w:r>
          </w:p>
        </w:tc>
        <w:tc>
          <w:tcPr>
            <w:tcW w:w="1276" w:type="dxa"/>
            <w:gridSpan w:val="2"/>
          </w:tcPr>
          <w:p w14:paraId="27A8732E" w14:textId="77777777" w:rsidR="00D16970" w:rsidRPr="00AF230F" w:rsidRDefault="00D16970" w:rsidP="00B967CB">
            <w:pPr>
              <w:pStyle w:val="NormalWeb"/>
              <w:spacing w:line="276" w:lineRule="auto"/>
              <w:contextualSpacing/>
              <w:rPr>
                <w:sz w:val="20"/>
                <w:szCs w:val="20"/>
              </w:rPr>
            </w:pPr>
            <w:r w:rsidRPr="00AF230F">
              <w:rPr>
                <w:sz w:val="20"/>
                <w:szCs w:val="20"/>
              </w:rPr>
              <w:t>334 patients</w:t>
            </w:r>
          </w:p>
          <w:p w14:paraId="04577512" w14:textId="77777777" w:rsidR="00D16970" w:rsidRPr="00AF230F" w:rsidRDefault="00D16970" w:rsidP="00B967CB">
            <w:pPr>
              <w:pStyle w:val="NormalWeb"/>
              <w:spacing w:line="276" w:lineRule="auto"/>
              <w:contextualSpacing/>
              <w:rPr>
                <w:sz w:val="20"/>
                <w:szCs w:val="20"/>
              </w:rPr>
            </w:pPr>
            <w:r w:rsidRPr="00AF230F">
              <w:rPr>
                <w:sz w:val="20"/>
                <w:szCs w:val="20"/>
              </w:rPr>
              <w:t xml:space="preserve">216 Alemtuzumab </w:t>
            </w:r>
          </w:p>
          <w:p w14:paraId="2A32E059" w14:textId="77777777" w:rsidR="00D16970" w:rsidRPr="00AF230F" w:rsidRDefault="00D16970" w:rsidP="00B967CB">
            <w:pPr>
              <w:pStyle w:val="NormalWeb"/>
              <w:spacing w:line="276" w:lineRule="auto"/>
              <w:contextualSpacing/>
              <w:rPr>
                <w:sz w:val="20"/>
                <w:szCs w:val="20"/>
              </w:rPr>
            </w:pPr>
            <w:r w:rsidRPr="00AF230F">
              <w:rPr>
                <w:sz w:val="20"/>
                <w:szCs w:val="20"/>
              </w:rPr>
              <w:t>118</w:t>
            </w:r>
          </w:p>
          <w:p w14:paraId="7CD581A2" w14:textId="77777777" w:rsidR="00D16970" w:rsidRPr="00AF230F" w:rsidRDefault="00D16970" w:rsidP="00B967CB">
            <w:pPr>
              <w:pStyle w:val="NormalWeb"/>
              <w:spacing w:line="276" w:lineRule="auto"/>
              <w:contextualSpacing/>
              <w:rPr>
                <w:sz w:val="20"/>
                <w:szCs w:val="20"/>
              </w:rPr>
            </w:pPr>
            <w:r w:rsidRPr="00AF230F">
              <w:rPr>
                <w:sz w:val="20"/>
                <w:szCs w:val="20"/>
              </w:rPr>
              <w:t xml:space="preserve">Interferon 1beta </w:t>
            </w:r>
          </w:p>
          <w:p w14:paraId="25DB12BF" w14:textId="77777777" w:rsidR="00D16970" w:rsidRPr="009A7518" w:rsidRDefault="00D16970" w:rsidP="00B967CB">
            <w:pPr>
              <w:spacing w:line="276" w:lineRule="auto"/>
              <w:contextualSpacing/>
              <w:rPr>
                <w:rFonts w:cs="Times New Roman"/>
                <w:sz w:val="20"/>
                <w:szCs w:val="20"/>
              </w:rPr>
            </w:pPr>
          </w:p>
        </w:tc>
        <w:tc>
          <w:tcPr>
            <w:tcW w:w="1134" w:type="dxa"/>
            <w:gridSpan w:val="2"/>
          </w:tcPr>
          <w:p w14:paraId="606AFCA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2002-2004</w:t>
            </w:r>
          </w:p>
        </w:tc>
        <w:tc>
          <w:tcPr>
            <w:tcW w:w="1559" w:type="dxa"/>
            <w:gridSpan w:val="2"/>
          </w:tcPr>
          <w:p w14:paraId="036AA52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Alemtuzumab</w:t>
            </w:r>
          </w:p>
        </w:tc>
        <w:tc>
          <w:tcPr>
            <w:tcW w:w="2552" w:type="dxa"/>
            <w:gridSpan w:val="2"/>
          </w:tcPr>
          <w:p w14:paraId="2D4D8109" w14:textId="7C52D491"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 (n=)</w:t>
            </w:r>
          </w:p>
          <w:p w14:paraId="115C09E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Alemtuzumab</w:t>
            </w:r>
          </w:p>
          <w:p w14:paraId="12F43E9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0.0044 per person year </w:t>
            </w:r>
          </w:p>
          <w:p w14:paraId="3F1189E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(3)</w:t>
            </w:r>
          </w:p>
          <w:p w14:paraId="1EE56B52" w14:textId="77777777" w:rsidR="00D16970" w:rsidRPr="009A7518" w:rsidRDefault="00D16970" w:rsidP="00B967CB">
            <w:pPr>
              <w:spacing w:line="276" w:lineRule="auto"/>
              <w:contextualSpacing/>
              <w:rPr>
                <w:rFonts w:cs="Times New Roman"/>
                <w:sz w:val="20"/>
                <w:szCs w:val="20"/>
              </w:rPr>
            </w:pPr>
          </w:p>
          <w:p w14:paraId="6252E5E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 1 beta</w:t>
            </w:r>
          </w:p>
          <w:p w14:paraId="214BBDB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0.0036 per person year</w:t>
            </w:r>
          </w:p>
          <w:p w14:paraId="71B90E2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(1)</w:t>
            </w:r>
          </w:p>
        </w:tc>
        <w:tc>
          <w:tcPr>
            <w:tcW w:w="2409" w:type="dxa"/>
            <w:gridSpan w:val="2"/>
          </w:tcPr>
          <w:p w14:paraId="63611315"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 xml:space="preserve">n = </w:t>
            </w:r>
          </w:p>
          <w:p w14:paraId="1E2604E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Alemtuzumab </w:t>
            </w:r>
          </w:p>
          <w:p w14:paraId="339666C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p w14:paraId="2BF108B4" w14:textId="77777777" w:rsidR="00D16970" w:rsidRPr="009A7518" w:rsidRDefault="00D16970" w:rsidP="00B967CB">
            <w:pPr>
              <w:spacing w:line="276" w:lineRule="auto"/>
              <w:contextualSpacing/>
              <w:rPr>
                <w:rFonts w:cs="Times New Roman"/>
                <w:sz w:val="20"/>
                <w:szCs w:val="20"/>
              </w:rPr>
            </w:pPr>
          </w:p>
          <w:p w14:paraId="58E7AE4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Interferon-1beta </w:t>
            </w:r>
          </w:p>
          <w:p w14:paraId="4B154E7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No </w:t>
            </w:r>
          </w:p>
        </w:tc>
        <w:tc>
          <w:tcPr>
            <w:tcW w:w="2127" w:type="dxa"/>
            <w:gridSpan w:val="2"/>
          </w:tcPr>
          <w:p w14:paraId="0B708E1E" w14:textId="77777777" w:rsidR="00D16970" w:rsidRPr="009A7518" w:rsidRDefault="00D16970" w:rsidP="00B967CB">
            <w:pPr>
              <w:spacing w:line="276" w:lineRule="auto"/>
              <w:contextualSpacing/>
              <w:rPr>
                <w:rFonts w:cs="Times New Roman"/>
                <w:sz w:val="20"/>
                <w:szCs w:val="20"/>
              </w:rPr>
            </w:pPr>
          </w:p>
        </w:tc>
      </w:tr>
      <w:tr w:rsidR="00D16970" w:rsidRPr="009A7518" w14:paraId="4DB1BAC4" w14:textId="77777777" w:rsidTr="00BA7170">
        <w:tc>
          <w:tcPr>
            <w:tcW w:w="1560" w:type="dxa"/>
          </w:tcPr>
          <w:p w14:paraId="04075C09" w14:textId="4C880580" w:rsidR="00D16970" w:rsidRPr="009A7518" w:rsidRDefault="00D16970" w:rsidP="00B967CB">
            <w:pPr>
              <w:spacing w:line="276" w:lineRule="auto"/>
              <w:contextualSpacing/>
              <w:rPr>
                <w:rFonts w:cs="Times New Roman"/>
                <w:sz w:val="20"/>
                <w:szCs w:val="20"/>
              </w:rPr>
            </w:pPr>
            <w:r w:rsidRPr="009A7518">
              <w:rPr>
                <w:rFonts w:cs="Times New Roman"/>
                <w:sz w:val="20"/>
                <w:szCs w:val="20"/>
              </w:rPr>
              <w:t>Cohen et al, 2012</w:t>
            </w:r>
            <w:r w:rsidRPr="009A7518">
              <w:rPr>
                <w:rFonts w:cs="Times New Roman"/>
                <w:sz w:val="20"/>
                <w:szCs w:val="20"/>
              </w:rPr>
              <w:fldChar w:fldCharType="begin"/>
            </w:r>
            <w:r w:rsidR="00B967CB">
              <w:rPr>
                <w:rFonts w:cs="Times New Roman"/>
                <w:sz w:val="20"/>
                <w:szCs w:val="20"/>
              </w:rPr>
              <w:instrText xml:space="preserve"> ADDIN ZOTERO_ITEM CSL_CITATION {"citationID":"RGFNFd88","properties":{"formattedCitation":"(39)","plainCitation":"(39)","noteIndex":0},"citationItems":[{"id":689,"uris":["http://zotero.org/users/local/DBM3sz94/items/WF4DTEIH"],"itemData":{"id":689,"type":"article-journal","abstract":"Background\nThe anti-CD52 monoclonal antibody alemtuzumab reduced disease activity in a phase 2 trial of previously untreated patients with relapsing-remitting multiple sclerosis. We aimed to assess efficacy and safety of first-line alemtuzumab compared with interferon beta 1a in a phase 3 trial.\nMethods\nIn our 2 year, rater-masked, randomised controlled phase 3 trial, we enrolled adults aged 18–50 years with previously untreated relapsing-remitting multiple sclerosis. Eligible participants were randomly allocated in a 2:1 ratio by an interactive voice response system, stratified by site, to receive intravenous alemtuzumab 12 mg per day or subcutaneous interferon beta 1a 44 μg. Interferon beta 1a was given three-times per week and alemtuzumab was given once per day for 5 days at baseline and once per day for 3 days at 12 months. Coprimary endpoints were relapse rate and time to 6 month sustained accumulation of disability in all patients who received at least one dose of study drug. This study is registered with ClinicalTrials.gov, number NCT00530348.\nFindings\n187 (96%) of 195 patients randomly allocated interferon beta 1a and 376 (97%) of 386 patients randomly allocated alemtuzumab were included in the primary analyses. 75 (40%) patients in the interferon beta 1a group relapsed (122 events) compared with 82 (22%) patients in the alemtuzumab group (119 events; rate ratio 0·45 [95% CI 0·32–0·63]; p&lt;0.0001), corresponding to a 54·9% improvement with alemtuzumab. Based on Kaplan-Meier estimates, 59% of patients in the interferon beta 1a group were relapse-free at 2 years compared with 78% of patients in the alemtuzumab group (p&lt;0·0001). 20 (11%) of patients in the interferon beta 1a group had sustained accumulation of disability compared with 30 (8%) in the alemtuzumab group (hazard ratio 0·70 [95% CI 0·40–1·23]; p=0·22). 338 (90%) of patients in the alemtuzumab group had infusion-associated reactions; 12 (3%) of which were regarded as serious. Infections, predominantly of mild or moderate severity, occurred in 253 (67%) patients treated with alemtuzumab versus 85 (45%) patients treated with interferon beta 1a. 62 (16%) patients treated with alemtuzumab had herpes infections (predominantly cutaneous) compared with three (2%) patients treated with interferon beta 1a. By 24 months, 68 (18%) patients in the alemtuzumab group had thyroid-associated adverse events compared with 12 (6%) in the interferon beta 1a group, and three (1%) had immune thrombocytopenia compared with none in the interferon beta 1a group. Two patients in the alemtuzumab group developed thyroid papillary carcinoma.\nInterpretation\nAlemtuzumab's consistent safety profile and benefit in terms of reductions of relapse support its use for patients with previously untreated relapsing-remitting multiple sclerosis; however, benefit in terms of disability endpoints noted in previous trials was not observed here.\nFunding\nGenzyme (Sanofi) and Bayer Schering Pharma.","container-title":"The Lancet","DOI":"10.1016/S0140-6736(12)61769-3","ISSN":"0140-6736","issue":"9856","journalAbbreviation":"The Lancet","language":"en","page":"1819-1828","source":"ScienceDirect","title":"Alemtuzumab versus interferon beta 1a as first-line treatment for patients with relapsing-remitting multiple sclerosis: a randomised controlled phase 3 trial","title-short":"Alemtuzumab versus interferon beta 1a as first-line treatment for patients with relapsing-remitting multiple sclerosis","volume":"380","author":[{"family":"Cohen","given":"Jeffrey A"},{"family":"Coles","given":"Alasdair J"},{"family":"Arnold","given":"Douglas L"},{"family":"Confavreux","given":"Christian"},{"family":"Fox","given":"Edward J"},{"family":"Hartung","given":"Hans-Peter"},{"family":"Havrdova","given":"Eva"},{"family":"Selmaj","given":"Krzysztof W"},{"family":"Weiner","given":"Howard L"},{"family":"Fisher","given":"Elizabeth"},{"family":"Brinar","given":"Vesna V"},{"family":"Giovannoni","given":"Gavin"},{"family":"Stojanovic","given":"Miroslav"},{"family":"Ertik","given":"Bella I"},{"family":"Lake","given":"Stephen L"},{"family":"Margolin","given":"David H"},{"family":"Panzara","given":"Michael A"},{"family":"Compston","given":"D Alastair S"}],"issued":{"date-parts":[["2012",11,24]]}}}],"schema":"https://github.com/citation-style-language/schema/raw/master/csl-citation.json"}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(39)</w:t>
            </w:r>
            <w:r w:rsidRPr="009A7518">
              <w:rPr>
                <w:rFonts w:cs="Times New Roman"/>
                <w:sz w:val="20"/>
                <w:szCs w:val="20"/>
              </w:rPr>
              <w:fldChar w:fldCharType="end"/>
            </w:r>
            <w:r w:rsidRPr="009A7518">
              <w:rPr>
                <w:rFonts w:cs="Times New Roman"/>
                <w:sz w:val="20"/>
                <w:szCs w:val="20"/>
              </w:rPr>
              <w:t xml:space="preserve"> </w:t>
            </w:r>
          </w:p>
          <w:p w14:paraId="296267F7" w14:textId="77777777" w:rsidR="00D16970" w:rsidRPr="009A7518" w:rsidRDefault="00D16970" w:rsidP="00B967CB">
            <w:pPr>
              <w:spacing w:line="276" w:lineRule="auto"/>
              <w:contextualSpacing/>
              <w:rPr>
                <w:rFonts w:cs="Times New Roman"/>
                <w:sz w:val="20"/>
                <w:szCs w:val="20"/>
              </w:rPr>
            </w:pPr>
          </w:p>
          <w:p w14:paraId="3F3B260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CARE MS/</w:t>
            </w:r>
            <w:r w:rsidRPr="009A7518">
              <w:rPr>
                <w:rFonts w:cs="Times New Roman"/>
                <w:color w:val="000000"/>
                <w:sz w:val="20"/>
                <w:szCs w:val="20"/>
                <w:shd w:val="clear" w:color="auto" w:fill="FFFFFF"/>
              </w:rPr>
              <w:t xml:space="preserve"> CAMMS323</w:t>
            </w:r>
          </w:p>
          <w:p w14:paraId="5B2EB654" w14:textId="77777777" w:rsidR="00D16970" w:rsidRPr="009A7518" w:rsidRDefault="00D16970" w:rsidP="00B967CB">
            <w:pPr>
              <w:spacing w:line="276" w:lineRule="auto"/>
              <w:contextualSpacing/>
              <w:rPr>
                <w:rFonts w:cs="Times New Roman"/>
                <w:b/>
                <w:bCs/>
                <w:sz w:val="20"/>
                <w:szCs w:val="20"/>
              </w:rPr>
            </w:pPr>
            <w:r w:rsidRPr="009A7518">
              <w:rPr>
                <w:rFonts w:cs="Times New Roman"/>
                <w:sz w:val="20"/>
                <w:szCs w:val="20"/>
              </w:rPr>
              <w:t>NCT00530348</w:t>
            </w:r>
          </w:p>
        </w:tc>
        <w:tc>
          <w:tcPr>
            <w:tcW w:w="1417" w:type="dxa"/>
            <w:gridSpan w:val="2"/>
          </w:tcPr>
          <w:p w14:paraId="2A15A1E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 xml:space="preserve"> controlled trial</w:t>
            </w:r>
          </w:p>
        </w:tc>
        <w:tc>
          <w:tcPr>
            <w:tcW w:w="1276" w:type="dxa"/>
            <w:gridSpan w:val="2"/>
          </w:tcPr>
          <w:p w14:paraId="1AF148F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358976C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376 Alemtuzumab </w:t>
            </w:r>
          </w:p>
          <w:p w14:paraId="759EE04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187 Interferon beta 1a </w:t>
            </w:r>
          </w:p>
        </w:tc>
        <w:tc>
          <w:tcPr>
            <w:tcW w:w="1134" w:type="dxa"/>
            <w:gridSpan w:val="2"/>
          </w:tcPr>
          <w:p w14:paraId="6B0FB74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2007-2009</w:t>
            </w:r>
          </w:p>
        </w:tc>
        <w:tc>
          <w:tcPr>
            <w:tcW w:w="1559" w:type="dxa"/>
            <w:gridSpan w:val="2"/>
          </w:tcPr>
          <w:p w14:paraId="54F7C9D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Alemtuzumab </w:t>
            </w:r>
          </w:p>
        </w:tc>
        <w:tc>
          <w:tcPr>
            <w:tcW w:w="2552" w:type="dxa"/>
            <w:gridSpan w:val="2"/>
          </w:tcPr>
          <w:p w14:paraId="4106C785"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3C211CA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Alemtuzumab </w:t>
            </w:r>
          </w:p>
          <w:p w14:paraId="5D55C6C7" w14:textId="2F603889" w:rsidR="00D16970" w:rsidRPr="00B967CB" w:rsidRDefault="00B967CB" w:rsidP="00B967CB">
            <w:pPr>
              <w:spacing w:line="276" w:lineRule="auto"/>
              <w:rPr>
                <w:sz w:val="20"/>
                <w:szCs w:val="20"/>
              </w:rPr>
            </w:pPr>
            <w:r>
              <w:rPr>
                <w:sz w:val="20"/>
                <w:szCs w:val="20"/>
              </w:rPr>
              <w:t>(</w:t>
            </w:r>
            <w:r w:rsidR="00D16970" w:rsidRPr="00B967CB">
              <w:rPr>
                <w:sz w:val="20"/>
                <w:szCs w:val="20"/>
              </w:rPr>
              <w:t xml:space="preserve">1%) </w:t>
            </w:r>
          </w:p>
          <w:p w14:paraId="3EB7A76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 beta1a</w:t>
            </w:r>
          </w:p>
          <w:p w14:paraId="269DA52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0 (0%)  </w:t>
            </w:r>
          </w:p>
        </w:tc>
        <w:tc>
          <w:tcPr>
            <w:tcW w:w="2409" w:type="dxa"/>
            <w:gridSpan w:val="2"/>
          </w:tcPr>
          <w:p w14:paraId="08D4E23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69F74227" w14:textId="77777777" w:rsidR="00D16970" w:rsidRPr="009A7518" w:rsidRDefault="00D16970" w:rsidP="00B967CB">
            <w:pPr>
              <w:spacing w:line="276" w:lineRule="auto"/>
              <w:contextualSpacing/>
              <w:rPr>
                <w:rFonts w:cs="Times New Roman"/>
                <w:sz w:val="20"/>
                <w:szCs w:val="20"/>
              </w:rPr>
            </w:pPr>
          </w:p>
        </w:tc>
      </w:tr>
      <w:tr w:rsidR="00D16970" w:rsidRPr="009A7518" w14:paraId="1A4A163B" w14:textId="77777777" w:rsidTr="00BA7170">
        <w:tc>
          <w:tcPr>
            <w:tcW w:w="1560" w:type="dxa"/>
          </w:tcPr>
          <w:p w14:paraId="3656E0EC" w14:textId="6192F1F2" w:rsidR="00D16970" w:rsidRPr="009A7518" w:rsidRDefault="00D16970" w:rsidP="00B967CB">
            <w:pPr>
              <w:spacing w:line="276" w:lineRule="auto"/>
              <w:contextualSpacing/>
              <w:rPr>
                <w:rFonts w:cs="Times New Roman"/>
                <w:sz w:val="20"/>
                <w:szCs w:val="20"/>
              </w:rPr>
            </w:pPr>
            <w:r w:rsidRPr="009A7518">
              <w:rPr>
                <w:rFonts w:cs="Times New Roman"/>
                <w:sz w:val="20"/>
                <w:szCs w:val="20"/>
              </w:rPr>
              <w:t>Coles et al., 2012</w:t>
            </w:r>
            <w:r w:rsidRPr="009A7518">
              <w:rPr>
                <w:rFonts w:cs="Times New Roman"/>
                <w:sz w:val="20"/>
                <w:szCs w:val="20"/>
              </w:rPr>
              <w:fldChar w:fldCharType="begin"/>
            </w:r>
            <w:r w:rsidR="00B967CB">
              <w:rPr>
                <w:rFonts w:cs="Times New Roman"/>
                <w:sz w:val="20"/>
                <w:szCs w:val="20"/>
              </w:rPr>
              <w:instrText xml:space="preserve"> ADDIN ZOTERO_ITEM CSL_CITATION {"citationID":"eebuF2y3","properties":{"formattedCitation":"(40)","plainCitation":"(40)","noteIndex":0},"citationItems":[{"id":693,"uris":["http://zotero.org/users/local/DBM3sz94/items/NQ3KJ3LS"],"itemData":{"id":693,"type":"article-journal","abstract":"Background\nThe anti-CD52 monoclonal antibody alemtuzumab reduces disease activity in previously untreated patients with relapsing-remitting multiple sclerosis. We aimed to assess efficacy and safety of alemtuzumab compared with interferon beta 1a in patients who have relapsed despite first-line treatment.\nMethods\nIn our 2 year, rater-masked, randomised controlled phase 3 trial, we enrolled adults aged 18–55 years with relapsing-remitting multiple sclerosis and at least one relapse on interferon beta or glatiramer. Eligible participants were randomly allocated in a 1:2:2 ratio by an interactive voice response system, stratified by site, to receive subcutaneous interferon beta 1a 44 μg, intravenous alemtuzumab 12 mg per day, or intravenous alemtuzumab 24 mg per day. Interferon beta 1a was given three-times per week and alemtuzumab was given once per day for 5 days at baseline and for 3 days at 12 months. The 24 mg per day group was discontinued to aid recruitment, but data are included for safety assessments. Coprimary endpoints were relapse rate and time to 6 month sustained accumulation of disability, comparing alemtuzumab 12 mg and interferon beta 1a in all patients who received at least one dose of study drug. This study is registered with ClinicalTrials.gov, number NCT00548405.\nFindings\n202 (87%) of 231 patients randomly allocated interferon beta 1a and 426 (98%) of 436 patients randomly allocated alemtuzumab 12 mg were included in the primary analyses. 104 (51%) patients in the interferon beta 1a group relapsed (201 events) compared with 147 (35%) patients in the alemtuzumab group (236 events; rate ratio 0·51 [95% CI 0·39–0·65]; p&lt;0·0001), corresponding to a 49·4% improvement with alemtuzumab. 94 (47%) patients in the interferon beta 1a group were relapse-free at 2 years compared with 278 (65%) patients in the alemtuzumab group (p&lt;0·0001). 40 (20%) patients in the interferon beta 1a group had sustained accumulation of disability compared with 54 (13%) in the alemtuzumab group (hazard ratio 0·58 [95% CI 0·38–0·87]; p=0·008), corresponding to a 42% improvement in the alemtuzumab group. For 435 patients allocated alemtuzumab 12 mg, 393 (90%) had infusion-associated reactions, 334 (77%) had infections (compared with 134 [66%] of 202 patients in the interferon beta 1a group) that were mostly mild-moderate with none fatal, 69 (16%) had thyroid disorders, and three (1%) had immune thrombocytopenia.\nInterpretation\nFor patients with first-line treatment-refractory relapsing-remitting multiple sclerosis, alemtuzumab could be used to reduce relapse rates and sustained accumulation of disability. Suitable risk management strategies allow for early identification of alemtuzumab's main adverse effect of secondary autoimmunity.\nFunding\nGenzyme (Sanofi) and Bayer Schering Pharma.","container-title":"The Lancet","DOI":"10.1016/S0140-6736(12)61768-1","ISSN":"0140-6736","issue":"9856","journalAbbreviation":"The Lancet","language":"en","page":"1829-1839","source":"ScienceDirect","title":"Alemtuzumab for patients with relapsing multiple sclerosis after disease-modifying therapy: a randomised controlled phase 3 trial","title-short":"Alemtuzumab for patients with relapsing multiple sclerosis after disease-modifying therapy","volume":"380","author":[{"family":"Coles","given":"Alasdair J"},{"family":"Twyman","given":"Cary L"},{"family":"Arnold","given":"Douglas L"},{"family":"Cohen","given":"Jeffrey A"},{"family":"Confavreux","given":"Christian"},{"family":"Fox","given":"Edward J"},{"family":"Hartung","given":"Hans-Peter"},{"family":"Havrdova","given":"Eva"},{"family":"Selmaj","given":"Krzysztof W"},{"family":"Weiner","given":"Howard L"},{"family":"Miller","given":"Tamara"},{"family":"Fisher","given":"Elizabeth"},{"family":"Sandbrink","given":"Rupert"},{"family":"Lake","given":"Stephen L"},{"family":"Margolin","given":"David H"},{"family":"Oyuela","given":"Pedro"},{"family":"Panzara","given":"Michael A"},{"family":"Compston","given":"D Alastair S"}],"issued":{"date-parts":[["2012",11,24]]}}}],"schema":"https://github.com/citation-style-language/schema/raw/master/csl-citation.json"}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(40)</w:t>
            </w:r>
            <w:r w:rsidRPr="009A7518">
              <w:rPr>
                <w:rFonts w:cs="Times New Roman"/>
                <w:sz w:val="20"/>
                <w:szCs w:val="20"/>
              </w:rPr>
              <w:fldChar w:fldCharType="end"/>
            </w:r>
          </w:p>
          <w:p w14:paraId="3DFF90E8" w14:textId="77777777" w:rsidR="00D16970" w:rsidRPr="009A7518" w:rsidRDefault="00D16970" w:rsidP="00B967CB">
            <w:pPr>
              <w:spacing w:line="276" w:lineRule="auto"/>
              <w:contextualSpacing/>
              <w:rPr>
                <w:rFonts w:cs="Times New Roman"/>
                <w:sz w:val="20"/>
                <w:szCs w:val="20"/>
              </w:rPr>
            </w:pPr>
          </w:p>
          <w:p w14:paraId="1066DF9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CARE-MS II</w:t>
            </w:r>
          </w:p>
          <w:p w14:paraId="559C4606"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CAMMS324</w:t>
            </w:r>
          </w:p>
          <w:p w14:paraId="6737276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NCT00548405</w:t>
            </w:r>
          </w:p>
          <w:p w14:paraId="49F052DE" w14:textId="77777777" w:rsidR="00D16970" w:rsidRPr="009A7518" w:rsidRDefault="00D16970" w:rsidP="00B967CB">
            <w:pPr>
              <w:spacing w:line="276" w:lineRule="auto"/>
              <w:contextualSpacing/>
              <w:rPr>
                <w:rFonts w:cs="Times New Roman"/>
                <w:sz w:val="20"/>
                <w:szCs w:val="20"/>
              </w:rPr>
            </w:pPr>
          </w:p>
          <w:p w14:paraId="23A7F96C" w14:textId="77777777" w:rsidR="00D16970" w:rsidRPr="009A7518" w:rsidRDefault="00D16970" w:rsidP="00B967CB">
            <w:pPr>
              <w:spacing w:line="276" w:lineRule="auto"/>
              <w:contextualSpacing/>
              <w:rPr>
                <w:rFonts w:cs="Times New Roman"/>
                <w:sz w:val="20"/>
                <w:szCs w:val="20"/>
              </w:rPr>
            </w:pPr>
          </w:p>
        </w:tc>
        <w:tc>
          <w:tcPr>
            <w:tcW w:w="1417" w:type="dxa"/>
            <w:gridSpan w:val="2"/>
          </w:tcPr>
          <w:p w14:paraId="7E1877D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 xml:space="preserve"> controlled trial</w:t>
            </w:r>
          </w:p>
        </w:tc>
        <w:tc>
          <w:tcPr>
            <w:tcW w:w="1276" w:type="dxa"/>
            <w:gridSpan w:val="2"/>
          </w:tcPr>
          <w:p w14:paraId="0BBADB5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r w:rsidRPr="009A7518">
              <w:rPr>
                <w:rFonts w:cs="Times New Roman"/>
                <w:sz w:val="20"/>
                <w:szCs w:val="20"/>
              </w:rPr>
              <w:t xml:space="preserve"> </w:t>
            </w:r>
          </w:p>
        </w:tc>
        <w:tc>
          <w:tcPr>
            <w:tcW w:w="1276" w:type="dxa"/>
            <w:gridSpan w:val="2"/>
          </w:tcPr>
          <w:p w14:paraId="1A7C3BF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596 Alemtuzumab</w:t>
            </w:r>
          </w:p>
          <w:p w14:paraId="2B14690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202 Interferon beta 1a </w:t>
            </w:r>
          </w:p>
          <w:p w14:paraId="490D7779" w14:textId="77777777" w:rsidR="00D16970" w:rsidRPr="009A7518" w:rsidRDefault="00D16970" w:rsidP="00B967CB">
            <w:pPr>
              <w:spacing w:line="276" w:lineRule="auto"/>
              <w:contextualSpacing/>
              <w:rPr>
                <w:rFonts w:cs="Times New Roman"/>
                <w:sz w:val="20"/>
                <w:szCs w:val="20"/>
              </w:rPr>
            </w:pPr>
          </w:p>
        </w:tc>
        <w:tc>
          <w:tcPr>
            <w:tcW w:w="1134" w:type="dxa"/>
            <w:gridSpan w:val="2"/>
          </w:tcPr>
          <w:p w14:paraId="24AD3F9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2007-2009</w:t>
            </w:r>
          </w:p>
        </w:tc>
        <w:tc>
          <w:tcPr>
            <w:tcW w:w="1559" w:type="dxa"/>
            <w:gridSpan w:val="2"/>
          </w:tcPr>
          <w:p w14:paraId="256C52A7"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Alemtuzumab</w:t>
            </w:r>
          </w:p>
        </w:tc>
        <w:tc>
          <w:tcPr>
            <w:tcW w:w="2552" w:type="dxa"/>
            <w:gridSpan w:val="2"/>
          </w:tcPr>
          <w:p w14:paraId="47AB9441"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1C63555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Alemtuzumab </w:t>
            </w:r>
          </w:p>
          <w:p w14:paraId="29CC8D6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5 </w:t>
            </w:r>
          </w:p>
          <w:p w14:paraId="275A13E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Interferon beta 1a</w:t>
            </w:r>
          </w:p>
          <w:p w14:paraId="45BAF43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 </w:t>
            </w:r>
          </w:p>
          <w:p w14:paraId="3038A825"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0897611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3273A9E9" w14:textId="77777777" w:rsidR="00D16970" w:rsidRPr="009A7518" w:rsidRDefault="00D16970" w:rsidP="00B967CB">
            <w:pPr>
              <w:spacing w:line="276" w:lineRule="auto"/>
              <w:contextualSpacing/>
              <w:rPr>
                <w:rFonts w:cs="Times New Roman"/>
                <w:sz w:val="20"/>
                <w:szCs w:val="20"/>
              </w:rPr>
            </w:pPr>
          </w:p>
        </w:tc>
      </w:tr>
      <w:tr w:rsidR="00D16970" w:rsidRPr="009A7518" w14:paraId="7A36A453" w14:textId="77777777" w:rsidTr="00BA7170">
        <w:tc>
          <w:tcPr>
            <w:tcW w:w="1560" w:type="dxa"/>
          </w:tcPr>
          <w:p w14:paraId="27438CF5" w14:textId="31D362B5" w:rsidR="00D16970" w:rsidRPr="009A7518" w:rsidRDefault="00D16970" w:rsidP="00B967CB">
            <w:pPr>
              <w:spacing w:line="276" w:lineRule="auto"/>
              <w:contextualSpacing/>
              <w:rPr>
                <w:rFonts w:cs="Times New Roman"/>
                <w:sz w:val="20"/>
                <w:szCs w:val="20"/>
              </w:rPr>
            </w:pPr>
            <w:r w:rsidRPr="009A7518">
              <w:rPr>
                <w:rFonts w:cs="Times New Roman"/>
                <w:sz w:val="20"/>
                <w:szCs w:val="20"/>
              </w:rPr>
              <w:lastRenderedPageBreak/>
              <w:t>Coles et al., 2017</w:t>
            </w:r>
            <w:r w:rsidRPr="009A7518">
              <w:rPr>
                <w:rFonts w:cs="Times New Roman"/>
                <w:sz w:val="20"/>
                <w:szCs w:val="20"/>
              </w:rPr>
              <w:fldChar w:fldCharType="begin"/>
            </w:r>
            <w:r w:rsidR="00B967CB">
              <w:rPr>
                <w:rFonts w:cs="Times New Roman"/>
                <w:sz w:val="20"/>
                <w:szCs w:val="20"/>
              </w:rPr>
              <w:instrText xml:space="preserve"> ADDIN ZOTERO_ITEM CSL_CITATION {"citationID":"Lhvy9oGJ","properties":{"formattedCitation":"(41)","plainCitation":"(41)","noteIndex":0},"citationItems":[{"id":909,"uris":["http://zotero.org/users/local/DBM3sz94/items/RQ9Q77DC"],"itemData":{"id":909,"type":"article-journal","abstract":"Objective: To evaluate 5-year efficacy and safety of alemtuzumab in patients with active relapsing-remitting multiple sclerosis and inadequate response to prior therapy.\nMethods: In the 2-year Comparison of Alemtuzumab and Rebif Efficacy in Multiple Sclerosis (CARE-MS) II study (NCT00548405), alemtuzumab-treated patients received 2 courses (baseline and 12 months later). Patients could enter an extension (NCT00930553), with as-needed alemtuzumab retreatment for relapse or MRI activity. Annualized relapse rate (ARR), 6-month confirmed disability worsening (CDW; ≥1-point Expanded Disability Status Scale [EDSS] score increase [≥1.5 if baseline EDSS = 0]), 6-month confirmed disability improvement (CDI; ≥1-point EDSS decrease [baseline score ≥2.0]), no evidence of disease activity (NEDA), brain volume loss (BVL), and adverse events (AEs) were assessed.\nResults: Most alemtuzumab-treated patients (92.9%) who completed CARE-MS II entered the extension; 59.8% received no alemtuzumab retreatment. ARR was low in each extension year (years 3–5: 0.22, 0.23, 0.18). Through 5 years, 75.1% of patients were free of 6-month CDW; 42.9% achieved 6-month CDI. In years 3, 4, and 5, proportions with NEDA were 52.9%, 54.2%, and 58.2%, respectively. Median yearly BVL remained low in the extension (years 1–5: −0.48%, −0.22%, −0.10%, −0.19%, −0.07%). AE exposure-adjusted incidence rates in the extension were lower than in the core study. Thyroid disorders peaked at year 3, declining thereafter.\nConclusions: Alemtuzumab provides durable efficacy through 5 years in patients with an inadequate response to prior therapy in the absence of continuous treatment.\nClassification of evidence: This study provides Class III evidence that alemtuzumab provides efficacy and slowing of brain atrophy through 5 years.","container-title":"Neurology","DOI":"10.1212/WNL.0000000000004354","ISSN":"0028-3878, 1526-632X","issue":"11","language":"en","license":"Copyright © 2017 The Author(s). Published by Wolters Kluwer Health, Inc. on behalf of the American Academy of Neurology. This is an open access article distributed under the terms of the Creative Commons Attribution-NonCommercial-NoDerivatives License 4.0 (CC BY-NC-ND), which permits downloading and sharing the work provided it is properly cited. The work cannot be changed in any way or used commercially without permission from the journal.","note":"publisher: Wolters Kluwer Health, Inc. on behalf of the American Academy of Neurology\nsection: Article\nPMID: 28835403","page":"1117-1126","source":"n.neurology.org","title":"Alemtuzumab CARE-MS II 5-year follow-up: Efficacy and safety findings","title-short":"Alemtuzumab CARE-MS II 5-year follow-up","volume":"89","author":[{"family":"Coles","given":"Alasdair J."},{"family":"Cohen","given":"Jeffrey A."},{"family":"Fox","given":"Edward J."},{"family":"Giovannoni","given":"Gavin"},{"family":"Hartung","given":"Hans-Peter"},{"family":"Havrdova","given":"Eva"},{"family":"Schippling","given":"Sven"},{"family":"Selmaj","given":"Krzysztof W."},{"family":"Traboulsee","given":"Anthony"},{"family":"Compston","given":"D. Alastair S."},{"family":"Margolin","given":"David H."},{"family":"Thangavelu","given":"Karthinathan"},{"family":"Chirieac","given":"Madalina C."},{"family":"Jody","given":"Darlene"},{"family":"Xenopoulos","given":"Panos"},{"family":"Hogan","given":"Richard J."},{"family":"Panzara","given":"Michael A."},{"family":"Arnold","given":"Douglas L."}],"issued":{"date-parts":[["2017",9,12]]}}}],"schema":"https://github.com/citation-style-language/schema/raw/master/csl-citation.json"} </w:instrText>
            </w:r>
            <w:r w:rsidRPr="009A7518">
              <w:rPr>
                <w:rFonts w:cs="Times New Roman"/>
                <w:sz w:val="20"/>
                <w:szCs w:val="20"/>
              </w:rPr>
              <w:fldChar w:fldCharType="separate"/>
            </w:r>
            <w:r w:rsidR="00B967CB">
              <w:rPr>
                <w:rFonts w:cs="Times New Roman"/>
                <w:sz w:val="20"/>
                <w:lang w:val="en-GB"/>
              </w:rPr>
              <w:t>(41)</w:t>
            </w:r>
            <w:r w:rsidRPr="009A7518">
              <w:rPr>
                <w:rFonts w:cs="Times New Roman"/>
                <w:sz w:val="20"/>
                <w:szCs w:val="20"/>
              </w:rPr>
              <w:fldChar w:fldCharType="end"/>
            </w:r>
          </w:p>
          <w:p w14:paraId="65835D55" w14:textId="77777777" w:rsidR="00D16970" w:rsidRPr="009A7518" w:rsidRDefault="00D16970" w:rsidP="00B967CB">
            <w:pPr>
              <w:spacing w:line="276" w:lineRule="auto"/>
              <w:contextualSpacing/>
              <w:rPr>
                <w:rFonts w:cs="Times New Roman"/>
                <w:sz w:val="20"/>
                <w:szCs w:val="20"/>
              </w:rPr>
            </w:pPr>
          </w:p>
          <w:p w14:paraId="7BA066E8" w14:textId="77777777" w:rsidR="00D16970" w:rsidRPr="009A7518" w:rsidRDefault="00D16970" w:rsidP="00B967CB">
            <w:pPr>
              <w:spacing w:line="276" w:lineRule="auto"/>
              <w:contextualSpacing/>
              <w:rPr>
                <w:rFonts w:cs="Times New Roman"/>
                <w:sz w:val="20"/>
                <w:szCs w:val="20"/>
              </w:rPr>
            </w:pPr>
          </w:p>
          <w:p w14:paraId="5398DB19"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 xml:space="preserve">CARE-MS II Extension </w:t>
            </w:r>
          </w:p>
          <w:p w14:paraId="2A1A41FF" w14:textId="77777777" w:rsidR="00D16970" w:rsidRPr="009A7518" w:rsidRDefault="00D16970" w:rsidP="00B967CB">
            <w:pPr>
              <w:spacing w:line="276" w:lineRule="auto"/>
              <w:contextualSpacing/>
              <w:rPr>
                <w:rFonts w:cs="Times New Roman"/>
                <w:sz w:val="20"/>
                <w:szCs w:val="20"/>
              </w:rPr>
            </w:pPr>
          </w:p>
          <w:p w14:paraId="4C62AD66"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rPr>
              <w:t>NCT00930553</w:t>
            </w:r>
          </w:p>
        </w:tc>
        <w:tc>
          <w:tcPr>
            <w:tcW w:w="1417" w:type="dxa"/>
            <w:gridSpan w:val="2"/>
          </w:tcPr>
          <w:p w14:paraId="00A31320"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Extension study of</w:t>
            </w:r>
          </w:p>
          <w:p w14:paraId="0B2169C7" w14:textId="77777777" w:rsidR="00D16970" w:rsidRPr="009A7518" w:rsidRDefault="00D16970" w:rsidP="00B967CB">
            <w:pPr>
              <w:spacing w:line="276" w:lineRule="auto"/>
              <w:contextualSpacing/>
              <w:rPr>
                <w:rFonts w:cs="Times New Roman"/>
                <w:sz w:val="20"/>
                <w:szCs w:val="20"/>
              </w:rPr>
            </w:pPr>
            <w:r w:rsidRPr="009A7518">
              <w:rPr>
                <w:rFonts w:cs="Times New Roman"/>
                <w:color w:val="000000"/>
                <w:sz w:val="20"/>
                <w:szCs w:val="20"/>
                <w:shd w:val="clear" w:color="auto" w:fill="FFFFFF"/>
              </w:rPr>
              <w:t>CARE-MS II</w:t>
            </w:r>
          </w:p>
          <w:p w14:paraId="1BE39EC9" w14:textId="77777777" w:rsidR="00D16970" w:rsidRPr="00AF230F" w:rsidRDefault="00D16970" w:rsidP="00B967CB">
            <w:pPr>
              <w:pStyle w:val="NormalWeb"/>
              <w:spacing w:line="276" w:lineRule="auto"/>
              <w:contextualSpacing/>
              <w:rPr>
                <w:sz w:val="20"/>
                <w:szCs w:val="20"/>
              </w:rPr>
            </w:pPr>
          </w:p>
        </w:tc>
        <w:tc>
          <w:tcPr>
            <w:tcW w:w="1276" w:type="dxa"/>
            <w:gridSpan w:val="2"/>
          </w:tcPr>
          <w:p w14:paraId="064F397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285B2032" w14:textId="77777777" w:rsidR="00D16970" w:rsidRPr="00AF230F" w:rsidRDefault="00D16970" w:rsidP="00B967CB">
            <w:pPr>
              <w:pStyle w:val="NormalWeb"/>
              <w:spacing w:line="276" w:lineRule="auto"/>
              <w:contextualSpacing/>
              <w:rPr>
                <w:sz w:val="20"/>
                <w:szCs w:val="20"/>
              </w:rPr>
            </w:pPr>
            <w:r w:rsidRPr="00AF230F">
              <w:rPr>
                <w:sz w:val="20"/>
                <w:szCs w:val="20"/>
              </w:rPr>
              <w:t xml:space="preserve">435 Alemtuzumab </w:t>
            </w:r>
          </w:p>
        </w:tc>
        <w:tc>
          <w:tcPr>
            <w:tcW w:w="1134" w:type="dxa"/>
            <w:gridSpan w:val="2"/>
          </w:tcPr>
          <w:p w14:paraId="4AEED73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2009-2014</w:t>
            </w:r>
          </w:p>
        </w:tc>
        <w:tc>
          <w:tcPr>
            <w:tcW w:w="1559" w:type="dxa"/>
            <w:gridSpan w:val="2"/>
          </w:tcPr>
          <w:p w14:paraId="47C3789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Alemtuzumab</w:t>
            </w:r>
          </w:p>
        </w:tc>
        <w:tc>
          <w:tcPr>
            <w:tcW w:w="2552" w:type="dxa"/>
            <w:gridSpan w:val="2"/>
          </w:tcPr>
          <w:p w14:paraId="30F70B88" w14:textId="6C8EBE5C"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 (n=)</w:t>
            </w:r>
          </w:p>
          <w:p w14:paraId="10823AD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Post-treatment:</w:t>
            </w:r>
          </w:p>
          <w:p w14:paraId="6F18538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EAIR 0.2/ 100 </w:t>
            </w:r>
            <w:proofErr w:type="spellStart"/>
            <w:r w:rsidRPr="009A7518">
              <w:rPr>
                <w:rFonts w:cs="Times New Roman"/>
                <w:sz w:val="20"/>
                <w:szCs w:val="20"/>
              </w:rPr>
              <w:t>py</w:t>
            </w:r>
            <w:proofErr w:type="spellEnd"/>
            <w:r w:rsidRPr="009A7518">
              <w:rPr>
                <w:rFonts w:cs="Times New Roman"/>
                <w:sz w:val="20"/>
                <w:szCs w:val="20"/>
              </w:rPr>
              <w:t xml:space="preserve"> </w:t>
            </w:r>
          </w:p>
          <w:p w14:paraId="13491A7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 </w:t>
            </w:r>
          </w:p>
          <w:p w14:paraId="76891886" w14:textId="77777777" w:rsidR="00D16970" w:rsidRPr="009A7518" w:rsidRDefault="00D16970" w:rsidP="00B967CB">
            <w:pPr>
              <w:spacing w:line="276" w:lineRule="auto"/>
              <w:contextualSpacing/>
              <w:rPr>
                <w:rFonts w:cs="Times New Roman"/>
                <w:sz w:val="20"/>
                <w:szCs w:val="20"/>
              </w:rPr>
            </w:pPr>
          </w:p>
          <w:p w14:paraId="047ECFF5"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0FFCA67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6A8B39D6" w14:textId="77777777" w:rsidR="00D16970" w:rsidRPr="009A7518" w:rsidRDefault="00D16970" w:rsidP="00B967CB">
            <w:pPr>
              <w:spacing w:line="276" w:lineRule="auto"/>
              <w:contextualSpacing/>
              <w:rPr>
                <w:rFonts w:cs="Times New Roman"/>
                <w:sz w:val="20"/>
                <w:szCs w:val="20"/>
              </w:rPr>
            </w:pPr>
          </w:p>
        </w:tc>
      </w:tr>
      <w:tr w:rsidR="00D16970" w:rsidRPr="009A7518" w14:paraId="46D098B9" w14:textId="77777777" w:rsidTr="00BA7170">
        <w:tc>
          <w:tcPr>
            <w:tcW w:w="1560" w:type="dxa"/>
          </w:tcPr>
          <w:p w14:paraId="1D4AFF56" w14:textId="186FBBE1" w:rsidR="00D16970" w:rsidRPr="009A7518" w:rsidRDefault="00D16970" w:rsidP="00B967CB">
            <w:pPr>
              <w:spacing w:line="276" w:lineRule="auto"/>
              <w:contextualSpacing/>
              <w:rPr>
                <w:rFonts w:cs="Times New Roman"/>
                <w:sz w:val="20"/>
                <w:szCs w:val="20"/>
                <w:lang w:val="en-GB"/>
              </w:rPr>
            </w:pPr>
            <w:proofErr w:type="spellStart"/>
            <w:r w:rsidRPr="009A7518">
              <w:rPr>
                <w:rFonts w:cs="Times New Roman"/>
                <w:sz w:val="20"/>
                <w:szCs w:val="20"/>
                <w:lang w:val="en-GB"/>
              </w:rPr>
              <w:t>Steingo</w:t>
            </w:r>
            <w:proofErr w:type="spellEnd"/>
            <w:r w:rsidRPr="009A7518">
              <w:rPr>
                <w:rFonts w:cs="Times New Roman"/>
                <w:sz w:val="20"/>
                <w:szCs w:val="20"/>
                <w:lang w:val="en-GB"/>
              </w:rPr>
              <w:t xml:space="preserve"> et al et al., 2020</w:t>
            </w:r>
            <w:r w:rsidRPr="009A7518">
              <w:rPr>
                <w:rFonts w:cs="Times New Roman"/>
                <w:sz w:val="20"/>
                <w:szCs w:val="20"/>
                <w:lang w:val="en-GB"/>
              </w:rPr>
              <w:fldChar w:fldCharType="begin"/>
            </w:r>
            <w:r w:rsidR="00B967CB">
              <w:rPr>
                <w:rFonts w:cs="Times New Roman"/>
                <w:sz w:val="20"/>
                <w:szCs w:val="20"/>
                <w:lang w:val="en-GB"/>
              </w:rPr>
              <w:instrText xml:space="preserve"> ADDIN ZOTERO_ITEM CSL_CITATION {"citationID":"BZQl8f5Y","properties":{"formattedCitation":"(42)","plainCitation":"(42)","noteIndex":0},"citationItems":[{"id":219,"uris":["http://zotero.org/users/local/DBM3sz94/items/RG2FCJBD"],"itemData":{"id":219,"type":"article-journal","abstract":"BACKGROUND: In the phase 2 CAMMS223 trial (NCT00050778), alemtuzumab significantly improved clinical and MRI outcomes versus subcutaneous interferon beta-1a over 3 years in treatment-naive patients with relapsing-remitting MS. Here, we assess efficacy and safety of alemtuzumab over 12 years in CAMMS223 patients who enrolled in the CAMMS03409 extension (NCT00930553), with available follow-up through the subsequent TOPAZ extension (NCT02255656).\nMETHODS: In CAMMS223, patients received 2 alemtuzumab courses (12 mg/day; baseline: 5 days; 12 months later: 3 days); 22% received a third course. In the open-label, nonrandomized extensions, patients could receive as-needed additional alemtuzumab or other disease-modifying therapies.\nRESULTS: Of 108 alemtuzumab-treated patients in CAMMS223, 60 entered the CAMMS03409 extension; 33% received a total of 2 alemtuzumab courses, and 73% received no more than 3 courses through Year 12. Over 12 years, annualized relapse rate was 0.09, 71% of patients had stable or improved Expanded Disability Status Scale scores, and 69% were free of 6-month confirmed disability worsening. In Year 12, 73% of patients were free of MRI disease activity. Cumulatively throughout the extensions (Years 7-12), 34% of patients had no evidence of disease activity. Adverse event (AE) incidence declined through Year 12. Infusion-associated reactions peaked at first course and declined thereafter. Cumulative thyroid AE incidence was 50%; one immune thrombocytopenia event occurred, and there were no autoimmune nephropathy cases.\nCONCLUSIONS: Alemtuzumab efficacy was maintained over 12 years in CAMMS223 patients, with 73% receiving no more than three courses. The safety profile in this cohort was consistent with other alemtuzumab clinical trials.","container-title":"Journal of Neurology","DOI":"10.1007/s00415-020-09983-1","ISSN":"1432-1459","issue":"11","journalAbbreviation":"J Neurol","language":"eng","note":"PMID: 32583052\nPMCID: PMC7578137","page":"3343-3353","source":"PubMed","title":"Long-term efficacy and safety of alemtuzumab in patients with RRMS: 12-year follow-up of CAMMS223","title-short":"Long-term efficacy and safety of alemtuzumab in patients with RRMS","volume":"267","author":[{"family":"Steingo","given":"Brian"},{"family":"Al Malik","given":"Yaser"},{"family":"Bass","given":"Ann D."},{"family":"Berkovich","given":"Regina"},{"family":"Carraro","given":"Matthew"},{"family":"Fernández","given":"Óscar"},{"family":"Ionete","given":"Carolina"},{"family":"Massacesi","given":"Luca"},{"family":"Meuth","given":"Sven G."},{"family":"Mitsikostas","given":"Dimos D."},{"family":"Pardo","given":"Gabriel"},{"family":"Simm","given":"Renata Faria"},{"family":"Traboulsee","given":"Anthony"},{"family":"Choudhry","given":"Zia"},{"family":"Daizadeh","given":"Nadia"},{"family":"Compston","given":"D. Alastair S."},{"literal":"CAMMS223, CAMMS03409, and TOPAZ Investigators"}],"issued":{"date-parts":[["2020",11]]}}}],"schema":"https://github.com/citation-style-language/schema/raw/master/csl-citation.json"} </w:instrText>
            </w:r>
            <w:r w:rsidRPr="009A7518">
              <w:rPr>
                <w:rFonts w:cs="Times New Roman"/>
                <w:sz w:val="20"/>
                <w:szCs w:val="20"/>
                <w:lang w:val="en-GB"/>
              </w:rPr>
              <w:fldChar w:fldCharType="separate"/>
            </w:r>
            <w:r w:rsidR="00B967CB">
              <w:rPr>
                <w:rFonts w:cs="Times New Roman"/>
                <w:sz w:val="20"/>
                <w:lang w:val="en-GB"/>
              </w:rPr>
              <w:t>(42)</w:t>
            </w:r>
            <w:r w:rsidRPr="009A7518">
              <w:rPr>
                <w:rFonts w:cs="Times New Roman"/>
                <w:sz w:val="20"/>
                <w:szCs w:val="20"/>
                <w:lang w:val="en-GB"/>
              </w:rPr>
              <w:fldChar w:fldCharType="end"/>
            </w:r>
          </w:p>
          <w:p w14:paraId="61325165" w14:textId="77777777" w:rsidR="00D16970" w:rsidRPr="009A7518" w:rsidRDefault="00D16970" w:rsidP="00B967CB">
            <w:pPr>
              <w:spacing w:line="276" w:lineRule="auto"/>
              <w:contextualSpacing/>
              <w:rPr>
                <w:rFonts w:cs="Times New Roman"/>
                <w:sz w:val="20"/>
                <w:szCs w:val="20"/>
                <w:lang w:val="en-GB"/>
              </w:rPr>
            </w:pPr>
          </w:p>
          <w:p w14:paraId="626970A6"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rPr>
              <w:t xml:space="preserve">CAMMS223 Extension </w:t>
            </w:r>
          </w:p>
          <w:p w14:paraId="02136BCC"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NCT00930553</w:t>
            </w:r>
          </w:p>
          <w:p w14:paraId="3E1B1C45" w14:textId="77777777" w:rsidR="00D16970" w:rsidRPr="009A7518" w:rsidRDefault="00D16970" w:rsidP="00B967CB">
            <w:pPr>
              <w:spacing w:line="276" w:lineRule="auto"/>
              <w:contextualSpacing/>
              <w:rPr>
                <w:rFonts w:cs="Times New Roman"/>
                <w:sz w:val="20"/>
                <w:szCs w:val="20"/>
                <w:lang w:val="en-GB"/>
              </w:rPr>
            </w:pPr>
          </w:p>
        </w:tc>
        <w:tc>
          <w:tcPr>
            <w:tcW w:w="1417" w:type="dxa"/>
            <w:gridSpan w:val="2"/>
          </w:tcPr>
          <w:p w14:paraId="31184E8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Extension study of CAMMS223  </w:t>
            </w:r>
          </w:p>
        </w:tc>
        <w:tc>
          <w:tcPr>
            <w:tcW w:w="1276" w:type="dxa"/>
            <w:gridSpan w:val="2"/>
          </w:tcPr>
          <w:p w14:paraId="0C8931C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0647D45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60 Alemtuzumab </w:t>
            </w:r>
          </w:p>
        </w:tc>
        <w:tc>
          <w:tcPr>
            <w:tcW w:w="1134" w:type="dxa"/>
            <w:gridSpan w:val="2"/>
          </w:tcPr>
          <w:p w14:paraId="0CA921A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2002 – 2014   </w:t>
            </w:r>
          </w:p>
        </w:tc>
        <w:tc>
          <w:tcPr>
            <w:tcW w:w="1559" w:type="dxa"/>
            <w:gridSpan w:val="2"/>
          </w:tcPr>
          <w:p w14:paraId="4F7C278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Alemtuzumab</w:t>
            </w:r>
          </w:p>
        </w:tc>
        <w:tc>
          <w:tcPr>
            <w:tcW w:w="2552" w:type="dxa"/>
            <w:gridSpan w:val="2"/>
          </w:tcPr>
          <w:p w14:paraId="69047007" w14:textId="3B29D3D2"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Incidence (n=)</w:t>
            </w:r>
          </w:p>
          <w:p w14:paraId="6A4AB985"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EAIR 0.3 /100 </w:t>
            </w:r>
            <w:proofErr w:type="spellStart"/>
            <w:r w:rsidRPr="009A7518">
              <w:rPr>
                <w:rFonts w:cs="Times New Roman"/>
                <w:sz w:val="20"/>
                <w:szCs w:val="20"/>
              </w:rPr>
              <w:t>py</w:t>
            </w:r>
            <w:proofErr w:type="spellEnd"/>
          </w:p>
          <w:p w14:paraId="4FBC229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w:t>
            </w:r>
          </w:p>
          <w:p w14:paraId="7F88F889" w14:textId="77777777" w:rsidR="00D16970" w:rsidRPr="009A7518" w:rsidRDefault="00D16970" w:rsidP="00B967CB">
            <w:pPr>
              <w:spacing w:line="276" w:lineRule="auto"/>
              <w:contextualSpacing/>
              <w:rPr>
                <w:rFonts w:cs="Times New Roman"/>
                <w:sz w:val="20"/>
                <w:szCs w:val="20"/>
              </w:rPr>
            </w:pPr>
          </w:p>
        </w:tc>
        <w:tc>
          <w:tcPr>
            <w:tcW w:w="2409" w:type="dxa"/>
            <w:gridSpan w:val="2"/>
          </w:tcPr>
          <w:p w14:paraId="44B3AA9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3BA512D7" w14:textId="77777777" w:rsidR="00D16970" w:rsidRPr="009A7518" w:rsidRDefault="00D16970" w:rsidP="00B967CB">
            <w:pPr>
              <w:spacing w:line="276" w:lineRule="auto"/>
              <w:contextualSpacing/>
              <w:rPr>
                <w:rFonts w:cs="Times New Roman"/>
                <w:sz w:val="20"/>
                <w:szCs w:val="20"/>
              </w:rPr>
            </w:pPr>
          </w:p>
        </w:tc>
      </w:tr>
      <w:tr w:rsidR="00D16970" w:rsidRPr="009A7518" w14:paraId="007ADE96" w14:textId="77777777" w:rsidTr="00BA7170">
        <w:tc>
          <w:tcPr>
            <w:tcW w:w="15310" w:type="dxa"/>
            <w:gridSpan w:val="17"/>
          </w:tcPr>
          <w:p w14:paraId="4B7FCA26" w14:textId="77777777" w:rsidR="00D16970" w:rsidRPr="009A7518" w:rsidRDefault="00D16970" w:rsidP="00B967CB">
            <w:pPr>
              <w:spacing w:line="276" w:lineRule="auto"/>
              <w:contextualSpacing/>
              <w:rPr>
                <w:rFonts w:cs="Times New Roman"/>
                <w:b/>
                <w:bCs/>
                <w:sz w:val="20"/>
                <w:szCs w:val="20"/>
                <w:lang w:val="en-GB"/>
              </w:rPr>
            </w:pPr>
            <w:r w:rsidRPr="009A7518">
              <w:rPr>
                <w:rFonts w:cs="Times New Roman"/>
                <w:b/>
                <w:bCs/>
                <w:sz w:val="20"/>
                <w:szCs w:val="20"/>
                <w:lang w:val="en-GB"/>
              </w:rPr>
              <w:t xml:space="preserve">Ofatumumab </w:t>
            </w:r>
          </w:p>
        </w:tc>
      </w:tr>
      <w:tr w:rsidR="00D16970" w:rsidRPr="009A7518" w14:paraId="3D3177BE" w14:textId="77777777" w:rsidTr="00BA7170">
        <w:tc>
          <w:tcPr>
            <w:tcW w:w="1560" w:type="dxa"/>
          </w:tcPr>
          <w:p w14:paraId="04B9DE9D" w14:textId="1DECD43F"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Hauser et al., 2020</w:t>
            </w:r>
            <w:r w:rsidRPr="009A7518">
              <w:rPr>
                <w:rFonts w:cs="Times New Roman"/>
                <w:sz w:val="20"/>
                <w:szCs w:val="20"/>
                <w:lang w:val="en-GB"/>
              </w:rPr>
              <w:fldChar w:fldCharType="begin"/>
            </w:r>
            <w:r w:rsidR="00B967CB">
              <w:rPr>
                <w:rFonts w:cs="Times New Roman"/>
                <w:sz w:val="20"/>
                <w:szCs w:val="20"/>
                <w:lang w:val="en-GB"/>
              </w:rPr>
              <w:instrText xml:space="preserve"> ADDIN ZOTERO_ITEM CSL_CITATION {"citationID":"xqyhhilG","properties":{"formattedCitation":"(43)","plainCitation":"(43)","noteIndex":0},"citationItems":[{"id":1059,"uris":["http://zotero.org/users/local/DBM3sz94/items/E4Z7TIEF"],"itemData":{"id":1059,"type":"article-journal","abstract":"BACKGROUND Ofatumumab, a subcutaneous anti-CD20 monoclonal antibody, selectively depletes B cells. Teriflunomide, an oral inhibitor of pyrimidine synthesis, reduces T-cell and B-cell activation. The relative effects of these two drugs in patients with multiple sclerosis are not known.\nMETHODS In two double-blind, double-dummy, phase 3 trials, we randomly assigned patients with relapsing multiple sclerosis to receive subcutaneous ofatumumab (20 mg every 4 weeks after 20-mg loading doses at days 1, 7, and 14) or oral teriflunomide (14 mg daily) for up to 30 months. The primary end point was the annualized relapse rate. Secondary end points included disability worsening confirmed at 3 months or 6 months, disability improvement confirmed at 6 months, the number of gadolinium-enhancing lesions per T1-weighted magnetic resonance imaging (MRI) scan, the annualized rate of new or enlarging lesions on T2-weighted MRI, serum neurofilament light chain levels at month 3, and change in brain volume.\nRESULTS Overall, 946 patients were assigned to receive ofatumumab and 936 to receive teriflunomide; the median follow-up was 1.6 years. The annualized relapse rates in the ofatumumab and teriflunomide groups were 0.11 and 0.22, respectively, in trial 1 (difference, −0.11; 95% confidence interval [CI], −0.16 to −0.06; P&lt;0.001) and 0.10 and 0.25 in trial 2 (difference, −0.15; 95% CI, −0.20 to −0.09; P&lt;0.001). In the pooled trials, the percentage of patients with disability worsening confirmed at 3 months was 10.9% with ofatumumab and 15.0% with teriflunomide (hazard ratio, 0.66; P = 0.002); the percentage with disability worsening confirmed at 6 months was 8.1% and 12.0%, respectively (hazard ratio, 0.68; P = 0.01); and the percentage with disability improvement confirmed at 6 months was 11.0% and 8.1% (hazard ratio, 1.35; P = 0.09). The number of gadolinium-enhancing lesions per T1-weighted MRI scan, the annualized rate of lesions on T2-weighted MRI, and serum neurofilament light chain levels, but not the change in brain volume, were in the same direction as the primary end point. Injection-related reactions occurred in 20.2% in the ofatumumab group and in 15.0% in the teriflunomide group (placebo injections). Serious infections occurred in 2.5% and 1.8% of the patients in the respective groups.\nCONCLUSIONS Among patients with multiple sclerosis, ofatumumab was associated with lower annualized relapse rates than teriflunomide. (Funded by Novartis; ASCLEPIOS I and II ClinicalTrials.gov numbers, NCT02792218 and NCT02792231.)","container-title":"New England Journal of Medicine","DOI":"10.1056/NEJMoa1917246","ISSN":"0028-4793, 1533-4406","issue":"6","journalAbbreviation":"N Engl J Med","language":"en","page":"546-557","source":"DOI.org (Crossref)","title":"Ofatumumab versus Teriflunomide in Multiple Sclerosis","volume":"383","author":[{"family":"Hauser","given":"Stephen L."},{"family":"Bar-Or","given":"Amit"},{"family":"Cohen","given":"Jeffrey A."},{"family":"Comi","given":"Giancarlo"},{"family":"Correale","given":"Jorge"},{"family":"Coyle","given":"Patricia K."},{"family":"Cross","given":"Anne H."},{"family":"Seze","given":"Jerome","non-dropping-particle":"de"},{"family":"Leppert","given":"David"},{"family":"Montalban","given":"Xavier"},{"family":"Selmaj","given":"Krzysztof"},{"family":"Wiendl","given":"Heinz"},{"family":"Kerloeguen","given":"Cecile"},{"family":"Willi","given":"Roman"},{"family":"Li","given":"Bingbing"},{"family":"Kakarieka","given":"Algirdas"},{"family":"Tomic","given":"Davorka"},{"family":"Goodyear","given":"Alexandra"},{"family":"Pingili","given":"Ratnakar"},{"family":"Häring","given":"Dieter A."},{"family":"Ramanathan","given":"Krishnan"},{"family":"Merschhemke","given":"Martin"},{"family":"Kappos","given":"Ludwig"}],"issued":{"date-parts":[["2020",8,6]]}}}],"schema":"https://github.com/citation-style-language/schema/raw/master/csl-citation.json"} </w:instrText>
            </w:r>
            <w:r w:rsidRPr="009A7518">
              <w:rPr>
                <w:rFonts w:cs="Times New Roman"/>
                <w:sz w:val="20"/>
                <w:szCs w:val="20"/>
                <w:lang w:val="en-GB"/>
              </w:rPr>
              <w:fldChar w:fldCharType="separate"/>
            </w:r>
            <w:r w:rsidR="00B967CB">
              <w:rPr>
                <w:rFonts w:cs="Times New Roman"/>
                <w:sz w:val="20"/>
                <w:lang w:val="en-GB"/>
              </w:rPr>
              <w:t>(43)</w:t>
            </w:r>
            <w:r w:rsidRPr="009A7518">
              <w:rPr>
                <w:rFonts w:cs="Times New Roman"/>
                <w:sz w:val="20"/>
                <w:szCs w:val="20"/>
                <w:lang w:val="en-GB"/>
              </w:rPr>
              <w:fldChar w:fldCharType="end"/>
            </w:r>
          </w:p>
          <w:p w14:paraId="699DD066" w14:textId="77777777" w:rsidR="00D16970" w:rsidRPr="009A7518" w:rsidRDefault="00D16970" w:rsidP="00B967CB">
            <w:pPr>
              <w:spacing w:line="276" w:lineRule="auto"/>
              <w:contextualSpacing/>
              <w:rPr>
                <w:rFonts w:cs="Times New Roman"/>
                <w:sz w:val="20"/>
                <w:szCs w:val="20"/>
                <w:lang w:val="en-GB"/>
              </w:rPr>
            </w:pPr>
          </w:p>
          <w:p w14:paraId="6650DA90"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 xml:space="preserve">ASCLEPIOS I </w:t>
            </w:r>
          </w:p>
          <w:p w14:paraId="46DDAA6B"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NCT02792218</w:t>
            </w:r>
          </w:p>
        </w:tc>
        <w:tc>
          <w:tcPr>
            <w:tcW w:w="1417" w:type="dxa"/>
            <w:gridSpan w:val="2"/>
          </w:tcPr>
          <w:p w14:paraId="40DF981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-controlled trial</w:t>
            </w:r>
          </w:p>
        </w:tc>
        <w:tc>
          <w:tcPr>
            <w:tcW w:w="1276" w:type="dxa"/>
            <w:gridSpan w:val="2"/>
          </w:tcPr>
          <w:p w14:paraId="5CDBC18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759BC02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465 Ofatumumab</w:t>
            </w:r>
          </w:p>
          <w:p w14:paraId="7327011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462 TER</w:t>
            </w:r>
          </w:p>
        </w:tc>
        <w:tc>
          <w:tcPr>
            <w:tcW w:w="1134" w:type="dxa"/>
            <w:gridSpan w:val="2"/>
          </w:tcPr>
          <w:p w14:paraId="3A61AB4B"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2016-2018</w:t>
            </w:r>
          </w:p>
        </w:tc>
        <w:tc>
          <w:tcPr>
            <w:tcW w:w="1559" w:type="dxa"/>
            <w:gridSpan w:val="2"/>
          </w:tcPr>
          <w:p w14:paraId="4FF5314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Ofatumumab</w:t>
            </w:r>
          </w:p>
          <w:p w14:paraId="0C70C3F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tc>
        <w:tc>
          <w:tcPr>
            <w:tcW w:w="2552" w:type="dxa"/>
            <w:gridSpan w:val="2"/>
          </w:tcPr>
          <w:p w14:paraId="5D19C925"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41466D0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Ofatumumab </w:t>
            </w:r>
          </w:p>
          <w:p w14:paraId="45D2790B" w14:textId="3851E43F" w:rsidR="00D16970" w:rsidRPr="00BA7170" w:rsidRDefault="00BA7170" w:rsidP="00B967CB">
            <w:pPr>
              <w:spacing w:line="276" w:lineRule="auto"/>
              <w:contextualSpacing/>
              <w:rPr>
                <w:sz w:val="20"/>
                <w:szCs w:val="20"/>
              </w:rPr>
            </w:pPr>
            <w:r>
              <w:rPr>
                <w:sz w:val="20"/>
                <w:szCs w:val="20"/>
              </w:rPr>
              <w:t xml:space="preserve">1 </w:t>
            </w:r>
            <w:r w:rsidR="00D16970" w:rsidRPr="00BA7170">
              <w:rPr>
                <w:sz w:val="20"/>
                <w:szCs w:val="20"/>
              </w:rPr>
              <w:t xml:space="preserve">(0.6%) </w:t>
            </w:r>
          </w:p>
          <w:p w14:paraId="367A755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p w14:paraId="12F52683"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3 (0.6%) </w:t>
            </w:r>
          </w:p>
        </w:tc>
        <w:tc>
          <w:tcPr>
            <w:tcW w:w="2409" w:type="dxa"/>
            <w:gridSpan w:val="2"/>
          </w:tcPr>
          <w:p w14:paraId="61D32C21" w14:textId="4FBBBB3F" w:rsidR="00D16970" w:rsidRPr="009A7518" w:rsidRDefault="00B967CB" w:rsidP="00B967CB">
            <w:pPr>
              <w:tabs>
                <w:tab w:val="center" w:pos="1096"/>
              </w:tabs>
              <w:spacing w:line="276" w:lineRule="auto"/>
              <w:contextualSpacing/>
              <w:rPr>
                <w:rFonts w:cs="Times New Roman"/>
                <w:b/>
                <w:bCs/>
                <w:sz w:val="20"/>
                <w:szCs w:val="20"/>
              </w:rPr>
            </w:pPr>
            <w:r>
              <w:rPr>
                <w:rFonts w:cs="Times New Roman"/>
                <w:b/>
                <w:bCs/>
                <w:sz w:val="20"/>
                <w:szCs w:val="20"/>
              </w:rPr>
              <w:t>n</w:t>
            </w:r>
            <w:r w:rsidR="00D16970">
              <w:rPr>
                <w:rFonts w:cs="Times New Roman"/>
                <w:b/>
                <w:bCs/>
                <w:sz w:val="20"/>
                <w:szCs w:val="20"/>
              </w:rPr>
              <w:t xml:space="preserve"> =</w:t>
            </w:r>
            <w:r w:rsidR="00D16970">
              <w:rPr>
                <w:rFonts w:cs="Times New Roman"/>
                <w:b/>
                <w:bCs/>
                <w:sz w:val="20"/>
                <w:szCs w:val="20"/>
              </w:rPr>
              <w:tab/>
            </w:r>
          </w:p>
          <w:p w14:paraId="7D50E53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Ofatumumab </w:t>
            </w:r>
          </w:p>
          <w:p w14:paraId="2375AEFE"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0</w:t>
            </w:r>
          </w:p>
          <w:p w14:paraId="74C71B9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TER </w:t>
            </w:r>
          </w:p>
          <w:p w14:paraId="157B51F8"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w:t>
            </w:r>
          </w:p>
        </w:tc>
        <w:tc>
          <w:tcPr>
            <w:tcW w:w="2127" w:type="dxa"/>
            <w:gridSpan w:val="2"/>
          </w:tcPr>
          <w:p w14:paraId="37045B5B" w14:textId="77777777" w:rsidR="00D16970" w:rsidRPr="009A7518" w:rsidRDefault="00D16970" w:rsidP="00B967CB">
            <w:pPr>
              <w:spacing w:line="276" w:lineRule="auto"/>
              <w:contextualSpacing/>
              <w:rPr>
                <w:rFonts w:cs="Times New Roman"/>
                <w:sz w:val="20"/>
                <w:szCs w:val="20"/>
              </w:rPr>
            </w:pPr>
          </w:p>
        </w:tc>
      </w:tr>
      <w:tr w:rsidR="00D16970" w:rsidRPr="009A7518" w14:paraId="3FFE5A12" w14:textId="77777777" w:rsidTr="00BA7170">
        <w:tc>
          <w:tcPr>
            <w:tcW w:w="1560" w:type="dxa"/>
          </w:tcPr>
          <w:p w14:paraId="2DCB8B04" w14:textId="19E78508"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Hauser et al., 2020</w:t>
            </w:r>
            <w:r w:rsidRPr="009A7518">
              <w:rPr>
                <w:rFonts w:cs="Times New Roman"/>
                <w:sz w:val="20"/>
                <w:szCs w:val="20"/>
                <w:lang w:val="en-GB"/>
              </w:rPr>
              <w:fldChar w:fldCharType="begin"/>
            </w:r>
            <w:r w:rsidR="00B967CB">
              <w:rPr>
                <w:rFonts w:cs="Times New Roman"/>
                <w:sz w:val="20"/>
                <w:szCs w:val="20"/>
                <w:lang w:val="en-GB"/>
              </w:rPr>
              <w:instrText xml:space="preserve"> ADDIN ZOTERO_ITEM CSL_CITATION {"citationID":"fi5VvLEN","properties":{"formattedCitation":"(43)","plainCitation":"(43)","noteIndex":0},"citationItems":[{"id":1059,"uris":["http://zotero.org/users/local/DBM3sz94/items/E4Z7TIEF"],"itemData":{"id":1059,"type":"article-journal","abstract":"BACKGROUND Ofatumumab, a subcutaneous anti-CD20 monoclonal antibody, selectively depletes B cells. Teriflunomide, an oral inhibitor of pyrimidine synthesis, reduces T-cell and B-cell activation. The relative effects of these two drugs in patients with multiple sclerosis are not known.\nMETHODS In two double-blind, double-dummy, phase 3 trials, we randomly assigned patients with relapsing multiple sclerosis to receive subcutaneous ofatumumab (20 mg every 4 weeks after 20-mg loading doses at days 1, 7, and 14) or oral teriflunomide (14 mg daily) for up to 30 months. The primary end point was the annualized relapse rate. Secondary end points included disability worsening confirmed at 3 months or 6 months, disability improvement confirmed at 6 months, the number of gadolinium-enhancing lesions per T1-weighted magnetic resonance imaging (MRI) scan, the annualized rate of new or enlarging lesions on T2-weighted MRI, serum neurofilament light chain levels at month 3, and change in brain volume.\nRESULTS Overall, 946 patients were assigned to receive ofatumumab and 936 to receive teriflunomide; the median follow-up was 1.6 years. The annualized relapse rates in the ofatumumab and teriflunomide groups were 0.11 and 0.22, respectively, in trial 1 (difference, −0.11; 95% confidence interval [CI], −0.16 to −0.06; P&lt;0.001) and 0.10 and 0.25 in trial 2 (difference, −0.15; 95% CI, −0.20 to −0.09; P&lt;0.001). In the pooled trials, the percentage of patients with disability worsening confirmed at 3 months was 10.9% with ofatumumab and 15.0% with teriflunomide (hazard ratio, 0.66; P = 0.002); the percentage with disability worsening confirmed at 6 months was 8.1% and 12.0%, respectively (hazard ratio, 0.68; P = 0.01); and the percentage with disability improvement confirmed at 6 months was 11.0% and 8.1% (hazard ratio, 1.35; P = 0.09). The number of gadolinium-enhancing lesions per T1-weighted MRI scan, the annualized rate of lesions on T2-weighted MRI, and serum neurofilament light chain levels, but not the change in brain volume, were in the same direction as the primary end point. Injection-related reactions occurred in 20.2% in the ofatumumab group and in 15.0% in the teriflunomide group (placebo injections). Serious infections occurred in 2.5% and 1.8% of the patients in the respective groups.\nCONCLUSIONS Among patients with multiple sclerosis, ofatumumab was associated with lower annualized relapse rates than teriflunomide. (Funded by Novartis; ASCLEPIOS I and II ClinicalTrials.gov numbers, NCT02792218 and NCT02792231.)","container-title":"New England Journal of Medicine","DOI":"10.1056/NEJMoa1917246","ISSN":"0028-4793, 1533-4406","issue":"6","journalAbbreviation":"N Engl J Med","language":"en","page":"546-557","source":"DOI.org (Crossref)","title":"Ofatumumab versus Teriflunomide in Multiple Sclerosis","volume":"383","author":[{"family":"Hauser","given":"Stephen L."},{"family":"Bar-Or","given":"Amit"},{"family":"Cohen","given":"Jeffrey A."},{"family":"Comi","given":"Giancarlo"},{"family":"Correale","given":"Jorge"},{"family":"Coyle","given":"Patricia K."},{"family":"Cross","given":"Anne H."},{"family":"Seze","given":"Jerome","non-dropping-particle":"de"},{"family":"Leppert","given":"David"},{"family":"Montalban","given":"Xavier"},{"family":"Selmaj","given":"Krzysztof"},{"family":"Wiendl","given":"Heinz"},{"family":"Kerloeguen","given":"Cecile"},{"family":"Willi","given":"Roman"},{"family":"Li","given":"Bingbing"},{"family":"Kakarieka","given":"Algirdas"},{"family":"Tomic","given":"Davorka"},{"family":"Goodyear","given":"Alexandra"},{"family":"Pingili","given":"Ratnakar"},{"family":"Häring","given":"Dieter A."},{"family":"Ramanathan","given":"Krishnan"},{"family":"Merschhemke","given":"Martin"},{"family":"Kappos","given":"Ludwig"}],"issued":{"date-parts":[["2020",8,6]]}}}],"schema":"https://github.com/citation-style-language/schema/raw/master/csl-citation.json"} </w:instrText>
            </w:r>
            <w:r w:rsidRPr="009A7518">
              <w:rPr>
                <w:rFonts w:cs="Times New Roman"/>
                <w:sz w:val="20"/>
                <w:szCs w:val="20"/>
                <w:lang w:val="en-GB"/>
              </w:rPr>
              <w:fldChar w:fldCharType="separate"/>
            </w:r>
            <w:r w:rsidR="00B967CB">
              <w:rPr>
                <w:rFonts w:cs="Times New Roman"/>
                <w:sz w:val="20"/>
                <w:lang w:val="en-GB"/>
              </w:rPr>
              <w:t>(43)</w:t>
            </w:r>
            <w:r w:rsidRPr="009A7518">
              <w:rPr>
                <w:rFonts w:cs="Times New Roman"/>
                <w:sz w:val="20"/>
                <w:szCs w:val="20"/>
                <w:lang w:val="en-GB"/>
              </w:rPr>
              <w:fldChar w:fldCharType="end"/>
            </w:r>
          </w:p>
          <w:p w14:paraId="74A0EDDE" w14:textId="77777777" w:rsidR="00D16970" w:rsidRPr="009A7518" w:rsidRDefault="00D16970" w:rsidP="00B967CB">
            <w:pPr>
              <w:spacing w:line="276" w:lineRule="auto"/>
              <w:contextualSpacing/>
              <w:rPr>
                <w:rFonts w:cs="Times New Roman"/>
                <w:sz w:val="20"/>
                <w:szCs w:val="20"/>
                <w:lang w:val="en-GB"/>
              </w:rPr>
            </w:pPr>
          </w:p>
          <w:p w14:paraId="5CD2608C"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ASCLEPIOS II</w:t>
            </w:r>
          </w:p>
          <w:p w14:paraId="0DCEC14A" w14:textId="77777777" w:rsidR="00D16970" w:rsidRPr="009A7518" w:rsidRDefault="00D16970" w:rsidP="00B967CB">
            <w:pPr>
              <w:spacing w:line="276" w:lineRule="auto"/>
              <w:contextualSpacing/>
              <w:rPr>
                <w:rFonts w:cs="Times New Roman"/>
                <w:sz w:val="20"/>
                <w:szCs w:val="20"/>
                <w:lang w:val="en-GB"/>
              </w:rPr>
            </w:pPr>
            <w:r w:rsidRPr="009A7518">
              <w:rPr>
                <w:rFonts w:cs="Times New Roman"/>
                <w:sz w:val="20"/>
                <w:szCs w:val="20"/>
                <w:lang w:val="en-GB"/>
              </w:rPr>
              <w:t>NCT02792231</w:t>
            </w:r>
          </w:p>
        </w:tc>
        <w:tc>
          <w:tcPr>
            <w:tcW w:w="1417" w:type="dxa"/>
            <w:gridSpan w:val="2"/>
          </w:tcPr>
          <w:p w14:paraId="4FD9F2F9"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Phase 3 </w:t>
            </w:r>
            <w:proofErr w:type="spellStart"/>
            <w:r w:rsidRPr="009A7518">
              <w:rPr>
                <w:rFonts w:cs="Times New Roman"/>
                <w:sz w:val="20"/>
                <w:szCs w:val="20"/>
              </w:rPr>
              <w:t>randomised</w:t>
            </w:r>
            <w:proofErr w:type="spellEnd"/>
            <w:r w:rsidRPr="009A7518">
              <w:rPr>
                <w:rFonts w:cs="Times New Roman"/>
                <w:sz w:val="20"/>
                <w:szCs w:val="20"/>
              </w:rPr>
              <w:t>-controlled trial</w:t>
            </w:r>
          </w:p>
        </w:tc>
        <w:tc>
          <w:tcPr>
            <w:tcW w:w="1276" w:type="dxa"/>
            <w:gridSpan w:val="2"/>
          </w:tcPr>
          <w:p w14:paraId="774B120C"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International </w:t>
            </w:r>
            <w:proofErr w:type="spellStart"/>
            <w:r>
              <w:rPr>
                <w:rFonts w:cs="Times New Roman"/>
                <w:sz w:val="20"/>
                <w:szCs w:val="20"/>
              </w:rPr>
              <w:t>multicentre</w:t>
            </w:r>
            <w:proofErr w:type="spellEnd"/>
          </w:p>
        </w:tc>
        <w:tc>
          <w:tcPr>
            <w:tcW w:w="1276" w:type="dxa"/>
            <w:gridSpan w:val="2"/>
          </w:tcPr>
          <w:p w14:paraId="16003D2A"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5481 Ofatumumab</w:t>
            </w:r>
          </w:p>
          <w:p w14:paraId="22372FD4"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474 TER </w:t>
            </w:r>
          </w:p>
        </w:tc>
        <w:tc>
          <w:tcPr>
            <w:tcW w:w="1134" w:type="dxa"/>
            <w:gridSpan w:val="2"/>
          </w:tcPr>
          <w:p w14:paraId="3A329B01"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2016-2018</w:t>
            </w:r>
          </w:p>
        </w:tc>
        <w:tc>
          <w:tcPr>
            <w:tcW w:w="1559" w:type="dxa"/>
            <w:gridSpan w:val="2"/>
          </w:tcPr>
          <w:p w14:paraId="427137A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Ofatumumab </w:t>
            </w:r>
          </w:p>
          <w:p w14:paraId="0C71B82D"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tc>
        <w:tc>
          <w:tcPr>
            <w:tcW w:w="2552" w:type="dxa"/>
            <w:gridSpan w:val="2"/>
          </w:tcPr>
          <w:p w14:paraId="01B33F0A" w14:textId="77777777" w:rsidR="00D16970" w:rsidRPr="009A7518" w:rsidRDefault="00D16970" w:rsidP="00B967CB">
            <w:pPr>
              <w:spacing w:line="276" w:lineRule="auto"/>
              <w:contextualSpacing/>
              <w:rPr>
                <w:rFonts w:cs="Times New Roman"/>
                <w:b/>
                <w:bCs/>
                <w:sz w:val="20"/>
                <w:szCs w:val="20"/>
              </w:rPr>
            </w:pPr>
            <w:r w:rsidRPr="009A7518">
              <w:rPr>
                <w:rFonts w:cs="Times New Roman"/>
                <w:b/>
                <w:bCs/>
                <w:sz w:val="20"/>
                <w:szCs w:val="20"/>
              </w:rPr>
              <w:t>n (%)</w:t>
            </w:r>
          </w:p>
          <w:p w14:paraId="548607F2"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Ofatumumab </w:t>
            </w:r>
          </w:p>
          <w:p w14:paraId="34EBBA4A" w14:textId="631BEA09" w:rsidR="00D16970" w:rsidRPr="00BA7170" w:rsidRDefault="00BA7170" w:rsidP="00B967CB">
            <w:pPr>
              <w:spacing w:line="276" w:lineRule="auto"/>
              <w:contextualSpacing/>
              <w:rPr>
                <w:sz w:val="20"/>
                <w:szCs w:val="20"/>
              </w:rPr>
            </w:pPr>
            <w:r>
              <w:rPr>
                <w:sz w:val="20"/>
                <w:szCs w:val="20"/>
              </w:rPr>
              <w:t xml:space="preserve">1 </w:t>
            </w:r>
            <w:r w:rsidR="00D16970" w:rsidRPr="00BA7170">
              <w:rPr>
                <w:sz w:val="20"/>
                <w:szCs w:val="20"/>
              </w:rPr>
              <w:t xml:space="preserve">(0.4%) </w:t>
            </w:r>
          </w:p>
          <w:p w14:paraId="52567E86"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TER</w:t>
            </w:r>
          </w:p>
          <w:p w14:paraId="5B40CC1F"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 xml:space="preserve">1 (0.2%) </w:t>
            </w:r>
          </w:p>
        </w:tc>
        <w:tc>
          <w:tcPr>
            <w:tcW w:w="2409" w:type="dxa"/>
            <w:gridSpan w:val="2"/>
          </w:tcPr>
          <w:p w14:paraId="5FE39B40" w14:textId="77777777" w:rsidR="00D16970" w:rsidRPr="009A7518" w:rsidRDefault="00D16970" w:rsidP="00B967CB">
            <w:pPr>
              <w:spacing w:line="276" w:lineRule="auto"/>
              <w:contextualSpacing/>
              <w:rPr>
                <w:rFonts w:cs="Times New Roman"/>
                <w:sz w:val="20"/>
                <w:szCs w:val="20"/>
              </w:rPr>
            </w:pPr>
            <w:r w:rsidRPr="009A7518">
              <w:rPr>
                <w:rFonts w:cs="Times New Roman"/>
                <w:sz w:val="20"/>
                <w:szCs w:val="20"/>
              </w:rPr>
              <w:t>No cervical abnormality reported</w:t>
            </w:r>
          </w:p>
        </w:tc>
        <w:tc>
          <w:tcPr>
            <w:tcW w:w="2127" w:type="dxa"/>
            <w:gridSpan w:val="2"/>
          </w:tcPr>
          <w:p w14:paraId="39C7C5DC" w14:textId="77777777" w:rsidR="00D16970" w:rsidRPr="009A7518" w:rsidRDefault="00D16970" w:rsidP="00B967CB">
            <w:pPr>
              <w:spacing w:line="276" w:lineRule="auto"/>
              <w:contextualSpacing/>
              <w:rPr>
                <w:rFonts w:cs="Times New Roman"/>
                <w:sz w:val="20"/>
                <w:szCs w:val="20"/>
              </w:rPr>
            </w:pPr>
          </w:p>
        </w:tc>
      </w:tr>
    </w:tbl>
    <w:p w14:paraId="30F8C9F1" w14:textId="7A7B9D30" w:rsidR="00B967CB" w:rsidRDefault="00D16970" w:rsidP="00D16970">
      <w:pPr>
        <w:rPr>
          <w:rFonts w:cs="Times New Roman"/>
        </w:rPr>
      </w:pPr>
      <w:r w:rsidRPr="009A7518">
        <w:rPr>
          <w:rFonts w:cs="Times New Roman"/>
        </w:rPr>
        <w:t xml:space="preserve">Abbreviations: AHR: adjusted hazard ratio, AZA: azathioprine, CI: confidence interval, CIN: cervical intraepithelial neoplasia, CTX: cyclophosphamide, DMF: dimethyl </w:t>
      </w:r>
      <w:proofErr w:type="spellStart"/>
      <w:r w:rsidRPr="009A7518">
        <w:rPr>
          <w:rFonts w:cs="Times New Roman"/>
        </w:rPr>
        <w:t>fumerate</w:t>
      </w:r>
      <w:proofErr w:type="spellEnd"/>
      <w:r w:rsidRPr="009A7518">
        <w:rPr>
          <w:rFonts w:cs="Times New Roman"/>
        </w:rPr>
        <w:t xml:space="preserve">, DMT: disease modifying therapy, EAIR: exposure-adjusted incidence rate, FTY: fingolimod, GA: glatiramer acetate, HSIL: high grade squamous intraepithelial lesion,  HR: hazard ratio, IM: immunomodulatory, IR: incidence rate, IRR: incidence rate ratio, LSIL: low grade squamous intraepithelial lesion, IS: immunosuppressive, IVIG: intravenous immunoglobulin, MMF: mycophenolate mofetil, MS: multiple sclerosis, MTX: methotrexate, NR: not reported, OCR: ocrelizumab, OR: odds ratio, </w:t>
      </w:r>
      <w:proofErr w:type="spellStart"/>
      <w:r w:rsidRPr="009A7518">
        <w:rPr>
          <w:rFonts w:cs="Times New Roman"/>
        </w:rPr>
        <w:t>py</w:t>
      </w:r>
      <w:proofErr w:type="spellEnd"/>
      <w:r w:rsidRPr="009A7518">
        <w:rPr>
          <w:rFonts w:cs="Times New Roman"/>
        </w:rPr>
        <w:t xml:space="preserve">: person years, RIX: rituximab, RR: relative risk, SIR: </w:t>
      </w:r>
      <w:proofErr w:type="spellStart"/>
      <w:r>
        <w:rPr>
          <w:rFonts w:cs="Times New Roman"/>
        </w:rPr>
        <w:t>Standardised</w:t>
      </w:r>
      <w:proofErr w:type="spellEnd"/>
      <w:r w:rsidRPr="009A7518">
        <w:rPr>
          <w:rFonts w:cs="Times New Roman"/>
        </w:rPr>
        <w:t xml:space="preserve"> incidence ratio, SMR: </w:t>
      </w:r>
      <w:proofErr w:type="spellStart"/>
      <w:r>
        <w:rPr>
          <w:rFonts w:cs="Times New Roman"/>
        </w:rPr>
        <w:t>Standardised</w:t>
      </w:r>
      <w:proofErr w:type="spellEnd"/>
      <w:r w:rsidRPr="009A7518">
        <w:rPr>
          <w:rFonts w:cs="Times New Roman"/>
        </w:rPr>
        <w:t xml:space="preserve"> mortality ratio, TER: teriflunomide. </w:t>
      </w:r>
    </w:p>
    <w:p w14:paraId="53F1C08A" w14:textId="781FD7E0" w:rsidR="00B967CB" w:rsidRDefault="00B967CB" w:rsidP="00D16970">
      <w:pPr>
        <w:rPr>
          <w:rFonts w:cs="Times New Roman"/>
        </w:rPr>
      </w:pPr>
      <w:r>
        <w:rPr>
          <w:rFonts w:cs="Times New Roman"/>
        </w:rPr>
        <w:lastRenderedPageBreak/>
        <w:t xml:space="preserve">References </w:t>
      </w:r>
    </w:p>
    <w:p w14:paraId="05467526" w14:textId="77777777" w:rsidR="00B967CB" w:rsidRPr="00B967CB" w:rsidRDefault="00B967CB" w:rsidP="00B967CB">
      <w:pPr>
        <w:pStyle w:val="Bibliography"/>
        <w:rPr>
          <w:rFonts w:cs="Times New Roman"/>
          <w:lang w:val="en-GB"/>
        </w:rPr>
      </w:pPr>
      <w:r>
        <w:fldChar w:fldCharType="begin"/>
      </w:r>
      <w:r>
        <w:instrText xml:space="preserve"> ADDIN ZOTERO_BIBL {"uncited":[],"omitted":[],"custom":[]} CSL_BIBLIOGRAPHY </w:instrText>
      </w:r>
      <w:r>
        <w:fldChar w:fldCharType="separate"/>
      </w:r>
      <w:r w:rsidRPr="00B967CB">
        <w:rPr>
          <w:rFonts w:cs="Times New Roman"/>
          <w:lang w:val="en-GB"/>
        </w:rPr>
        <w:t>1.</w:t>
      </w:r>
      <w:r w:rsidRPr="00B967CB">
        <w:rPr>
          <w:rFonts w:cs="Times New Roman"/>
          <w:lang w:val="en-GB"/>
        </w:rPr>
        <w:tab/>
        <w:t xml:space="preserve">Lebrun C, </w:t>
      </w:r>
      <w:proofErr w:type="spellStart"/>
      <w:r w:rsidRPr="00B967CB">
        <w:rPr>
          <w:rFonts w:cs="Times New Roman"/>
          <w:lang w:val="en-GB"/>
        </w:rPr>
        <w:t>Debouverie</w:t>
      </w:r>
      <w:proofErr w:type="spellEnd"/>
      <w:r w:rsidRPr="00B967CB">
        <w:rPr>
          <w:rFonts w:cs="Times New Roman"/>
          <w:lang w:val="en-GB"/>
        </w:rPr>
        <w:t xml:space="preserve"> M, </w:t>
      </w:r>
      <w:proofErr w:type="spellStart"/>
      <w:r w:rsidRPr="00B967CB">
        <w:rPr>
          <w:rFonts w:cs="Times New Roman"/>
          <w:lang w:val="en-GB"/>
        </w:rPr>
        <w:t>Vermersch</w:t>
      </w:r>
      <w:proofErr w:type="spellEnd"/>
      <w:r w:rsidRPr="00B967CB">
        <w:rPr>
          <w:rFonts w:cs="Times New Roman"/>
          <w:lang w:val="en-GB"/>
        </w:rPr>
        <w:t xml:space="preserve"> P, </w:t>
      </w:r>
      <w:proofErr w:type="spellStart"/>
      <w:r w:rsidRPr="00B967CB">
        <w:rPr>
          <w:rFonts w:cs="Times New Roman"/>
          <w:lang w:val="en-GB"/>
        </w:rPr>
        <w:t>Clavelou</w:t>
      </w:r>
      <w:proofErr w:type="spellEnd"/>
      <w:r w:rsidRPr="00B967CB">
        <w:rPr>
          <w:rFonts w:cs="Times New Roman"/>
          <w:lang w:val="en-GB"/>
        </w:rPr>
        <w:t xml:space="preserve"> P, </w:t>
      </w:r>
      <w:proofErr w:type="spellStart"/>
      <w:r w:rsidRPr="00B967CB">
        <w:rPr>
          <w:rFonts w:cs="Times New Roman"/>
          <w:lang w:val="en-GB"/>
        </w:rPr>
        <w:t>Rumbach</w:t>
      </w:r>
      <w:proofErr w:type="spellEnd"/>
      <w:r w:rsidRPr="00B967CB">
        <w:rPr>
          <w:rFonts w:cs="Times New Roman"/>
          <w:lang w:val="en-GB"/>
        </w:rPr>
        <w:t xml:space="preserve"> L, de </w:t>
      </w:r>
      <w:proofErr w:type="spellStart"/>
      <w:r w:rsidRPr="00B967CB">
        <w:rPr>
          <w:rFonts w:cs="Times New Roman"/>
          <w:lang w:val="en-GB"/>
        </w:rPr>
        <w:t>Seze</w:t>
      </w:r>
      <w:proofErr w:type="spellEnd"/>
      <w:r w:rsidRPr="00B967CB">
        <w:rPr>
          <w:rFonts w:cs="Times New Roman"/>
          <w:lang w:val="en-GB"/>
        </w:rPr>
        <w:t xml:space="preserve"> J, et al. Cancer risk and impact of disease-modifying treatments in patients with multiple sclerosis. Multiple Sclerosis: Clinical and Laboratory Research. 2008 Apr;14(3):399–405. </w:t>
      </w:r>
    </w:p>
    <w:p w14:paraId="7B08E348" w14:textId="77777777" w:rsidR="00B967CB" w:rsidRPr="00B967CB" w:rsidRDefault="00B967CB" w:rsidP="00B967CB">
      <w:pPr>
        <w:pStyle w:val="Bibliography"/>
        <w:rPr>
          <w:rFonts w:cs="Times New Roman"/>
          <w:lang w:val="en-GB"/>
        </w:rPr>
      </w:pPr>
      <w:r w:rsidRPr="00B967CB">
        <w:rPr>
          <w:rFonts w:cs="Times New Roman"/>
          <w:lang w:val="en-GB"/>
        </w:rPr>
        <w:t>2.</w:t>
      </w:r>
      <w:r w:rsidRPr="00B967CB">
        <w:rPr>
          <w:rFonts w:cs="Times New Roman"/>
          <w:lang w:val="en-GB"/>
        </w:rPr>
        <w:tab/>
      </w:r>
      <w:proofErr w:type="spellStart"/>
      <w:r w:rsidRPr="00B967CB">
        <w:rPr>
          <w:rFonts w:cs="Times New Roman"/>
          <w:lang w:val="en-GB"/>
        </w:rPr>
        <w:t>Dugué</w:t>
      </w:r>
      <w:proofErr w:type="spellEnd"/>
      <w:r w:rsidRPr="00B967CB">
        <w:rPr>
          <w:rFonts w:cs="Times New Roman"/>
          <w:lang w:val="en-GB"/>
        </w:rPr>
        <w:t xml:space="preserve"> PA, </w:t>
      </w:r>
      <w:proofErr w:type="spellStart"/>
      <w:r w:rsidRPr="00B967CB">
        <w:rPr>
          <w:rFonts w:cs="Times New Roman"/>
          <w:lang w:val="en-GB"/>
        </w:rPr>
        <w:t>Rebolj</w:t>
      </w:r>
      <w:proofErr w:type="spellEnd"/>
      <w:r w:rsidRPr="00B967CB">
        <w:rPr>
          <w:rFonts w:cs="Times New Roman"/>
          <w:lang w:val="en-GB"/>
        </w:rPr>
        <w:t xml:space="preserve"> M, Hallas J, </w:t>
      </w:r>
      <w:proofErr w:type="spellStart"/>
      <w:r w:rsidRPr="00B967CB">
        <w:rPr>
          <w:rFonts w:cs="Times New Roman"/>
          <w:lang w:val="en-GB"/>
        </w:rPr>
        <w:t>Garred</w:t>
      </w:r>
      <w:proofErr w:type="spellEnd"/>
      <w:r w:rsidRPr="00B967CB">
        <w:rPr>
          <w:rFonts w:cs="Times New Roman"/>
          <w:lang w:val="en-GB"/>
        </w:rPr>
        <w:t xml:space="preserve"> P, </w:t>
      </w:r>
      <w:proofErr w:type="spellStart"/>
      <w:r w:rsidRPr="00B967CB">
        <w:rPr>
          <w:rFonts w:cs="Times New Roman"/>
          <w:lang w:val="en-GB"/>
        </w:rPr>
        <w:t>Lynge</w:t>
      </w:r>
      <w:proofErr w:type="spellEnd"/>
      <w:r w:rsidRPr="00B967CB">
        <w:rPr>
          <w:rFonts w:cs="Times New Roman"/>
          <w:lang w:val="en-GB"/>
        </w:rPr>
        <w:t xml:space="preserve"> E. Risk of cervical cancer in women with autoimmune diseases, in relation with their use of immunosuppressants and screening: population-based cohort study. Int J Cancer. 2015 Mar 15;136(6</w:t>
      </w:r>
      <w:proofErr w:type="gramStart"/>
      <w:r w:rsidRPr="00B967CB">
        <w:rPr>
          <w:rFonts w:cs="Times New Roman"/>
          <w:lang w:val="en-GB"/>
        </w:rPr>
        <w:t>):E</w:t>
      </w:r>
      <w:proofErr w:type="gramEnd"/>
      <w:r w:rsidRPr="00B967CB">
        <w:rPr>
          <w:rFonts w:cs="Times New Roman"/>
          <w:lang w:val="en-GB"/>
        </w:rPr>
        <w:t xml:space="preserve">711-719. </w:t>
      </w:r>
    </w:p>
    <w:p w14:paraId="1F042F01" w14:textId="77777777" w:rsidR="00B967CB" w:rsidRPr="00B967CB" w:rsidRDefault="00B967CB" w:rsidP="00B967CB">
      <w:pPr>
        <w:pStyle w:val="Bibliography"/>
        <w:rPr>
          <w:rFonts w:cs="Times New Roman"/>
          <w:lang w:val="en-GB"/>
        </w:rPr>
      </w:pPr>
      <w:r w:rsidRPr="00B967CB">
        <w:rPr>
          <w:rFonts w:cs="Times New Roman"/>
          <w:lang w:val="en-GB"/>
        </w:rPr>
        <w:t>3.</w:t>
      </w:r>
      <w:r w:rsidRPr="00B967CB">
        <w:rPr>
          <w:rFonts w:cs="Times New Roman"/>
          <w:lang w:val="en-GB"/>
        </w:rPr>
        <w:tab/>
      </w:r>
      <w:proofErr w:type="spellStart"/>
      <w:r w:rsidRPr="00B967CB">
        <w:rPr>
          <w:rFonts w:cs="Times New Roman"/>
          <w:lang w:val="en-GB"/>
        </w:rPr>
        <w:t>Ragonese</w:t>
      </w:r>
      <w:proofErr w:type="spellEnd"/>
      <w:r w:rsidRPr="00B967CB">
        <w:rPr>
          <w:rFonts w:cs="Times New Roman"/>
          <w:lang w:val="en-GB"/>
        </w:rPr>
        <w:t xml:space="preserve"> P, </w:t>
      </w:r>
      <w:proofErr w:type="spellStart"/>
      <w:r w:rsidRPr="00B967CB">
        <w:rPr>
          <w:rFonts w:cs="Times New Roman"/>
          <w:lang w:val="en-GB"/>
        </w:rPr>
        <w:t>Aridon</w:t>
      </w:r>
      <w:proofErr w:type="spellEnd"/>
      <w:r w:rsidRPr="00B967CB">
        <w:rPr>
          <w:rFonts w:cs="Times New Roman"/>
          <w:lang w:val="en-GB"/>
        </w:rPr>
        <w:t xml:space="preserve"> P, </w:t>
      </w:r>
      <w:proofErr w:type="spellStart"/>
      <w:r w:rsidRPr="00B967CB">
        <w:rPr>
          <w:rFonts w:cs="Times New Roman"/>
          <w:lang w:val="en-GB"/>
        </w:rPr>
        <w:t>Vazzoler</w:t>
      </w:r>
      <w:proofErr w:type="spellEnd"/>
      <w:r w:rsidRPr="00B967CB">
        <w:rPr>
          <w:rFonts w:cs="Times New Roman"/>
          <w:lang w:val="en-GB"/>
        </w:rPr>
        <w:t xml:space="preserve"> G, Mazzola MA, Lo Re V, Lo Re M, et al. Association between multiple sclerosis, cancer risk, and immunosuppressant treatment: a cohort study. BMC Neurol. 2017 Aug </w:t>
      </w:r>
      <w:proofErr w:type="gramStart"/>
      <w:r w:rsidRPr="00B967CB">
        <w:rPr>
          <w:rFonts w:cs="Times New Roman"/>
          <w:lang w:val="en-GB"/>
        </w:rPr>
        <w:t>8;17:155</w:t>
      </w:r>
      <w:proofErr w:type="gramEnd"/>
      <w:r w:rsidRPr="00B967CB">
        <w:rPr>
          <w:rFonts w:cs="Times New Roman"/>
          <w:lang w:val="en-GB"/>
        </w:rPr>
        <w:t xml:space="preserve">. </w:t>
      </w:r>
    </w:p>
    <w:p w14:paraId="7E8BF7ED" w14:textId="77777777" w:rsidR="00B967CB" w:rsidRPr="00B967CB" w:rsidRDefault="00B967CB" w:rsidP="00B967CB">
      <w:pPr>
        <w:pStyle w:val="Bibliography"/>
        <w:rPr>
          <w:rFonts w:cs="Times New Roman"/>
          <w:lang w:val="en-GB"/>
        </w:rPr>
      </w:pPr>
      <w:r w:rsidRPr="00B967CB">
        <w:rPr>
          <w:rFonts w:cs="Times New Roman"/>
          <w:lang w:val="en-GB"/>
        </w:rPr>
        <w:t>4.</w:t>
      </w:r>
      <w:r w:rsidRPr="00B967CB">
        <w:rPr>
          <w:rFonts w:cs="Times New Roman"/>
          <w:lang w:val="en-GB"/>
        </w:rPr>
        <w:tab/>
      </w:r>
      <w:proofErr w:type="spellStart"/>
      <w:r w:rsidRPr="00B967CB">
        <w:rPr>
          <w:rFonts w:cs="Times New Roman"/>
          <w:lang w:val="en-GB"/>
        </w:rPr>
        <w:t>Moisset</w:t>
      </w:r>
      <w:proofErr w:type="spellEnd"/>
      <w:r w:rsidRPr="00B967CB">
        <w:rPr>
          <w:rFonts w:cs="Times New Roman"/>
          <w:lang w:val="en-GB"/>
        </w:rPr>
        <w:t xml:space="preserve"> X, </w:t>
      </w:r>
      <w:proofErr w:type="spellStart"/>
      <w:r w:rsidRPr="00B967CB">
        <w:rPr>
          <w:rFonts w:cs="Times New Roman"/>
          <w:lang w:val="en-GB"/>
        </w:rPr>
        <w:t>Perié</w:t>
      </w:r>
      <w:proofErr w:type="spellEnd"/>
      <w:r w:rsidRPr="00B967CB">
        <w:rPr>
          <w:rFonts w:cs="Times New Roman"/>
          <w:lang w:val="en-GB"/>
        </w:rPr>
        <w:t xml:space="preserve"> M, Pereira B, Dumont E, Lebrun-</w:t>
      </w:r>
      <w:proofErr w:type="spellStart"/>
      <w:r w:rsidRPr="00B967CB">
        <w:rPr>
          <w:rFonts w:cs="Times New Roman"/>
          <w:lang w:val="en-GB"/>
        </w:rPr>
        <w:t>Frenay</w:t>
      </w:r>
      <w:proofErr w:type="spellEnd"/>
      <w:r w:rsidRPr="00B967CB">
        <w:rPr>
          <w:rFonts w:cs="Times New Roman"/>
          <w:lang w:val="en-GB"/>
        </w:rPr>
        <w:t xml:space="preserve"> C, Lesage FX, et al. Decreased prevalence of cancer in patients with multiple sclerosis: A case-control study. </w:t>
      </w:r>
      <w:proofErr w:type="spellStart"/>
      <w:r w:rsidRPr="00B967CB">
        <w:rPr>
          <w:rFonts w:cs="Times New Roman"/>
          <w:lang w:val="en-GB"/>
        </w:rPr>
        <w:t>PLoS</w:t>
      </w:r>
      <w:proofErr w:type="spellEnd"/>
      <w:r w:rsidRPr="00B967CB">
        <w:rPr>
          <w:rFonts w:cs="Times New Roman"/>
          <w:lang w:val="en-GB"/>
        </w:rPr>
        <w:t xml:space="preserve"> One. 2017 Nov 27;12(11</w:t>
      </w:r>
      <w:proofErr w:type="gramStart"/>
      <w:r w:rsidRPr="00B967CB">
        <w:rPr>
          <w:rFonts w:cs="Times New Roman"/>
          <w:lang w:val="en-GB"/>
        </w:rPr>
        <w:t>):e</w:t>
      </w:r>
      <w:proofErr w:type="gramEnd"/>
      <w:r w:rsidRPr="00B967CB">
        <w:rPr>
          <w:rFonts w:cs="Times New Roman"/>
          <w:lang w:val="en-GB"/>
        </w:rPr>
        <w:t xml:space="preserve">0188120. </w:t>
      </w:r>
    </w:p>
    <w:p w14:paraId="5AB332A3" w14:textId="77777777" w:rsidR="00B967CB" w:rsidRPr="00B967CB" w:rsidRDefault="00B967CB" w:rsidP="00B967CB">
      <w:pPr>
        <w:pStyle w:val="Bibliography"/>
        <w:rPr>
          <w:rFonts w:cs="Times New Roman"/>
          <w:lang w:val="en-GB"/>
        </w:rPr>
      </w:pPr>
      <w:r w:rsidRPr="00B967CB">
        <w:rPr>
          <w:rFonts w:cs="Times New Roman"/>
          <w:lang w:val="en-GB"/>
        </w:rPr>
        <w:t>5.</w:t>
      </w:r>
      <w:r w:rsidRPr="00B967CB">
        <w:rPr>
          <w:rFonts w:cs="Times New Roman"/>
          <w:lang w:val="en-GB"/>
        </w:rPr>
        <w:tab/>
        <w:t xml:space="preserve">D’Amico E, </w:t>
      </w:r>
      <w:proofErr w:type="spellStart"/>
      <w:r w:rsidRPr="00B967CB">
        <w:rPr>
          <w:rFonts w:cs="Times New Roman"/>
          <w:lang w:val="en-GB"/>
        </w:rPr>
        <w:t>Chisari</w:t>
      </w:r>
      <w:proofErr w:type="spellEnd"/>
      <w:r w:rsidRPr="00B967CB">
        <w:rPr>
          <w:rFonts w:cs="Times New Roman"/>
          <w:lang w:val="en-GB"/>
        </w:rPr>
        <w:t xml:space="preserve"> CG, Arena S, </w:t>
      </w:r>
      <w:proofErr w:type="spellStart"/>
      <w:r w:rsidRPr="00B967CB">
        <w:rPr>
          <w:rFonts w:cs="Times New Roman"/>
          <w:lang w:val="en-GB"/>
        </w:rPr>
        <w:t>Zanghì</w:t>
      </w:r>
      <w:proofErr w:type="spellEnd"/>
      <w:r w:rsidRPr="00B967CB">
        <w:rPr>
          <w:rFonts w:cs="Times New Roman"/>
          <w:lang w:val="en-GB"/>
        </w:rPr>
        <w:t xml:space="preserve"> A, Toscano S, Lo Fermo S, et al. Cancer Risk and Multiple Sclerosis: Evidence </w:t>
      </w:r>
      <w:proofErr w:type="gramStart"/>
      <w:r w:rsidRPr="00B967CB">
        <w:rPr>
          <w:rFonts w:cs="Times New Roman"/>
          <w:lang w:val="en-GB"/>
        </w:rPr>
        <w:t>From</w:t>
      </w:r>
      <w:proofErr w:type="gramEnd"/>
      <w:r w:rsidRPr="00B967CB">
        <w:rPr>
          <w:rFonts w:cs="Times New Roman"/>
          <w:lang w:val="en-GB"/>
        </w:rPr>
        <w:t xml:space="preserve"> a Large Italian Cohort. Front Neurol. 2019 Apr </w:t>
      </w:r>
      <w:proofErr w:type="gramStart"/>
      <w:r w:rsidRPr="00B967CB">
        <w:rPr>
          <w:rFonts w:cs="Times New Roman"/>
          <w:lang w:val="en-GB"/>
        </w:rPr>
        <w:t>10;10:337</w:t>
      </w:r>
      <w:proofErr w:type="gramEnd"/>
      <w:r w:rsidRPr="00B967CB">
        <w:rPr>
          <w:rFonts w:cs="Times New Roman"/>
          <w:lang w:val="en-GB"/>
        </w:rPr>
        <w:t xml:space="preserve">. </w:t>
      </w:r>
    </w:p>
    <w:p w14:paraId="27AA74A7" w14:textId="77777777" w:rsidR="00B967CB" w:rsidRPr="00B967CB" w:rsidRDefault="00B967CB" w:rsidP="00B967CB">
      <w:pPr>
        <w:pStyle w:val="Bibliography"/>
        <w:rPr>
          <w:rFonts w:cs="Times New Roman"/>
          <w:lang w:val="en-GB"/>
        </w:rPr>
      </w:pPr>
      <w:r w:rsidRPr="00B967CB">
        <w:rPr>
          <w:rFonts w:cs="Times New Roman"/>
          <w:lang w:val="en-GB"/>
        </w:rPr>
        <w:t>6.</w:t>
      </w:r>
      <w:r w:rsidRPr="00B967CB">
        <w:rPr>
          <w:rFonts w:cs="Times New Roman"/>
          <w:lang w:val="en-GB"/>
        </w:rPr>
        <w:tab/>
        <w:t xml:space="preserve">Gil-Bernal R, González-Caballero JL, Espinosa-Rosso R, Gómez-Gómez C. Potential risk of disease modifying therapies on neoplasm development and coadjutant factors in multiple sclerosis outpatients. Sci Rep. 2021 Jun </w:t>
      </w:r>
      <w:proofErr w:type="gramStart"/>
      <w:r w:rsidRPr="00B967CB">
        <w:rPr>
          <w:rFonts w:cs="Times New Roman"/>
          <w:lang w:val="en-GB"/>
        </w:rPr>
        <w:t>15;11:12533</w:t>
      </w:r>
      <w:proofErr w:type="gramEnd"/>
      <w:r w:rsidRPr="00B967CB">
        <w:rPr>
          <w:rFonts w:cs="Times New Roman"/>
          <w:lang w:val="en-GB"/>
        </w:rPr>
        <w:t xml:space="preserve">. </w:t>
      </w:r>
    </w:p>
    <w:p w14:paraId="5149F18D" w14:textId="77777777" w:rsidR="00B967CB" w:rsidRPr="00B967CB" w:rsidRDefault="00B967CB" w:rsidP="00B967CB">
      <w:pPr>
        <w:pStyle w:val="Bibliography"/>
        <w:rPr>
          <w:rFonts w:cs="Times New Roman"/>
          <w:lang w:val="en-GB"/>
        </w:rPr>
      </w:pPr>
      <w:r w:rsidRPr="00B967CB">
        <w:rPr>
          <w:rFonts w:cs="Times New Roman"/>
          <w:lang w:val="en-GB"/>
        </w:rPr>
        <w:t>7.</w:t>
      </w:r>
      <w:r w:rsidRPr="00B967CB">
        <w:rPr>
          <w:rFonts w:cs="Times New Roman"/>
          <w:lang w:val="en-GB"/>
        </w:rPr>
        <w:tab/>
      </w:r>
      <w:proofErr w:type="spellStart"/>
      <w:r w:rsidRPr="00B967CB">
        <w:rPr>
          <w:rFonts w:cs="Times New Roman"/>
          <w:lang w:val="en-GB"/>
        </w:rPr>
        <w:t>Mariottini</w:t>
      </w:r>
      <w:proofErr w:type="spellEnd"/>
      <w:r w:rsidRPr="00B967CB">
        <w:rPr>
          <w:rFonts w:cs="Times New Roman"/>
          <w:lang w:val="en-GB"/>
        </w:rPr>
        <w:t xml:space="preserve"> A, </w:t>
      </w:r>
      <w:proofErr w:type="spellStart"/>
      <w:r w:rsidRPr="00B967CB">
        <w:rPr>
          <w:rFonts w:cs="Times New Roman"/>
          <w:lang w:val="en-GB"/>
        </w:rPr>
        <w:t>Forci</w:t>
      </w:r>
      <w:proofErr w:type="spellEnd"/>
      <w:r w:rsidRPr="00B967CB">
        <w:rPr>
          <w:rFonts w:cs="Times New Roman"/>
          <w:lang w:val="en-GB"/>
        </w:rPr>
        <w:t xml:space="preserve"> B, </w:t>
      </w:r>
      <w:proofErr w:type="spellStart"/>
      <w:r w:rsidRPr="00B967CB">
        <w:rPr>
          <w:rFonts w:cs="Times New Roman"/>
          <w:lang w:val="en-GB"/>
        </w:rPr>
        <w:t>Gualdani</w:t>
      </w:r>
      <w:proofErr w:type="spellEnd"/>
      <w:r w:rsidRPr="00B967CB">
        <w:rPr>
          <w:rFonts w:cs="Times New Roman"/>
          <w:lang w:val="en-GB"/>
        </w:rPr>
        <w:t xml:space="preserve"> E, </w:t>
      </w:r>
      <w:proofErr w:type="spellStart"/>
      <w:r w:rsidRPr="00B967CB">
        <w:rPr>
          <w:rFonts w:cs="Times New Roman"/>
          <w:lang w:val="en-GB"/>
        </w:rPr>
        <w:t>Romoli</w:t>
      </w:r>
      <w:proofErr w:type="spellEnd"/>
      <w:r w:rsidRPr="00B967CB">
        <w:rPr>
          <w:rFonts w:cs="Times New Roman"/>
          <w:lang w:val="en-GB"/>
        </w:rPr>
        <w:t xml:space="preserve"> M, </w:t>
      </w:r>
      <w:proofErr w:type="spellStart"/>
      <w:r w:rsidRPr="00B967CB">
        <w:rPr>
          <w:rFonts w:cs="Times New Roman"/>
          <w:lang w:val="en-GB"/>
        </w:rPr>
        <w:t>Repice</w:t>
      </w:r>
      <w:proofErr w:type="spellEnd"/>
      <w:r w:rsidRPr="00B967CB">
        <w:rPr>
          <w:rFonts w:cs="Times New Roman"/>
          <w:lang w:val="en-GB"/>
        </w:rPr>
        <w:t xml:space="preserve"> AM, Barilaro A, et al. Incidence of malignant neoplasms and mortality in people affected by multiple sclerosis in the epoch of disease-modifying treatments: A population-based study on Tuscan residents. Mult </w:t>
      </w:r>
      <w:proofErr w:type="spellStart"/>
      <w:r w:rsidRPr="00B967CB">
        <w:rPr>
          <w:rFonts w:cs="Times New Roman"/>
          <w:lang w:val="en-GB"/>
        </w:rPr>
        <w:t>Scler</w:t>
      </w:r>
      <w:proofErr w:type="spellEnd"/>
      <w:r w:rsidRPr="00B967CB">
        <w:rPr>
          <w:rFonts w:cs="Times New Roman"/>
          <w:lang w:val="en-GB"/>
        </w:rPr>
        <w:t xml:space="preserve"> </w:t>
      </w:r>
      <w:proofErr w:type="spellStart"/>
      <w:r w:rsidRPr="00B967CB">
        <w:rPr>
          <w:rFonts w:cs="Times New Roman"/>
          <w:lang w:val="en-GB"/>
        </w:rPr>
        <w:t>Relat</w:t>
      </w:r>
      <w:proofErr w:type="spellEnd"/>
      <w:r w:rsidRPr="00B967CB">
        <w:rPr>
          <w:rFonts w:cs="Times New Roman"/>
          <w:lang w:val="en-GB"/>
        </w:rPr>
        <w:t xml:space="preserve"> </w:t>
      </w:r>
      <w:proofErr w:type="spellStart"/>
      <w:r w:rsidRPr="00B967CB">
        <w:rPr>
          <w:rFonts w:cs="Times New Roman"/>
          <w:lang w:val="en-GB"/>
        </w:rPr>
        <w:t>Disord</w:t>
      </w:r>
      <w:proofErr w:type="spellEnd"/>
      <w:r w:rsidRPr="00B967CB">
        <w:rPr>
          <w:rFonts w:cs="Times New Roman"/>
          <w:lang w:val="en-GB"/>
        </w:rPr>
        <w:t xml:space="preserve">. 2022 </w:t>
      </w:r>
      <w:proofErr w:type="gramStart"/>
      <w:r w:rsidRPr="00B967CB">
        <w:rPr>
          <w:rFonts w:cs="Times New Roman"/>
          <w:lang w:val="en-GB"/>
        </w:rPr>
        <w:t>Apr;60:103679</w:t>
      </w:r>
      <w:proofErr w:type="gramEnd"/>
      <w:r w:rsidRPr="00B967CB">
        <w:rPr>
          <w:rFonts w:cs="Times New Roman"/>
          <w:lang w:val="en-GB"/>
        </w:rPr>
        <w:t xml:space="preserve">. </w:t>
      </w:r>
    </w:p>
    <w:p w14:paraId="1CC4819F" w14:textId="77777777" w:rsidR="00B967CB" w:rsidRPr="00B967CB" w:rsidRDefault="00B967CB" w:rsidP="00B967CB">
      <w:pPr>
        <w:pStyle w:val="Bibliography"/>
        <w:rPr>
          <w:rFonts w:cs="Times New Roman"/>
          <w:lang w:val="en-GB"/>
        </w:rPr>
      </w:pPr>
      <w:r w:rsidRPr="00B967CB">
        <w:rPr>
          <w:rFonts w:cs="Times New Roman"/>
          <w:lang w:val="en-GB"/>
        </w:rPr>
        <w:t>8.</w:t>
      </w:r>
      <w:r w:rsidRPr="00B967CB">
        <w:rPr>
          <w:rFonts w:cs="Times New Roman"/>
          <w:lang w:val="en-GB"/>
        </w:rPr>
        <w:tab/>
      </w:r>
      <w:proofErr w:type="spellStart"/>
      <w:r w:rsidRPr="00B967CB">
        <w:rPr>
          <w:rFonts w:cs="Times New Roman"/>
          <w:lang w:val="en-GB"/>
        </w:rPr>
        <w:t>Kappos</w:t>
      </w:r>
      <w:proofErr w:type="spellEnd"/>
      <w:r w:rsidRPr="00B967CB">
        <w:rPr>
          <w:rFonts w:cs="Times New Roman"/>
          <w:lang w:val="en-GB"/>
        </w:rPr>
        <w:t xml:space="preserve"> L, Polman CH, Freedman MS, Edan G, Hartung HP, Miller DH, et al. Treatment with interferon beta-1b delays conversion to clinically definite and McDonald MS in patients with clinically isolated syndromes. Neurology. 2006 Oct 10;67(7):1242–9. </w:t>
      </w:r>
    </w:p>
    <w:p w14:paraId="39AD6A9B" w14:textId="77777777" w:rsidR="00B967CB" w:rsidRPr="00B967CB" w:rsidRDefault="00B967CB" w:rsidP="00B967CB">
      <w:pPr>
        <w:pStyle w:val="Bibliography"/>
        <w:rPr>
          <w:rFonts w:cs="Times New Roman"/>
          <w:lang w:val="en-GB"/>
        </w:rPr>
      </w:pPr>
      <w:r w:rsidRPr="00B967CB">
        <w:rPr>
          <w:rFonts w:cs="Times New Roman"/>
          <w:lang w:val="en-GB"/>
        </w:rPr>
        <w:t>9.</w:t>
      </w:r>
      <w:r w:rsidRPr="00B967CB">
        <w:rPr>
          <w:rFonts w:cs="Times New Roman"/>
          <w:lang w:val="en-GB"/>
        </w:rPr>
        <w:tab/>
        <w:t xml:space="preserve">O’Connor P, </w:t>
      </w:r>
      <w:proofErr w:type="spellStart"/>
      <w:r w:rsidRPr="00B967CB">
        <w:rPr>
          <w:rFonts w:cs="Times New Roman"/>
          <w:lang w:val="en-GB"/>
        </w:rPr>
        <w:t>Filippi</w:t>
      </w:r>
      <w:proofErr w:type="spellEnd"/>
      <w:r w:rsidRPr="00B967CB">
        <w:rPr>
          <w:rFonts w:cs="Times New Roman"/>
          <w:lang w:val="en-GB"/>
        </w:rPr>
        <w:t xml:space="preserve"> M, </w:t>
      </w:r>
      <w:proofErr w:type="spellStart"/>
      <w:r w:rsidRPr="00B967CB">
        <w:rPr>
          <w:rFonts w:cs="Times New Roman"/>
          <w:lang w:val="en-GB"/>
        </w:rPr>
        <w:t>Arnason</w:t>
      </w:r>
      <w:proofErr w:type="spellEnd"/>
      <w:r w:rsidRPr="00B967CB">
        <w:rPr>
          <w:rFonts w:cs="Times New Roman"/>
          <w:lang w:val="en-GB"/>
        </w:rPr>
        <w:t xml:space="preserve"> B, </w:t>
      </w:r>
      <w:proofErr w:type="spellStart"/>
      <w:r w:rsidRPr="00B967CB">
        <w:rPr>
          <w:rFonts w:cs="Times New Roman"/>
          <w:lang w:val="en-GB"/>
        </w:rPr>
        <w:t>Comi</w:t>
      </w:r>
      <w:proofErr w:type="spellEnd"/>
      <w:r w:rsidRPr="00B967CB">
        <w:rPr>
          <w:rFonts w:cs="Times New Roman"/>
          <w:lang w:val="en-GB"/>
        </w:rPr>
        <w:t xml:space="preserve"> G, Cook S, </w:t>
      </w:r>
      <w:proofErr w:type="spellStart"/>
      <w:r w:rsidRPr="00B967CB">
        <w:rPr>
          <w:rFonts w:cs="Times New Roman"/>
          <w:lang w:val="en-GB"/>
        </w:rPr>
        <w:t>Goodin</w:t>
      </w:r>
      <w:proofErr w:type="spellEnd"/>
      <w:r w:rsidRPr="00B967CB">
        <w:rPr>
          <w:rFonts w:cs="Times New Roman"/>
          <w:lang w:val="en-GB"/>
        </w:rPr>
        <w:t xml:space="preserve"> D, et al. 250 </w:t>
      </w:r>
      <w:proofErr w:type="spellStart"/>
      <w:r w:rsidRPr="00B967CB">
        <w:rPr>
          <w:rFonts w:cs="Times New Roman"/>
          <w:lang w:val="en-GB"/>
        </w:rPr>
        <w:t>μg</w:t>
      </w:r>
      <w:proofErr w:type="spellEnd"/>
      <w:r w:rsidRPr="00B967CB">
        <w:rPr>
          <w:rFonts w:cs="Times New Roman"/>
          <w:lang w:val="en-GB"/>
        </w:rPr>
        <w:t xml:space="preserve"> or 500 </w:t>
      </w:r>
      <w:proofErr w:type="spellStart"/>
      <w:r w:rsidRPr="00B967CB">
        <w:rPr>
          <w:rFonts w:cs="Times New Roman"/>
          <w:lang w:val="en-GB"/>
        </w:rPr>
        <w:t>μg</w:t>
      </w:r>
      <w:proofErr w:type="spellEnd"/>
      <w:r w:rsidRPr="00B967CB">
        <w:rPr>
          <w:rFonts w:cs="Times New Roman"/>
          <w:lang w:val="en-GB"/>
        </w:rPr>
        <w:t xml:space="preserve"> interferon beta-1b versus 20 mg glatiramer acetate in relapsing-remitting multiple sclerosis: a prospective, randomised, multicentre study. The Lancet Neurology. 2009 Oct;8(10):889–97. </w:t>
      </w:r>
    </w:p>
    <w:p w14:paraId="4CDF9ED7" w14:textId="77777777" w:rsidR="00B967CB" w:rsidRPr="00B967CB" w:rsidRDefault="00B967CB" w:rsidP="00B967CB">
      <w:pPr>
        <w:pStyle w:val="Bibliography"/>
        <w:rPr>
          <w:rFonts w:cs="Times New Roman"/>
          <w:lang w:val="en-GB"/>
        </w:rPr>
      </w:pPr>
      <w:r w:rsidRPr="00B967CB">
        <w:rPr>
          <w:rFonts w:cs="Times New Roman"/>
          <w:lang w:val="en-GB"/>
        </w:rPr>
        <w:t>10.</w:t>
      </w:r>
      <w:r w:rsidRPr="00B967CB">
        <w:rPr>
          <w:rFonts w:cs="Times New Roman"/>
          <w:lang w:val="en-GB"/>
        </w:rPr>
        <w:tab/>
      </w:r>
      <w:proofErr w:type="spellStart"/>
      <w:r w:rsidRPr="00B967CB">
        <w:rPr>
          <w:rFonts w:cs="Times New Roman"/>
          <w:lang w:val="en-GB"/>
        </w:rPr>
        <w:t>Reder</w:t>
      </w:r>
      <w:proofErr w:type="spellEnd"/>
      <w:r w:rsidRPr="00B967CB">
        <w:rPr>
          <w:rFonts w:cs="Times New Roman"/>
          <w:lang w:val="en-GB"/>
        </w:rPr>
        <w:t xml:space="preserve"> AT, </w:t>
      </w:r>
      <w:proofErr w:type="spellStart"/>
      <w:r w:rsidRPr="00B967CB">
        <w:rPr>
          <w:rFonts w:cs="Times New Roman"/>
          <w:lang w:val="en-GB"/>
        </w:rPr>
        <w:t>Ebers</w:t>
      </w:r>
      <w:proofErr w:type="spellEnd"/>
      <w:r w:rsidRPr="00B967CB">
        <w:rPr>
          <w:rFonts w:cs="Times New Roman"/>
          <w:lang w:val="en-GB"/>
        </w:rPr>
        <w:t xml:space="preserve"> GC, </w:t>
      </w:r>
      <w:proofErr w:type="spellStart"/>
      <w:r w:rsidRPr="00B967CB">
        <w:rPr>
          <w:rFonts w:cs="Times New Roman"/>
          <w:lang w:val="en-GB"/>
        </w:rPr>
        <w:t>Traboulsee</w:t>
      </w:r>
      <w:proofErr w:type="spellEnd"/>
      <w:r w:rsidRPr="00B967CB">
        <w:rPr>
          <w:rFonts w:cs="Times New Roman"/>
          <w:lang w:val="en-GB"/>
        </w:rPr>
        <w:t xml:space="preserve"> A, Li D, Langdon D, </w:t>
      </w:r>
      <w:proofErr w:type="spellStart"/>
      <w:r w:rsidRPr="00B967CB">
        <w:rPr>
          <w:rFonts w:cs="Times New Roman"/>
          <w:lang w:val="en-GB"/>
        </w:rPr>
        <w:t>Goodin</w:t>
      </w:r>
      <w:proofErr w:type="spellEnd"/>
      <w:r w:rsidRPr="00B967CB">
        <w:rPr>
          <w:rFonts w:cs="Times New Roman"/>
          <w:lang w:val="en-GB"/>
        </w:rPr>
        <w:t xml:space="preserve"> DS, et al. Cross-sectional study assessing long-term safety of interferon- -1b for relapsing-remitting MS. Neurology. 2010 Jun 8;74(23):1877–85. </w:t>
      </w:r>
    </w:p>
    <w:p w14:paraId="39DD727A" w14:textId="77777777" w:rsidR="00B967CB" w:rsidRPr="00B967CB" w:rsidRDefault="00B967CB" w:rsidP="00B967CB">
      <w:pPr>
        <w:pStyle w:val="Bibliography"/>
        <w:rPr>
          <w:rFonts w:cs="Times New Roman"/>
          <w:lang w:val="en-GB"/>
        </w:rPr>
      </w:pPr>
      <w:r w:rsidRPr="00B967CB">
        <w:rPr>
          <w:rFonts w:cs="Times New Roman"/>
          <w:lang w:val="en-GB"/>
        </w:rPr>
        <w:lastRenderedPageBreak/>
        <w:t>11.</w:t>
      </w:r>
      <w:r w:rsidRPr="00B967CB">
        <w:rPr>
          <w:rFonts w:cs="Times New Roman"/>
          <w:lang w:val="en-GB"/>
        </w:rPr>
        <w:tab/>
      </w:r>
      <w:proofErr w:type="spellStart"/>
      <w:r w:rsidRPr="00B967CB">
        <w:rPr>
          <w:rFonts w:cs="Times New Roman"/>
          <w:lang w:val="en-GB"/>
        </w:rPr>
        <w:t>Bloomgren</w:t>
      </w:r>
      <w:proofErr w:type="spellEnd"/>
      <w:r w:rsidRPr="00B967CB">
        <w:rPr>
          <w:rFonts w:cs="Times New Roman"/>
          <w:lang w:val="en-GB"/>
        </w:rPr>
        <w:t xml:space="preserve"> G, Sperling B, Cushing K, </w:t>
      </w:r>
      <w:proofErr w:type="spellStart"/>
      <w:r w:rsidRPr="00B967CB">
        <w:rPr>
          <w:rFonts w:cs="Times New Roman"/>
          <w:lang w:val="en-GB"/>
        </w:rPr>
        <w:t>Wenten</w:t>
      </w:r>
      <w:proofErr w:type="spellEnd"/>
      <w:r w:rsidRPr="00B967CB">
        <w:rPr>
          <w:rFonts w:cs="Times New Roman"/>
          <w:lang w:val="en-GB"/>
        </w:rPr>
        <w:t xml:space="preserve"> M. Assessment of malignancy risk in patients with multiple sclerosis treated with intramuscular interferon beta-1a: retrospective evaluation using a health insurance claims database and </w:t>
      </w:r>
      <w:proofErr w:type="spellStart"/>
      <w:r w:rsidRPr="00B967CB">
        <w:rPr>
          <w:rFonts w:cs="Times New Roman"/>
          <w:lang w:val="en-GB"/>
        </w:rPr>
        <w:t>postmarketing</w:t>
      </w:r>
      <w:proofErr w:type="spellEnd"/>
      <w:r w:rsidRPr="00B967CB">
        <w:rPr>
          <w:rFonts w:cs="Times New Roman"/>
          <w:lang w:val="en-GB"/>
        </w:rPr>
        <w:t xml:space="preserve"> surveillance data. </w:t>
      </w:r>
      <w:proofErr w:type="spellStart"/>
      <w:r w:rsidRPr="00B967CB">
        <w:rPr>
          <w:rFonts w:cs="Times New Roman"/>
          <w:lang w:val="en-GB"/>
        </w:rPr>
        <w:t>Ther</w:t>
      </w:r>
      <w:proofErr w:type="spellEnd"/>
      <w:r w:rsidRPr="00B967CB">
        <w:rPr>
          <w:rFonts w:cs="Times New Roman"/>
          <w:lang w:val="en-GB"/>
        </w:rPr>
        <w:t xml:space="preserve"> Clin Risk </w:t>
      </w:r>
      <w:proofErr w:type="spellStart"/>
      <w:r w:rsidRPr="00B967CB">
        <w:rPr>
          <w:rFonts w:cs="Times New Roman"/>
          <w:lang w:val="en-GB"/>
        </w:rPr>
        <w:t>Manag</w:t>
      </w:r>
      <w:proofErr w:type="spellEnd"/>
      <w:r w:rsidRPr="00B967CB">
        <w:rPr>
          <w:rFonts w:cs="Times New Roman"/>
          <w:lang w:val="en-GB"/>
        </w:rPr>
        <w:t xml:space="preserve">. </w:t>
      </w:r>
      <w:proofErr w:type="gramStart"/>
      <w:r w:rsidRPr="00B967CB">
        <w:rPr>
          <w:rFonts w:cs="Times New Roman"/>
          <w:lang w:val="en-GB"/>
        </w:rPr>
        <w:t>2012;8:313</w:t>
      </w:r>
      <w:proofErr w:type="gramEnd"/>
      <w:r w:rsidRPr="00B967CB">
        <w:rPr>
          <w:rFonts w:cs="Times New Roman"/>
          <w:lang w:val="en-GB"/>
        </w:rPr>
        <w:t xml:space="preserve">–21. </w:t>
      </w:r>
    </w:p>
    <w:p w14:paraId="7F7D7A06" w14:textId="77777777" w:rsidR="00B967CB" w:rsidRPr="00B967CB" w:rsidRDefault="00B967CB" w:rsidP="00B967CB">
      <w:pPr>
        <w:pStyle w:val="Bibliography"/>
        <w:rPr>
          <w:rFonts w:cs="Times New Roman"/>
          <w:lang w:val="en-GB"/>
        </w:rPr>
      </w:pPr>
      <w:r w:rsidRPr="00B967CB">
        <w:rPr>
          <w:rFonts w:cs="Times New Roman"/>
          <w:lang w:val="en-GB"/>
        </w:rPr>
        <w:t>12.</w:t>
      </w:r>
      <w:r w:rsidRPr="00B967CB">
        <w:rPr>
          <w:rFonts w:cs="Times New Roman"/>
          <w:lang w:val="en-GB"/>
        </w:rPr>
        <w:tab/>
      </w:r>
      <w:proofErr w:type="spellStart"/>
      <w:r w:rsidRPr="00B967CB">
        <w:rPr>
          <w:rFonts w:cs="Times New Roman"/>
          <w:lang w:val="en-GB"/>
        </w:rPr>
        <w:t>Wolinsky</w:t>
      </w:r>
      <w:proofErr w:type="spellEnd"/>
      <w:r w:rsidRPr="00B967CB">
        <w:rPr>
          <w:rFonts w:cs="Times New Roman"/>
          <w:lang w:val="en-GB"/>
        </w:rPr>
        <w:t xml:space="preserve"> JS, </w:t>
      </w:r>
      <w:proofErr w:type="spellStart"/>
      <w:r w:rsidRPr="00B967CB">
        <w:rPr>
          <w:rFonts w:cs="Times New Roman"/>
          <w:lang w:val="en-GB"/>
        </w:rPr>
        <w:t>Borresen</w:t>
      </w:r>
      <w:proofErr w:type="spellEnd"/>
      <w:r w:rsidRPr="00B967CB">
        <w:rPr>
          <w:rFonts w:cs="Times New Roman"/>
          <w:lang w:val="en-GB"/>
        </w:rPr>
        <w:t xml:space="preserve"> TE, Dietrich DW, Wynn D, Sidi Y, </w:t>
      </w:r>
      <w:proofErr w:type="spellStart"/>
      <w:r w:rsidRPr="00B967CB">
        <w:rPr>
          <w:rFonts w:cs="Times New Roman"/>
          <w:lang w:val="en-GB"/>
        </w:rPr>
        <w:t>Steinerman</w:t>
      </w:r>
      <w:proofErr w:type="spellEnd"/>
      <w:r w:rsidRPr="00B967CB">
        <w:rPr>
          <w:rFonts w:cs="Times New Roman"/>
          <w:lang w:val="en-GB"/>
        </w:rPr>
        <w:t xml:space="preserve"> JR, et al. GLACIER: An open-label, randomized, </w:t>
      </w:r>
      <w:proofErr w:type="spellStart"/>
      <w:r w:rsidRPr="00B967CB">
        <w:rPr>
          <w:rFonts w:cs="Times New Roman"/>
          <w:lang w:val="en-GB"/>
        </w:rPr>
        <w:t>multicenter</w:t>
      </w:r>
      <w:proofErr w:type="spellEnd"/>
      <w:r w:rsidRPr="00B967CB">
        <w:rPr>
          <w:rFonts w:cs="Times New Roman"/>
          <w:lang w:val="en-GB"/>
        </w:rPr>
        <w:t xml:space="preserve"> study to assess the safety and tolerability of glatiramer acetate 40mg three-times weekly versus 20mg daily in patients with relapsing-remitting multiple sclerosis. Multiple Sclerosis and Related Disorders. 2015 Jul;4(4):370–6. </w:t>
      </w:r>
    </w:p>
    <w:p w14:paraId="0BBF31DE" w14:textId="77777777" w:rsidR="00B967CB" w:rsidRPr="00B967CB" w:rsidRDefault="00B967CB" w:rsidP="00B967CB">
      <w:pPr>
        <w:pStyle w:val="Bibliography"/>
        <w:rPr>
          <w:rFonts w:cs="Times New Roman"/>
          <w:lang w:val="en-GB"/>
        </w:rPr>
      </w:pPr>
      <w:r w:rsidRPr="00B967CB">
        <w:rPr>
          <w:rFonts w:cs="Times New Roman"/>
          <w:lang w:val="en-GB"/>
        </w:rPr>
        <w:t>13.</w:t>
      </w:r>
      <w:r w:rsidRPr="00B967CB">
        <w:rPr>
          <w:rFonts w:cs="Times New Roman"/>
          <w:lang w:val="en-GB"/>
        </w:rPr>
        <w:tab/>
        <w:t xml:space="preserve">Gold R, </w:t>
      </w:r>
      <w:proofErr w:type="spellStart"/>
      <w:r w:rsidRPr="00B967CB">
        <w:rPr>
          <w:rFonts w:cs="Times New Roman"/>
          <w:lang w:val="en-GB"/>
        </w:rPr>
        <w:t>Kappos</w:t>
      </w:r>
      <w:proofErr w:type="spellEnd"/>
      <w:r w:rsidRPr="00B967CB">
        <w:rPr>
          <w:rFonts w:cs="Times New Roman"/>
          <w:lang w:val="en-GB"/>
        </w:rPr>
        <w:t xml:space="preserve"> L, Arnold DL, Bar-Or A, </w:t>
      </w:r>
      <w:proofErr w:type="spellStart"/>
      <w:r w:rsidRPr="00B967CB">
        <w:rPr>
          <w:rFonts w:cs="Times New Roman"/>
          <w:lang w:val="en-GB"/>
        </w:rPr>
        <w:t>Giovannoni</w:t>
      </w:r>
      <w:proofErr w:type="spellEnd"/>
      <w:r w:rsidRPr="00B967CB">
        <w:rPr>
          <w:rFonts w:cs="Times New Roman"/>
          <w:lang w:val="en-GB"/>
        </w:rPr>
        <w:t xml:space="preserve"> G, </w:t>
      </w:r>
      <w:proofErr w:type="spellStart"/>
      <w:r w:rsidRPr="00B967CB">
        <w:rPr>
          <w:rFonts w:cs="Times New Roman"/>
          <w:lang w:val="en-GB"/>
        </w:rPr>
        <w:t>Selmaj</w:t>
      </w:r>
      <w:proofErr w:type="spellEnd"/>
      <w:r w:rsidRPr="00B967CB">
        <w:rPr>
          <w:rFonts w:cs="Times New Roman"/>
          <w:lang w:val="en-GB"/>
        </w:rPr>
        <w:t xml:space="preserve"> K, et al. Placebo-Controlled Phase 3 Study of Oral BG-12 for Relapsing Multiple Sclerosis. New England Journal of Medicine. 2012 Sep 20;367(12):1098–107. </w:t>
      </w:r>
    </w:p>
    <w:p w14:paraId="40E8C486" w14:textId="77777777" w:rsidR="00B967CB" w:rsidRPr="00B967CB" w:rsidRDefault="00B967CB" w:rsidP="00B967CB">
      <w:pPr>
        <w:pStyle w:val="Bibliography"/>
        <w:rPr>
          <w:rFonts w:cs="Times New Roman"/>
          <w:lang w:val="en-GB"/>
        </w:rPr>
      </w:pPr>
      <w:r w:rsidRPr="00B967CB">
        <w:rPr>
          <w:rFonts w:cs="Times New Roman"/>
          <w:lang w:val="en-GB"/>
        </w:rPr>
        <w:t>14.</w:t>
      </w:r>
      <w:r w:rsidRPr="00B967CB">
        <w:rPr>
          <w:rFonts w:cs="Times New Roman"/>
          <w:lang w:val="en-GB"/>
        </w:rPr>
        <w:tab/>
        <w:t xml:space="preserve">Gómez-Moreno M, Sánchez-Seco VG, Moreno-García S, </w:t>
      </w:r>
      <w:proofErr w:type="spellStart"/>
      <w:r w:rsidRPr="00B967CB">
        <w:rPr>
          <w:rFonts w:cs="Times New Roman"/>
          <w:lang w:val="en-GB"/>
        </w:rPr>
        <w:t>Cámara</w:t>
      </w:r>
      <w:proofErr w:type="spellEnd"/>
      <w:r w:rsidRPr="00B967CB">
        <w:rPr>
          <w:rFonts w:cs="Times New Roman"/>
          <w:lang w:val="en-GB"/>
        </w:rPr>
        <w:t xml:space="preserve"> PS, Sabin-Muñoz J, </w:t>
      </w:r>
      <w:proofErr w:type="spellStart"/>
      <w:r w:rsidRPr="00B967CB">
        <w:rPr>
          <w:rFonts w:cs="Times New Roman"/>
          <w:lang w:val="en-GB"/>
        </w:rPr>
        <w:t>Ayuso</w:t>
      </w:r>
      <w:proofErr w:type="spellEnd"/>
      <w:r w:rsidRPr="00B967CB">
        <w:rPr>
          <w:rFonts w:cs="Times New Roman"/>
          <w:lang w:val="en-GB"/>
        </w:rPr>
        <w:t xml:space="preserve">-Peralta L, et al. Cancer diagnosis in a Spanish cohort of multiple sclerosis patients under </w:t>
      </w:r>
      <w:proofErr w:type="spellStart"/>
      <w:r w:rsidRPr="00B967CB">
        <w:rPr>
          <w:rFonts w:cs="Times New Roman"/>
          <w:lang w:val="en-GB"/>
        </w:rPr>
        <w:t>dimethylfumarate</w:t>
      </w:r>
      <w:proofErr w:type="spellEnd"/>
      <w:r w:rsidRPr="00B967CB">
        <w:rPr>
          <w:rFonts w:cs="Times New Roman"/>
          <w:lang w:val="en-GB"/>
        </w:rPr>
        <w:t xml:space="preserve"> treatment. Multiple Sclerosis and Related Disorders. 2021 Apr </w:t>
      </w:r>
      <w:proofErr w:type="gramStart"/>
      <w:r w:rsidRPr="00B967CB">
        <w:rPr>
          <w:rFonts w:cs="Times New Roman"/>
          <w:lang w:val="en-GB"/>
        </w:rPr>
        <w:t>1;49:102747</w:t>
      </w:r>
      <w:proofErr w:type="gramEnd"/>
      <w:r w:rsidRPr="00B967CB">
        <w:rPr>
          <w:rFonts w:cs="Times New Roman"/>
          <w:lang w:val="en-GB"/>
        </w:rPr>
        <w:t xml:space="preserve">. </w:t>
      </w:r>
    </w:p>
    <w:p w14:paraId="3CC82F55" w14:textId="77777777" w:rsidR="00B967CB" w:rsidRPr="00B967CB" w:rsidRDefault="00B967CB" w:rsidP="00B967CB">
      <w:pPr>
        <w:pStyle w:val="Bibliography"/>
        <w:rPr>
          <w:rFonts w:cs="Times New Roman"/>
          <w:lang w:val="en-GB"/>
        </w:rPr>
      </w:pPr>
      <w:r w:rsidRPr="00B967CB">
        <w:rPr>
          <w:rFonts w:cs="Times New Roman"/>
          <w:lang w:val="en-GB"/>
        </w:rPr>
        <w:t>15.</w:t>
      </w:r>
      <w:r w:rsidRPr="00B967CB">
        <w:rPr>
          <w:rFonts w:cs="Times New Roman"/>
          <w:lang w:val="en-GB"/>
        </w:rPr>
        <w:tab/>
        <w:t xml:space="preserve">Polman CH, O’Connor PW, </w:t>
      </w:r>
      <w:proofErr w:type="spellStart"/>
      <w:r w:rsidRPr="00B967CB">
        <w:rPr>
          <w:rFonts w:cs="Times New Roman"/>
          <w:lang w:val="en-GB"/>
        </w:rPr>
        <w:t>Havrdova</w:t>
      </w:r>
      <w:proofErr w:type="spellEnd"/>
      <w:r w:rsidRPr="00B967CB">
        <w:rPr>
          <w:rFonts w:cs="Times New Roman"/>
          <w:lang w:val="en-GB"/>
        </w:rPr>
        <w:t xml:space="preserve"> E, Hutchinson M, </w:t>
      </w:r>
      <w:proofErr w:type="spellStart"/>
      <w:r w:rsidRPr="00B967CB">
        <w:rPr>
          <w:rFonts w:cs="Times New Roman"/>
          <w:lang w:val="en-GB"/>
        </w:rPr>
        <w:t>Kappos</w:t>
      </w:r>
      <w:proofErr w:type="spellEnd"/>
      <w:r w:rsidRPr="00B967CB">
        <w:rPr>
          <w:rFonts w:cs="Times New Roman"/>
          <w:lang w:val="en-GB"/>
        </w:rPr>
        <w:t xml:space="preserve"> L, Miller DH, et al. A Randomized, Placebo-Controlled Trial of Natalizumab for Relapsing Multiple Sclerosis. New England Journal of Medicine. 2006 Mar 2;354(9):899–910. </w:t>
      </w:r>
    </w:p>
    <w:p w14:paraId="66CCA3DF" w14:textId="77777777" w:rsidR="00B967CB" w:rsidRPr="00B967CB" w:rsidRDefault="00B967CB" w:rsidP="00B967CB">
      <w:pPr>
        <w:pStyle w:val="Bibliography"/>
        <w:rPr>
          <w:rFonts w:cs="Times New Roman"/>
          <w:lang w:val="en-GB"/>
        </w:rPr>
      </w:pPr>
      <w:r w:rsidRPr="00B967CB">
        <w:rPr>
          <w:rFonts w:cs="Times New Roman"/>
          <w:lang w:val="en-GB"/>
        </w:rPr>
        <w:t>16.</w:t>
      </w:r>
      <w:r w:rsidRPr="00B967CB">
        <w:rPr>
          <w:rFonts w:cs="Times New Roman"/>
          <w:lang w:val="en-GB"/>
        </w:rPr>
        <w:tab/>
      </w:r>
      <w:proofErr w:type="spellStart"/>
      <w:r w:rsidRPr="00B967CB">
        <w:rPr>
          <w:rFonts w:cs="Times New Roman"/>
          <w:lang w:val="en-GB"/>
        </w:rPr>
        <w:t>Rolfes</w:t>
      </w:r>
      <w:proofErr w:type="spellEnd"/>
      <w:r w:rsidRPr="00B967CB">
        <w:rPr>
          <w:rFonts w:cs="Times New Roman"/>
          <w:lang w:val="en-GB"/>
        </w:rPr>
        <w:t xml:space="preserve"> L, </w:t>
      </w:r>
      <w:proofErr w:type="spellStart"/>
      <w:r w:rsidRPr="00B967CB">
        <w:rPr>
          <w:rFonts w:cs="Times New Roman"/>
          <w:lang w:val="en-GB"/>
        </w:rPr>
        <w:t>Lokhorst</w:t>
      </w:r>
      <w:proofErr w:type="spellEnd"/>
      <w:r w:rsidRPr="00B967CB">
        <w:rPr>
          <w:rFonts w:cs="Times New Roman"/>
          <w:lang w:val="en-GB"/>
        </w:rPr>
        <w:t xml:space="preserve"> B, </w:t>
      </w:r>
      <w:proofErr w:type="spellStart"/>
      <w:r w:rsidRPr="00B967CB">
        <w:rPr>
          <w:rFonts w:cs="Times New Roman"/>
          <w:lang w:val="en-GB"/>
        </w:rPr>
        <w:t>Samijn</w:t>
      </w:r>
      <w:proofErr w:type="spellEnd"/>
      <w:r w:rsidRPr="00B967CB">
        <w:rPr>
          <w:rFonts w:cs="Times New Roman"/>
          <w:lang w:val="en-GB"/>
        </w:rPr>
        <w:t xml:space="preserve"> J, van </w:t>
      </w:r>
      <w:proofErr w:type="spellStart"/>
      <w:r w:rsidRPr="00B967CB">
        <w:rPr>
          <w:rFonts w:cs="Times New Roman"/>
          <w:lang w:val="en-GB"/>
        </w:rPr>
        <w:t>Puijenbroek</w:t>
      </w:r>
      <w:proofErr w:type="spellEnd"/>
      <w:r w:rsidRPr="00B967CB">
        <w:rPr>
          <w:rFonts w:cs="Times New Roman"/>
          <w:lang w:val="en-GB"/>
        </w:rPr>
        <w:t xml:space="preserve"> E. Cervical dysplasia associated with the use of natalizumab. </w:t>
      </w:r>
      <w:proofErr w:type="spellStart"/>
      <w:r w:rsidRPr="00B967CB">
        <w:rPr>
          <w:rFonts w:cs="Times New Roman"/>
          <w:lang w:val="en-GB"/>
        </w:rPr>
        <w:t>Neth</w:t>
      </w:r>
      <w:proofErr w:type="spellEnd"/>
      <w:r w:rsidRPr="00B967CB">
        <w:rPr>
          <w:rFonts w:cs="Times New Roman"/>
          <w:lang w:val="en-GB"/>
        </w:rPr>
        <w:t xml:space="preserve"> J Med. 2013 Nov;71(9):494–5. </w:t>
      </w:r>
    </w:p>
    <w:p w14:paraId="53B7939A" w14:textId="77777777" w:rsidR="00B967CB" w:rsidRPr="00B967CB" w:rsidRDefault="00B967CB" w:rsidP="00B967CB">
      <w:pPr>
        <w:pStyle w:val="Bibliography"/>
        <w:rPr>
          <w:rFonts w:cs="Times New Roman"/>
          <w:lang w:val="en-GB"/>
        </w:rPr>
      </w:pPr>
      <w:r w:rsidRPr="00B967CB">
        <w:rPr>
          <w:rFonts w:cs="Times New Roman"/>
          <w:lang w:val="en-GB"/>
        </w:rPr>
        <w:t>17.</w:t>
      </w:r>
      <w:r w:rsidRPr="00B967CB">
        <w:rPr>
          <w:rFonts w:cs="Times New Roman"/>
          <w:lang w:val="en-GB"/>
        </w:rPr>
        <w:tab/>
      </w:r>
      <w:proofErr w:type="spellStart"/>
      <w:r w:rsidRPr="00B967CB">
        <w:rPr>
          <w:rFonts w:cs="Times New Roman"/>
          <w:lang w:val="en-GB"/>
        </w:rPr>
        <w:t>Durrieu</w:t>
      </w:r>
      <w:proofErr w:type="spellEnd"/>
      <w:r w:rsidRPr="00B967CB">
        <w:rPr>
          <w:rFonts w:cs="Times New Roman"/>
          <w:lang w:val="en-GB"/>
        </w:rPr>
        <w:t xml:space="preserve"> G, </w:t>
      </w:r>
      <w:proofErr w:type="spellStart"/>
      <w:r w:rsidRPr="00B967CB">
        <w:rPr>
          <w:rFonts w:cs="Times New Roman"/>
          <w:lang w:val="en-GB"/>
        </w:rPr>
        <w:t>Dardonville</w:t>
      </w:r>
      <w:proofErr w:type="spellEnd"/>
      <w:r w:rsidRPr="00B967CB">
        <w:rPr>
          <w:rFonts w:cs="Times New Roman"/>
          <w:lang w:val="en-GB"/>
        </w:rPr>
        <w:t xml:space="preserve"> Q, </w:t>
      </w:r>
      <w:proofErr w:type="spellStart"/>
      <w:r w:rsidRPr="00B967CB">
        <w:rPr>
          <w:rFonts w:cs="Times New Roman"/>
          <w:lang w:val="en-GB"/>
        </w:rPr>
        <w:t>Clanet</w:t>
      </w:r>
      <w:proofErr w:type="spellEnd"/>
      <w:r w:rsidRPr="00B967CB">
        <w:rPr>
          <w:rFonts w:cs="Times New Roman"/>
          <w:lang w:val="en-GB"/>
        </w:rPr>
        <w:t xml:space="preserve"> M, </w:t>
      </w:r>
      <w:proofErr w:type="spellStart"/>
      <w:r w:rsidRPr="00B967CB">
        <w:rPr>
          <w:rFonts w:cs="Times New Roman"/>
          <w:lang w:val="en-GB"/>
        </w:rPr>
        <w:t>Montastruc</w:t>
      </w:r>
      <w:proofErr w:type="spellEnd"/>
      <w:r w:rsidRPr="00B967CB">
        <w:rPr>
          <w:rFonts w:cs="Times New Roman"/>
          <w:lang w:val="en-GB"/>
        </w:rPr>
        <w:t xml:space="preserve"> JL. Cervical dysplasia in a patient with multiple sclerosis treated with natalizumab. Fundamental &amp; Clinical Pharmacology. 2019;33(1):125–6. </w:t>
      </w:r>
    </w:p>
    <w:p w14:paraId="44A662DF" w14:textId="77777777" w:rsidR="00B967CB" w:rsidRPr="00B967CB" w:rsidRDefault="00B967CB" w:rsidP="00B967CB">
      <w:pPr>
        <w:pStyle w:val="Bibliography"/>
        <w:rPr>
          <w:rFonts w:cs="Times New Roman"/>
          <w:lang w:val="en-GB"/>
        </w:rPr>
      </w:pPr>
      <w:r w:rsidRPr="00B967CB">
        <w:rPr>
          <w:rFonts w:cs="Times New Roman"/>
          <w:lang w:val="en-GB"/>
        </w:rPr>
        <w:t>18.</w:t>
      </w:r>
      <w:r w:rsidRPr="00B967CB">
        <w:rPr>
          <w:rFonts w:cs="Times New Roman"/>
          <w:lang w:val="en-GB"/>
        </w:rPr>
        <w:tab/>
        <w:t xml:space="preserve">Wan KM, </w:t>
      </w:r>
      <w:proofErr w:type="spellStart"/>
      <w:r w:rsidRPr="00B967CB">
        <w:rPr>
          <w:rFonts w:cs="Times New Roman"/>
          <w:lang w:val="en-GB"/>
        </w:rPr>
        <w:t>Oehler</w:t>
      </w:r>
      <w:proofErr w:type="spellEnd"/>
      <w:r w:rsidRPr="00B967CB">
        <w:rPr>
          <w:rFonts w:cs="Times New Roman"/>
          <w:lang w:val="en-GB"/>
        </w:rPr>
        <w:t xml:space="preserve"> MK. Rapid Progression of Low-Grade Cervical Dysplasia into Invasive Cancer during Natalizumab Treatment for Relapsing Remitting Multiple Sclerosis. Case Rep Oncol. 2019 Jan 18;12(1):59–62. </w:t>
      </w:r>
    </w:p>
    <w:p w14:paraId="3E2BDC61" w14:textId="77777777" w:rsidR="00B967CB" w:rsidRPr="00B967CB" w:rsidRDefault="00B967CB" w:rsidP="00B967CB">
      <w:pPr>
        <w:pStyle w:val="Bibliography"/>
        <w:rPr>
          <w:rFonts w:cs="Times New Roman"/>
          <w:lang w:val="en-GB"/>
        </w:rPr>
      </w:pPr>
      <w:r w:rsidRPr="00B967CB">
        <w:rPr>
          <w:rFonts w:cs="Times New Roman"/>
          <w:lang w:val="en-GB"/>
        </w:rPr>
        <w:t>19.</w:t>
      </w:r>
      <w:r w:rsidRPr="00B967CB">
        <w:rPr>
          <w:rFonts w:cs="Times New Roman"/>
          <w:lang w:val="en-GB"/>
        </w:rPr>
        <w:tab/>
      </w:r>
      <w:proofErr w:type="spellStart"/>
      <w:r w:rsidRPr="00B967CB">
        <w:rPr>
          <w:rFonts w:cs="Times New Roman"/>
          <w:lang w:val="en-GB"/>
        </w:rPr>
        <w:t>Alping</w:t>
      </w:r>
      <w:proofErr w:type="spellEnd"/>
      <w:r w:rsidRPr="00B967CB">
        <w:rPr>
          <w:rFonts w:cs="Times New Roman"/>
          <w:lang w:val="en-GB"/>
        </w:rPr>
        <w:t xml:space="preserve"> P, </w:t>
      </w:r>
      <w:proofErr w:type="spellStart"/>
      <w:r w:rsidRPr="00B967CB">
        <w:rPr>
          <w:rFonts w:cs="Times New Roman"/>
          <w:lang w:val="en-GB"/>
        </w:rPr>
        <w:t>Askling</w:t>
      </w:r>
      <w:proofErr w:type="spellEnd"/>
      <w:r w:rsidRPr="00B967CB">
        <w:rPr>
          <w:rFonts w:cs="Times New Roman"/>
          <w:lang w:val="en-GB"/>
        </w:rPr>
        <w:t xml:space="preserve"> J, Burman J, Fink K, </w:t>
      </w:r>
      <w:proofErr w:type="spellStart"/>
      <w:r w:rsidRPr="00B967CB">
        <w:rPr>
          <w:rFonts w:cs="Times New Roman"/>
          <w:lang w:val="en-GB"/>
        </w:rPr>
        <w:t>Fogdell</w:t>
      </w:r>
      <w:proofErr w:type="spellEnd"/>
      <w:r w:rsidRPr="00B967CB">
        <w:rPr>
          <w:rFonts w:cs="Times New Roman"/>
          <w:lang w:val="en-GB"/>
        </w:rPr>
        <w:t xml:space="preserve">-Hahn A, Gunnarsson M, et al. Cancer Risk for Fingolimod, Natalizumab, and Rituximab in Multiple Sclerosis Patients. Annals of Neurology. 2020;87(5):688–99. </w:t>
      </w:r>
    </w:p>
    <w:p w14:paraId="33B24723" w14:textId="77777777" w:rsidR="00B967CB" w:rsidRPr="00B967CB" w:rsidRDefault="00B967CB" w:rsidP="00B967CB">
      <w:pPr>
        <w:pStyle w:val="Bibliography"/>
        <w:rPr>
          <w:rFonts w:cs="Times New Roman"/>
          <w:lang w:val="en-GB"/>
        </w:rPr>
      </w:pPr>
      <w:r w:rsidRPr="00B967CB">
        <w:rPr>
          <w:rFonts w:cs="Times New Roman"/>
          <w:lang w:val="en-GB"/>
        </w:rPr>
        <w:t>20.</w:t>
      </w:r>
      <w:r w:rsidRPr="00B967CB">
        <w:rPr>
          <w:rFonts w:cs="Times New Roman"/>
          <w:lang w:val="en-GB"/>
        </w:rPr>
        <w:tab/>
      </w:r>
      <w:proofErr w:type="spellStart"/>
      <w:r w:rsidRPr="00B967CB">
        <w:rPr>
          <w:rFonts w:cs="Times New Roman"/>
          <w:lang w:val="en-GB"/>
        </w:rPr>
        <w:t>Kappos</w:t>
      </w:r>
      <w:proofErr w:type="spellEnd"/>
      <w:r w:rsidRPr="00B967CB">
        <w:rPr>
          <w:rFonts w:cs="Times New Roman"/>
          <w:lang w:val="en-GB"/>
        </w:rPr>
        <w:t xml:space="preserve"> L, </w:t>
      </w:r>
      <w:proofErr w:type="spellStart"/>
      <w:r w:rsidRPr="00B967CB">
        <w:rPr>
          <w:rFonts w:cs="Times New Roman"/>
          <w:lang w:val="en-GB"/>
        </w:rPr>
        <w:t>Radue</w:t>
      </w:r>
      <w:proofErr w:type="spellEnd"/>
      <w:r w:rsidRPr="00B967CB">
        <w:rPr>
          <w:rFonts w:cs="Times New Roman"/>
          <w:lang w:val="en-GB"/>
        </w:rPr>
        <w:t xml:space="preserve"> EW, O’Connor P, Polman C, </w:t>
      </w:r>
      <w:proofErr w:type="spellStart"/>
      <w:r w:rsidRPr="00B967CB">
        <w:rPr>
          <w:rFonts w:cs="Times New Roman"/>
          <w:lang w:val="en-GB"/>
        </w:rPr>
        <w:t>Hohlfeld</w:t>
      </w:r>
      <w:proofErr w:type="spellEnd"/>
      <w:r w:rsidRPr="00B967CB">
        <w:rPr>
          <w:rFonts w:cs="Times New Roman"/>
          <w:lang w:val="en-GB"/>
        </w:rPr>
        <w:t xml:space="preserve"> R, </w:t>
      </w:r>
      <w:proofErr w:type="spellStart"/>
      <w:r w:rsidRPr="00B967CB">
        <w:rPr>
          <w:rFonts w:cs="Times New Roman"/>
          <w:lang w:val="en-GB"/>
        </w:rPr>
        <w:t>Calabresi</w:t>
      </w:r>
      <w:proofErr w:type="spellEnd"/>
      <w:r w:rsidRPr="00B967CB">
        <w:rPr>
          <w:rFonts w:cs="Times New Roman"/>
          <w:lang w:val="en-GB"/>
        </w:rPr>
        <w:t xml:space="preserve"> P, et al. A Placebo-Controlled Trial of Oral Fingolimod in Relapsing Multiple Sclerosis. New England Journal of Medicine. 2010 Feb 4;362(5):387–401. </w:t>
      </w:r>
    </w:p>
    <w:p w14:paraId="595FD1A5" w14:textId="77777777" w:rsidR="00B967CB" w:rsidRPr="00B967CB" w:rsidRDefault="00B967CB" w:rsidP="00B967CB">
      <w:pPr>
        <w:pStyle w:val="Bibliography"/>
        <w:rPr>
          <w:rFonts w:cs="Times New Roman"/>
          <w:lang w:val="en-GB"/>
        </w:rPr>
      </w:pPr>
      <w:r w:rsidRPr="00B967CB">
        <w:rPr>
          <w:rFonts w:cs="Times New Roman"/>
          <w:lang w:val="en-GB"/>
        </w:rPr>
        <w:t>21.</w:t>
      </w:r>
      <w:r w:rsidRPr="00B967CB">
        <w:rPr>
          <w:rFonts w:cs="Times New Roman"/>
          <w:lang w:val="en-GB"/>
        </w:rPr>
        <w:tab/>
        <w:t xml:space="preserve">Cohen JA, </w:t>
      </w:r>
      <w:proofErr w:type="spellStart"/>
      <w:r w:rsidRPr="00B967CB">
        <w:rPr>
          <w:rFonts w:cs="Times New Roman"/>
          <w:lang w:val="en-GB"/>
        </w:rPr>
        <w:t>Barkhof</w:t>
      </w:r>
      <w:proofErr w:type="spellEnd"/>
      <w:r w:rsidRPr="00B967CB">
        <w:rPr>
          <w:rFonts w:cs="Times New Roman"/>
          <w:lang w:val="en-GB"/>
        </w:rPr>
        <w:t xml:space="preserve"> F, </w:t>
      </w:r>
      <w:proofErr w:type="spellStart"/>
      <w:r w:rsidRPr="00B967CB">
        <w:rPr>
          <w:rFonts w:cs="Times New Roman"/>
          <w:lang w:val="en-GB"/>
        </w:rPr>
        <w:t>Comi</w:t>
      </w:r>
      <w:proofErr w:type="spellEnd"/>
      <w:r w:rsidRPr="00B967CB">
        <w:rPr>
          <w:rFonts w:cs="Times New Roman"/>
          <w:lang w:val="en-GB"/>
        </w:rPr>
        <w:t xml:space="preserve"> G, Hartung HP, Khatri BO, </w:t>
      </w:r>
      <w:proofErr w:type="spellStart"/>
      <w:r w:rsidRPr="00B967CB">
        <w:rPr>
          <w:rFonts w:cs="Times New Roman"/>
          <w:lang w:val="en-GB"/>
        </w:rPr>
        <w:t>Montalban</w:t>
      </w:r>
      <w:proofErr w:type="spellEnd"/>
      <w:r w:rsidRPr="00B967CB">
        <w:rPr>
          <w:rFonts w:cs="Times New Roman"/>
          <w:lang w:val="en-GB"/>
        </w:rPr>
        <w:t xml:space="preserve"> X, et al. Oral Fingolimod or Intramuscular Interferon for Relapsing Multiple Sclerosis. The New England Journal of Medicine. 2010 Feb 4;362(5):402–15. </w:t>
      </w:r>
    </w:p>
    <w:p w14:paraId="4BFA8F2B" w14:textId="77777777" w:rsidR="00B967CB" w:rsidRPr="00B967CB" w:rsidRDefault="00B967CB" w:rsidP="00B967CB">
      <w:pPr>
        <w:pStyle w:val="Bibliography"/>
        <w:rPr>
          <w:rFonts w:cs="Times New Roman"/>
          <w:lang w:val="en-GB"/>
        </w:rPr>
      </w:pPr>
      <w:r w:rsidRPr="00B967CB">
        <w:rPr>
          <w:rFonts w:cs="Times New Roman"/>
          <w:lang w:val="en-GB"/>
        </w:rPr>
        <w:lastRenderedPageBreak/>
        <w:t>22.</w:t>
      </w:r>
      <w:r w:rsidRPr="00B967CB">
        <w:rPr>
          <w:rFonts w:cs="Times New Roman"/>
          <w:lang w:val="en-GB"/>
        </w:rPr>
        <w:tab/>
      </w:r>
      <w:proofErr w:type="spellStart"/>
      <w:r w:rsidRPr="00B967CB">
        <w:rPr>
          <w:rFonts w:cs="Times New Roman"/>
          <w:lang w:val="en-GB"/>
        </w:rPr>
        <w:t>Calabresi</w:t>
      </w:r>
      <w:proofErr w:type="spellEnd"/>
      <w:r w:rsidRPr="00B967CB">
        <w:rPr>
          <w:rFonts w:cs="Times New Roman"/>
          <w:lang w:val="en-GB"/>
        </w:rPr>
        <w:t xml:space="preserve"> PA, </w:t>
      </w:r>
      <w:proofErr w:type="spellStart"/>
      <w:r w:rsidRPr="00B967CB">
        <w:rPr>
          <w:rFonts w:cs="Times New Roman"/>
          <w:lang w:val="en-GB"/>
        </w:rPr>
        <w:t>Radue</w:t>
      </w:r>
      <w:proofErr w:type="spellEnd"/>
      <w:r w:rsidRPr="00B967CB">
        <w:rPr>
          <w:rFonts w:cs="Times New Roman"/>
          <w:lang w:val="en-GB"/>
        </w:rPr>
        <w:t xml:space="preserve"> EW, </w:t>
      </w:r>
      <w:proofErr w:type="spellStart"/>
      <w:r w:rsidRPr="00B967CB">
        <w:rPr>
          <w:rFonts w:cs="Times New Roman"/>
          <w:lang w:val="en-GB"/>
        </w:rPr>
        <w:t>Goodin</w:t>
      </w:r>
      <w:proofErr w:type="spellEnd"/>
      <w:r w:rsidRPr="00B967CB">
        <w:rPr>
          <w:rFonts w:cs="Times New Roman"/>
          <w:lang w:val="en-GB"/>
        </w:rPr>
        <w:t xml:space="preserve"> D, Jeffery D, </w:t>
      </w:r>
      <w:proofErr w:type="spellStart"/>
      <w:r w:rsidRPr="00B967CB">
        <w:rPr>
          <w:rFonts w:cs="Times New Roman"/>
          <w:lang w:val="en-GB"/>
        </w:rPr>
        <w:t>Rammohan</w:t>
      </w:r>
      <w:proofErr w:type="spellEnd"/>
      <w:r w:rsidRPr="00B967CB">
        <w:rPr>
          <w:rFonts w:cs="Times New Roman"/>
          <w:lang w:val="en-GB"/>
        </w:rPr>
        <w:t xml:space="preserve"> KW, </w:t>
      </w:r>
      <w:proofErr w:type="spellStart"/>
      <w:r w:rsidRPr="00B967CB">
        <w:rPr>
          <w:rFonts w:cs="Times New Roman"/>
          <w:lang w:val="en-GB"/>
        </w:rPr>
        <w:t>Reder</w:t>
      </w:r>
      <w:proofErr w:type="spellEnd"/>
      <w:r w:rsidRPr="00B967CB">
        <w:rPr>
          <w:rFonts w:cs="Times New Roman"/>
          <w:lang w:val="en-GB"/>
        </w:rPr>
        <w:t xml:space="preserve"> AT, et al. Safety and efficacy of fingolimod in patients with relapsing-remitting multiple sclerosis (FREEDOMS II): a double-blind, randomised, placebo-controlled, phase 3 trial. The Lancet Neurology. 2014 Jun 1;13(6):545–56. </w:t>
      </w:r>
    </w:p>
    <w:p w14:paraId="6653317F" w14:textId="77777777" w:rsidR="00B967CB" w:rsidRPr="00B967CB" w:rsidRDefault="00B967CB" w:rsidP="00B967CB">
      <w:pPr>
        <w:pStyle w:val="Bibliography"/>
        <w:rPr>
          <w:rFonts w:cs="Times New Roman"/>
          <w:lang w:val="en-GB"/>
        </w:rPr>
      </w:pPr>
      <w:r w:rsidRPr="00B967CB">
        <w:rPr>
          <w:rFonts w:cs="Times New Roman"/>
          <w:lang w:val="en-GB"/>
        </w:rPr>
        <w:t>23.</w:t>
      </w:r>
      <w:r w:rsidRPr="00B967CB">
        <w:rPr>
          <w:rFonts w:cs="Times New Roman"/>
          <w:lang w:val="en-GB"/>
        </w:rPr>
        <w:tab/>
        <w:t xml:space="preserve">Lublin F, Miller DH, Freedman MS, Cree BAC, </w:t>
      </w:r>
      <w:proofErr w:type="spellStart"/>
      <w:r w:rsidRPr="00B967CB">
        <w:rPr>
          <w:rFonts w:cs="Times New Roman"/>
          <w:lang w:val="en-GB"/>
        </w:rPr>
        <w:t>Wolinsky</w:t>
      </w:r>
      <w:proofErr w:type="spellEnd"/>
      <w:r w:rsidRPr="00B967CB">
        <w:rPr>
          <w:rFonts w:cs="Times New Roman"/>
          <w:lang w:val="en-GB"/>
        </w:rPr>
        <w:t xml:space="preserve"> JS, Weiner H, et al. Oral fingolimod in primary progressive multiple sclerosis (INFORMS): a phase 3, randomised, double-blind, placebo-controlled trial. The Lancet. 2016 Mar 12;387(10023):1075–84. </w:t>
      </w:r>
    </w:p>
    <w:p w14:paraId="209EBCEA" w14:textId="77777777" w:rsidR="00B967CB" w:rsidRPr="00B967CB" w:rsidRDefault="00B967CB" w:rsidP="00B967CB">
      <w:pPr>
        <w:pStyle w:val="Bibliography"/>
        <w:rPr>
          <w:rFonts w:cs="Times New Roman"/>
          <w:lang w:val="en-GB"/>
        </w:rPr>
      </w:pPr>
      <w:r w:rsidRPr="00B967CB">
        <w:rPr>
          <w:rFonts w:cs="Times New Roman"/>
          <w:lang w:val="en-GB"/>
        </w:rPr>
        <w:t>24.</w:t>
      </w:r>
      <w:r w:rsidRPr="00B967CB">
        <w:rPr>
          <w:rFonts w:cs="Times New Roman"/>
          <w:lang w:val="en-GB"/>
        </w:rPr>
        <w:tab/>
        <w:t xml:space="preserve">Cohen JA, Tenenbaum N, Bhatt A, Zhang Y, </w:t>
      </w:r>
      <w:proofErr w:type="spellStart"/>
      <w:r w:rsidRPr="00B967CB">
        <w:rPr>
          <w:rFonts w:cs="Times New Roman"/>
          <w:lang w:val="en-GB"/>
        </w:rPr>
        <w:t>Kappos</w:t>
      </w:r>
      <w:proofErr w:type="spellEnd"/>
      <w:r w:rsidRPr="00B967CB">
        <w:rPr>
          <w:rFonts w:cs="Times New Roman"/>
          <w:lang w:val="en-GB"/>
        </w:rPr>
        <w:t xml:space="preserve"> L. Extended treatment with fingolimod for relapsing multiple sclerosis: the 14-year LONGTERMS study results. </w:t>
      </w:r>
      <w:proofErr w:type="spellStart"/>
      <w:r w:rsidRPr="00B967CB">
        <w:rPr>
          <w:rFonts w:cs="Times New Roman"/>
          <w:lang w:val="en-GB"/>
        </w:rPr>
        <w:t>Ther</w:t>
      </w:r>
      <w:proofErr w:type="spellEnd"/>
      <w:r w:rsidRPr="00B967CB">
        <w:rPr>
          <w:rFonts w:cs="Times New Roman"/>
          <w:lang w:val="en-GB"/>
        </w:rPr>
        <w:t xml:space="preserve"> Adv </w:t>
      </w:r>
      <w:proofErr w:type="spellStart"/>
      <w:r w:rsidRPr="00B967CB">
        <w:rPr>
          <w:rFonts w:cs="Times New Roman"/>
          <w:lang w:val="en-GB"/>
        </w:rPr>
        <w:t>Neurol</w:t>
      </w:r>
      <w:proofErr w:type="spellEnd"/>
      <w:r w:rsidRPr="00B967CB">
        <w:rPr>
          <w:rFonts w:cs="Times New Roman"/>
          <w:lang w:val="en-GB"/>
        </w:rPr>
        <w:t xml:space="preserve"> </w:t>
      </w:r>
      <w:proofErr w:type="spellStart"/>
      <w:r w:rsidRPr="00B967CB">
        <w:rPr>
          <w:rFonts w:cs="Times New Roman"/>
          <w:lang w:val="en-GB"/>
        </w:rPr>
        <w:t>Disord</w:t>
      </w:r>
      <w:proofErr w:type="spellEnd"/>
      <w:r w:rsidRPr="00B967CB">
        <w:rPr>
          <w:rFonts w:cs="Times New Roman"/>
          <w:lang w:val="en-GB"/>
        </w:rPr>
        <w:t xml:space="preserve">. 2019 Sep </w:t>
      </w:r>
      <w:proofErr w:type="gramStart"/>
      <w:r w:rsidRPr="00B967CB">
        <w:rPr>
          <w:rFonts w:cs="Times New Roman"/>
          <w:lang w:val="en-GB"/>
        </w:rPr>
        <w:t>25;12:1756286419878324</w:t>
      </w:r>
      <w:proofErr w:type="gramEnd"/>
      <w:r w:rsidRPr="00B967CB">
        <w:rPr>
          <w:rFonts w:cs="Times New Roman"/>
          <w:lang w:val="en-GB"/>
        </w:rPr>
        <w:t xml:space="preserve">. </w:t>
      </w:r>
    </w:p>
    <w:p w14:paraId="04C22671" w14:textId="77777777" w:rsidR="00B967CB" w:rsidRPr="00B967CB" w:rsidRDefault="00B967CB" w:rsidP="00B967CB">
      <w:pPr>
        <w:pStyle w:val="Bibliography"/>
        <w:rPr>
          <w:rFonts w:cs="Times New Roman"/>
          <w:lang w:val="en-GB"/>
        </w:rPr>
      </w:pPr>
      <w:r w:rsidRPr="00B967CB">
        <w:rPr>
          <w:rFonts w:cs="Times New Roman"/>
          <w:lang w:val="en-GB"/>
        </w:rPr>
        <w:t>25.</w:t>
      </w:r>
      <w:r w:rsidRPr="00B967CB">
        <w:rPr>
          <w:rFonts w:cs="Times New Roman"/>
          <w:lang w:val="en-GB"/>
        </w:rPr>
        <w:tab/>
      </w:r>
      <w:proofErr w:type="spellStart"/>
      <w:r w:rsidRPr="00B967CB">
        <w:rPr>
          <w:rFonts w:cs="Times New Roman"/>
          <w:lang w:val="en-GB"/>
        </w:rPr>
        <w:t>Mhanna</w:t>
      </w:r>
      <w:proofErr w:type="spellEnd"/>
      <w:r w:rsidRPr="00B967CB">
        <w:rPr>
          <w:rFonts w:cs="Times New Roman"/>
          <w:lang w:val="en-GB"/>
        </w:rPr>
        <w:t xml:space="preserve"> E, </w:t>
      </w:r>
      <w:proofErr w:type="spellStart"/>
      <w:r w:rsidRPr="00B967CB">
        <w:rPr>
          <w:rFonts w:cs="Times New Roman"/>
          <w:lang w:val="en-GB"/>
        </w:rPr>
        <w:t>Nouchi</w:t>
      </w:r>
      <w:proofErr w:type="spellEnd"/>
      <w:r w:rsidRPr="00B967CB">
        <w:rPr>
          <w:rFonts w:cs="Times New Roman"/>
          <w:lang w:val="en-GB"/>
        </w:rPr>
        <w:t xml:space="preserve"> A, </w:t>
      </w:r>
      <w:proofErr w:type="spellStart"/>
      <w:r w:rsidRPr="00B967CB">
        <w:rPr>
          <w:rFonts w:cs="Times New Roman"/>
          <w:lang w:val="en-GB"/>
        </w:rPr>
        <w:t>Louapre</w:t>
      </w:r>
      <w:proofErr w:type="spellEnd"/>
      <w:r w:rsidRPr="00B967CB">
        <w:rPr>
          <w:rFonts w:cs="Times New Roman"/>
          <w:lang w:val="en-GB"/>
        </w:rPr>
        <w:t xml:space="preserve"> C, De Paz R, </w:t>
      </w:r>
      <w:proofErr w:type="spellStart"/>
      <w:r w:rsidRPr="00B967CB">
        <w:rPr>
          <w:rFonts w:cs="Times New Roman"/>
          <w:lang w:val="en-GB"/>
        </w:rPr>
        <w:t>Heinzlef</w:t>
      </w:r>
      <w:proofErr w:type="spellEnd"/>
      <w:r w:rsidRPr="00B967CB">
        <w:rPr>
          <w:rFonts w:cs="Times New Roman"/>
          <w:lang w:val="en-GB"/>
        </w:rPr>
        <w:t xml:space="preserve"> O, </w:t>
      </w:r>
      <w:proofErr w:type="spellStart"/>
      <w:r w:rsidRPr="00B967CB">
        <w:rPr>
          <w:rFonts w:cs="Times New Roman"/>
          <w:lang w:val="en-GB"/>
        </w:rPr>
        <w:t>Bodini</w:t>
      </w:r>
      <w:proofErr w:type="spellEnd"/>
      <w:r w:rsidRPr="00B967CB">
        <w:rPr>
          <w:rFonts w:cs="Times New Roman"/>
          <w:lang w:val="en-GB"/>
        </w:rPr>
        <w:t xml:space="preserve"> B, et al. Human papillomavirus lesions in 16 MS patients treated with fingolimod: Outcomes and vaccination. Mult </w:t>
      </w:r>
      <w:proofErr w:type="spellStart"/>
      <w:r w:rsidRPr="00B967CB">
        <w:rPr>
          <w:rFonts w:cs="Times New Roman"/>
          <w:lang w:val="en-GB"/>
        </w:rPr>
        <w:t>Scler</w:t>
      </w:r>
      <w:proofErr w:type="spellEnd"/>
      <w:r w:rsidRPr="00B967CB">
        <w:rPr>
          <w:rFonts w:cs="Times New Roman"/>
          <w:lang w:val="en-GB"/>
        </w:rPr>
        <w:t xml:space="preserve">. 2021 Oct 1;27(11):1794–8. </w:t>
      </w:r>
    </w:p>
    <w:p w14:paraId="274970D4" w14:textId="77777777" w:rsidR="00B967CB" w:rsidRPr="00B967CB" w:rsidRDefault="00B967CB" w:rsidP="00B967CB">
      <w:pPr>
        <w:pStyle w:val="Bibliography"/>
        <w:rPr>
          <w:rFonts w:cs="Times New Roman"/>
          <w:lang w:val="en-GB"/>
        </w:rPr>
      </w:pPr>
      <w:r w:rsidRPr="00B967CB">
        <w:rPr>
          <w:rFonts w:cs="Times New Roman"/>
          <w:lang w:val="en-GB"/>
        </w:rPr>
        <w:t>26.</w:t>
      </w:r>
      <w:r w:rsidRPr="00B967CB">
        <w:rPr>
          <w:rFonts w:cs="Times New Roman"/>
          <w:lang w:val="en-GB"/>
        </w:rPr>
        <w:tab/>
      </w:r>
      <w:proofErr w:type="spellStart"/>
      <w:r w:rsidRPr="00B967CB">
        <w:rPr>
          <w:rFonts w:cs="Times New Roman"/>
          <w:lang w:val="en-GB"/>
        </w:rPr>
        <w:t>Kappos</w:t>
      </w:r>
      <w:proofErr w:type="spellEnd"/>
      <w:r w:rsidRPr="00B967CB">
        <w:rPr>
          <w:rFonts w:cs="Times New Roman"/>
          <w:lang w:val="en-GB"/>
        </w:rPr>
        <w:t xml:space="preserve"> L, Bar-Or A, Cree BAC, Fox RJ, </w:t>
      </w:r>
      <w:proofErr w:type="spellStart"/>
      <w:r w:rsidRPr="00B967CB">
        <w:rPr>
          <w:rFonts w:cs="Times New Roman"/>
          <w:lang w:val="en-GB"/>
        </w:rPr>
        <w:t>Giovannoni</w:t>
      </w:r>
      <w:proofErr w:type="spellEnd"/>
      <w:r w:rsidRPr="00B967CB">
        <w:rPr>
          <w:rFonts w:cs="Times New Roman"/>
          <w:lang w:val="en-GB"/>
        </w:rPr>
        <w:t xml:space="preserve"> G, Gold R, et al. Siponimod versus placebo in secondary progressive multiple sclerosis (EXPAND): a double-blind, randomised, phase 3 study. The Lancet. 2018 Mar 31;391(10127):1263–73. </w:t>
      </w:r>
    </w:p>
    <w:p w14:paraId="477A3C33" w14:textId="77777777" w:rsidR="00B967CB" w:rsidRPr="00B967CB" w:rsidRDefault="00B967CB" w:rsidP="00B967CB">
      <w:pPr>
        <w:pStyle w:val="Bibliography"/>
        <w:rPr>
          <w:rFonts w:cs="Times New Roman"/>
          <w:lang w:val="en-GB"/>
        </w:rPr>
      </w:pPr>
      <w:r w:rsidRPr="00B967CB">
        <w:rPr>
          <w:rFonts w:cs="Times New Roman"/>
          <w:lang w:val="en-GB"/>
        </w:rPr>
        <w:t>27.</w:t>
      </w:r>
      <w:r w:rsidRPr="00B967CB">
        <w:rPr>
          <w:rFonts w:cs="Times New Roman"/>
          <w:lang w:val="en-GB"/>
        </w:rPr>
        <w:tab/>
        <w:t xml:space="preserve">O’Connor P, Lublin F, </w:t>
      </w:r>
      <w:proofErr w:type="spellStart"/>
      <w:r w:rsidRPr="00B967CB">
        <w:rPr>
          <w:rFonts w:cs="Times New Roman"/>
          <w:lang w:val="en-GB"/>
        </w:rPr>
        <w:t>Wolinsky</w:t>
      </w:r>
      <w:proofErr w:type="spellEnd"/>
      <w:r w:rsidRPr="00B967CB">
        <w:rPr>
          <w:rFonts w:cs="Times New Roman"/>
          <w:lang w:val="en-GB"/>
        </w:rPr>
        <w:t xml:space="preserve"> J, </w:t>
      </w:r>
      <w:proofErr w:type="spellStart"/>
      <w:r w:rsidRPr="00B967CB">
        <w:rPr>
          <w:rFonts w:cs="Times New Roman"/>
          <w:lang w:val="en-GB"/>
        </w:rPr>
        <w:t>Comi</w:t>
      </w:r>
      <w:proofErr w:type="spellEnd"/>
      <w:r w:rsidRPr="00B967CB">
        <w:rPr>
          <w:rFonts w:cs="Times New Roman"/>
          <w:lang w:val="en-GB"/>
        </w:rPr>
        <w:t xml:space="preserve"> G, </w:t>
      </w:r>
      <w:proofErr w:type="spellStart"/>
      <w:r w:rsidRPr="00B967CB">
        <w:rPr>
          <w:rFonts w:cs="Times New Roman"/>
          <w:lang w:val="en-GB"/>
        </w:rPr>
        <w:t>Kappos</w:t>
      </w:r>
      <w:proofErr w:type="spellEnd"/>
      <w:r w:rsidRPr="00B967CB">
        <w:rPr>
          <w:rFonts w:cs="Times New Roman"/>
          <w:lang w:val="en-GB"/>
        </w:rPr>
        <w:t xml:space="preserve"> L, Freedman M, et al. Effect of teriflunomide on relapses leading to healthcare resource use: results from the TEMSO study. In 2011. p. S95-. </w:t>
      </w:r>
    </w:p>
    <w:p w14:paraId="3764396F" w14:textId="77777777" w:rsidR="00B967CB" w:rsidRPr="00B967CB" w:rsidRDefault="00B967CB" w:rsidP="00B967CB">
      <w:pPr>
        <w:pStyle w:val="Bibliography"/>
        <w:rPr>
          <w:rFonts w:cs="Times New Roman"/>
          <w:lang w:val="en-GB"/>
        </w:rPr>
      </w:pPr>
      <w:r w:rsidRPr="00B967CB">
        <w:rPr>
          <w:rFonts w:cs="Times New Roman"/>
          <w:lang w:val="en-GB"/>
        </w:rPr>
        <w:t>28.</w:t>
      </w:r>
      <w:r w:rsidRPr="00B967CB">
        <w:rPr>
          <w:rFonts w:cs="Times New Roman"/>
          <w:lang w:val="en-GB"/>
        </w:rPr>
        <w:tab/>
        <w:t xml:space="preserve">Miller AE, </w:t>
      </w:r>
      <w:proofErr w:type="spellStart"/>
      <w:r w:rsidRPr="00B967CB">
        <w:rPr>
          <w:rFonts w:cs="Times New Roman"/>
          <w:lang w:val="en-GB"/>
        </w:rPr>
        <w:t>Wolinsky</w:t>
      </w:r>
      <w:proofErr w:type="spellEnd"/>
      <w:r w:rsidRPr="00B967CB">
        <w:rPr>
          <w:rFonts w:cs="Times New Roman"/>
          <w:lang w:val="en-GB"/>
        </w:rPr>
        <w:t xml:space="preserve"> JS, </w:t>
      </w:r>
      <w:proofErr w:type="spellStart"/>
      <w:r w:rsidRPr="00B967CB">
        <w:rPr>
          <w:rFonts w:cs="Times New Roman"/>
          <w:lang w:val="en-GB"/>
        </w:rPr>
        <w:t>Kappos</w:t>
      </w:r>
      <w:proofErr w:type="spellEnd"/>
      <w:r w:rsidRPr="00B967CB">
        <w:rPr>
          <w:rFonts w:cs="Times New Roman"/>
          <w:lang w:val="en-GB"/>
        </w:rPr>
        <w:t xml:space="preserve"> L, </w:t>
      </w:r>
      <w:proofErr w:type="spellStart"/>
      <w:r w:rsidRPr="00B967CB">
        <w:rPr>
          <w:rFonts w:cs="Times New Roman"/>
          <w:lang w:val="en-GB"/>
        </w:rPr>
        <w:t>Comi</w:t>
      </w:r>
      <w:proofErr w:type="spellEnd"/>
      <w:r w:rsidRPr="00B967CB">
        <w:rPr>
          <w:rFonts w:cs="Times New Roman"/>
          <w:lang w:val="en-GB"/>
        </w:rPr>
        <w:t xml:space="preserve"> G, Freedman MS, Olsson TP, et al. Oral teriflunomide for patients with a first clinical episode suggestive of multiple sclerosis (TOPIC): a randomised, double-blind, placebo-controlled, phase 3 trial. The Lancet Neurology. 2014 Oct;13(10):977–86. </w:t>
      </w:r>
    </w:p>
    <w:p w14:paraId="1AFC270D" w14:textId="77777777" w:rsidR="00B967CB" w:rsidRPr="00B967CB" w:rsidRDefault="00B967CB" w:rsidP="00B967CB">
      <w:pPr>
        <w:pStyle w:val="Bibliography"/>
        <w:rPr>
          <w:rFonts w:cs="Times New Roman"/>
          <w:lang w:val="en-GB"/>
        </w:rPr>
      </w:pPr>
      <w:r w:rsidRPr="00B967CB">
        <w:rPr>
          <w:rFonts w:cs="Times New Roman"/>
          <w:lang w:val="en-GB"/>
        </w:rPr>
        <w:t>29.</w:t>
      </w:r>
      <w:r w:rsidRPr="00B967CB">
        <w:rPr>
          <w:rFonts w:cs="Times New Roman"/>
          <w:lang w:val="en-GB"/>
        </w:rPr>
        <w:tab/>
      </w:r>
      <w:proofErr w:type="spellStart"/>
      <w:r w:rsidRPr="00B967CB">
        <w:rPr>
          <w:rFonts w:cs="Times New Roman"/>
          <w:lang w:val="en-GB"/>
        </w:rPr>
        <w:t>Confavreux</w:t>
      </w:r>
      <w:proofErr w:type="spellEnd"/>
      <w:r w:rsidRPr="00B967CB">
        <w:rPr>
          <w:rFonts w:cs="Times New Roman"/>
          <w:lang w:val="en-GB"/>
        </w:rPr>
        <w:t xml:space="preserve"> C, O’Connor P, </w:t>
      </w:r>
      <w:proofErr w:type="spellStart"/>
      <w:r w:rsidRPr="00B967CB">
        <w:rPr>
          <w:rFonts w:cs="Times New Roman"/>
          <w:lang w:val="en-GB"/>
        </w:rPr>
        <w:t>Comi</w:t>
      </w:r>
      <w:proofErr w:type="spellEnd"/>
      <w:r w:rsidRPr="00B967CB">
        <w:rPr>
          <w:rFonts w:cs="Times New Roman"/>
          <w:lang w:val="en-GB"/>
        </w:rPr>
        <w:t xml:space="preserve"> G, Freedman MS, Miller AE, Olsson TP, et al. Oral teriflunomide for patients with relapsing multiple sclerosis (TOWER): a randomised, double-blind, placebo-controlled, phase 3 trial. The Lancet Neurology. 2014 Mar;13(3):247–56. </w:t>
      </w:r>
    </w:p>
    <w:p w14:paraId="5672DB63" w14:textId="77777777" w:rsidR="00B967CB" w:rsidRPr="00B967CB" w:rsidRDefault="00B967CB" w:rsidP="00B967CB">
      <w:pPr>
        <w:pStyle w:val="Bibliography"/>
        <w:rPr>
          <w:rFonts w:cs="Times New Roman"/>
          <w:lang w:val="en-GB"/>
        </w:rPr>
      </w:pPr>
      <w:r w:rsidRPr="00B967CB">
        <w:rPr>
          <w:rFonts w:cs="Times New Roman"/>
          <w:lang w:val="en-GB"/>
        </w:rPr>
        <w:t>30.</w:t>
      </w:r>
      <w:r w:rsidRPr="00B967CB">
        <w:rPr>
          <w:rFonts w:cs="Times New Roman"/>
          <w:lang w:val="en-GB"/>
        </w:rPr>
        <w:tab/>
        <w:t xml:space="preserve">O’Connor P, </w:t>
      </w:r>
      <w:proofErr w:type="spellStart"/>
      <w:r w:rsidRPr="00B967CB">
        <w:rPr>
          <w:rFonts w:cs="Times New Roman"/>
          <w:lang w:val="en-GB"/>
        </w:rPr>
        <w:t>Comi</w:t>
      </w:r>
      <w:proofErr w:type="spellEnd"/>
      <w:r w:rsidRPr="00B967CB">
        <w:rPr>
          <w:rFonts w:cs="Times New Roman"/>
          <w:lang w:val="en-GB"/>
        </w:rPr>
        <w:t xml:space="preserve"> G, Freedman MS, Miller AE, </w:t>
      </w:r>
      <w:proofErr w:type="spellStart"/>
      <w:r w:rsidRPr="00B967CB">
        <w:rPr>
          <w:rFonts w:cs="Times New Roman"/>
          <w:lang w:val="en-GB"/>
        </w:rPr>
        <w:t>Kappos</w:t>
      </w:r>
      <w:proofErr w:type="spellEnd"/>
      <w:r w:rsidRPr="00B967CB">
        <w:rPr>
          <w:rFonts w:cs="Times New Roman"/>
          <w:lang w:val="en-GB"/>
        </w:rPr>
        <w:t xml:space="preserve"> L, Bouchard JP, et al. Long-term </w:t>
      </w:r>
      <w:proofErr w:type="gramStart"/>
      <w:r w:rsidRPr="00B967CB">
        <w:rPr>
          <w:rFonts w:cs="Times New Roman"/>
          <w:lang w:val="en-GB"/>
        </w:rPr>
        <w:t>safety</w:t>
      </w:r>
      <w:proofErr w:type="gramEnd"/>
      <w:r w:rsidRPr="00B967CB">
        <w:rPr>
          <w:rFonts w:cs="Times New Roman"/>
          <w:lang w:val="en-GB"/>
        </w:rPr>
        <w:t xml:space="preserve"> and efficacy of teriflunomide: Nine-year follow-up of the randomized TEMSO study. Neurology. 2016 Mar 8;86(10):920–30. </w:t>
      </w:r>
    </w:p>
    <w:p w14:paraId="0F57519D" w14:textId="77777777" w:rsidR="00B967CB" w:rsidRPr="00B967CB" w:rsidRDefault="00B967CB" w:rsidP="00B967CB">
      <w:pPr>
        <w:pStyle w:val="Bibliography"/>
        <w:rPr>
          <w:rFonts w:cs="Times New Roman"/>
          <w:lang w:val="en-GB"/>
        </w:rPr>
      </w:pPr>
      <w:r w:rsidRPr="00B967CB">
        <w:rPr>
          <w:rFonts w:cs="Times New Roman"/>
          <w:lang w:val="en-GB"/>
        </w:rPr>
        <w:t>31.</w:t>
      </w:r>
      <w:r w:rsidRPr="00B967CB">
        <w:rPr>
          <w:rFonts w:cs="Times New Roman"/>
          <w:lang w:val="en-GB"/>
        </w:rPr>
        <w:tab/>
      </w:r>
      <w:proofErr w:type="spellStart"/>
      <w:r w:rsidRPr="00B967CB">
        <w:rPr>
          <w:rFonts w:cs="Times New Roman"/>
          <w:lang w:val="en-GB"/>
        </w:rPr>
        <w:t>Leist</w:t>
      </w:r>
      <w:proofErr w:type="spellEnd"/>
      <w:r w:rsidRPr="00B967CB">
        <w:rPr>
          <w:rFonts w:cs="Times New Roman"/>
          <w:lang w:val="en-GB"/>
        </w:rPr>
        <w:t xml:space="preserve"> T, Cook S, </w:t>
      </w:r>
      <w:proofErr w:type="spellStart"/>
      <w:r w:rsidRPr="00B967CB">
        <w:rPr>
          <w:rFonts w:cs="Times New Roman"/>
          <w:lang w:val="en-GB"/>
        </w:rPr>
        <w:t>Comi</w:t>
      </w:r>
      <w:proofErr w:type="spellEnd"/>
      <w:r w:rsidRPr="00B967CB">
        <w:rPr>
          <w:rFonts w:cs="Times New Roman"/>
          <w:lang w:val="en-GB"/>
        </w:rPr>
        <w:t xml:space="preserve"> G, </w:t>
      </w:r>
      <w:proofErr w:type="spellStart"/>
      <w:r w:rsidRPr="00B967CB">
        <w:rPr>
          <w:rFonts w:cs="Times New Roman"/>
          <w:lang w:val="en-GB"/>
        </w:rPr>
        <w:t>Montalban</w:t>
      </w:r>
      <w:proofErr w:type="spellEnd"/>
      <w:r w:rsidRPr="00B967CB">
        <w:rPr>
          <w:rFonts w:cs="Times New Roman"/>
          <w:lang w:val="en-GB"/>
        </w:rPr>
        <w:t xml:space="preserve"> X, </w:t>
      </w:r>
      <w:proofErr w:type="spellStart"/>
      <w:r w:rsidRPr="00B967CB">
        <w:rPr>
          <w:rFonts w:cs="Times New Roman"/>
          <w:lang w:val="en-GB"/>
        </w:rPr>
        <w:t>Giovannoni</w:t>
      </w:r>
      <w:proofErr w:type="spellEnd"/>
      <w:r w:rsidRPr="00B967CB">
        <w:rPr>
          <w:rFonts w:cs="Times New Roman"/>
          <w:lang w:val="en-GB"/>
        </w:rPr>
        <w:t xml:space="preserve"> G, </w:t>
      </w:r>
      <w:proofErr w:type="spellStart"/>
      <w:r w:rsidRPr="00B967CB">
        <w:rPr>
          <w:rFonts w:cs="Times New Roman"/>
          <w:lang w:val="en-GB"/>
        </w:rPr>
        <w:t>Nolting</w:t>
      </w:r>
      <w:proofErr w:type="spellEnd"/>
      <w:r w:rsidRPr="00B967CB">
        <w:rPr>
          <w:rFonts w:cs="Times New Roman"/>
          <w:lang w:val="en-GB"/>
        </w:rPr>
        <w:t xml:space="preserve"> A, et al. Long-term safety data from the cladribine tablets clinical development program in multiple sclerosis. Mult </w:t>
      </w:r>
      <w:proofErr w:type="spellStart"/>
      <w:r w:rsidRPr="00B967CB">
        <w:rPr>
          <w:rFonts w:cs="Times New Roman"/>
          <w:lang w:val="en-GB"/>
        </w:rPr>
        <w:t>Scler</w:t>
      </w:r>
      <w:proofErr w:type="spellEnd"/>
      <w:r w:rsidRPr="00B967CB">
        <w:rPr>
          <w:rFonts w:cs="Times New Roman"/>
          <w:lang w:val="en-GB"/>
        </w:rPr>
        <w:t xml:space="preserve"> </w:t>
      </w:r>
      <w:proofErr w:type="spellStart"/>
      <w:r w:rsidRPr="00B967CB">
        <w:rPr>
          <w:rFonts w:cs="Times New Roman"/>
          <w:lang w:val="en-GB"/>
        </w:rPr>
        <w:t>Relat</w:t>
      </w:r>
      <w:proofErr w:type="spellEnd"/>
      <w:r w:rsidRPr="00B967CB">
        <w:rPr>
          <w:rFonts w:cs="Times New Roman"/>
          <w:lang w:val="en-GB"/>
        </w:rPr>
        <w:t xml:space="preserve"> </w:t>
      </w:r>
      <w:proofErr w:type="spellStart"/>
      <w:r w:rsidRPr="00B967CB">
        <w:rPr>
          <w:rFonts w:cs="Times New Roman"/>
          <w:lang w:val="en-GB"/>
        </w:rPr>
        <w:t>Disord</w:t>
      </w:r>
      <w:proofErr w:type="spellEnd"/>
      <w:r w:rsidRPr="00B967CB">
        <w:rPr>
          <w:rFonts w:cs="Times New Roman"/>
          <w:lang w:val="en-GB"/>
        </w:rPr>
        <w:t xml:space="preserve">. 2020 </w:t>
      </w:r>
      <w:proofErr w:type="gramStart"/>
      <w:r w:rsidRPr="00B967CB">
        <w:rPr>
          <w:rFonts w:cs="Times New Roman"/>
          <w:lang w:val="en-GB"/>
        </w:rPr>
        <w:t>Nov;46:102572</w:t>
      </w:r>
      <w:proofErr w:type="gramEnd"/>
      <w:r w:rsidRPr="00B967CB">
        <w:rPr>
          <w:rFonts w:cs="Times New Roman"/>
          <w:lang w:val="en-GB"/>
        </w:rPr>
        <w:t xml:space="preserve">. </w:t>
      </w:r>
    </w:p>
    <w:p w14:paraId="23E2B60D" w14:textId="77777777" w:rsidR="00B967CB" w:rsidRPr="00B967CB" w:rsidRDefault="00B967CB" w:rsidP="00B967CB">
      <w:pPr>
        <w:pStyle w:val="Bibliography"/>
        <w:rPr>
          <w:rFonts w:cs="Times New Roman"/>
          <w:lang w:val="en-GB"/>
        </w:rPr>
      </w:pPr>
      <w:r w:rsidRPr="00B967CB">
        <w:rPr>
          <w:rFonts w:cs="Times New Roman"/>
          <w:lang w:val="en-GB"/>
        </w:rPr>
        <w:lastRenderedPageBreak/>
        <w:t>32.</w:t>
      </w:r>
      <w:r w:rsidRPr="00B967CB">
        <w:rPr>
          <w:rFonts w:cs="Times New Roman"/>
          <w:lang w:val="en-GB"/>
        </w:rPr>
        <w:tab/>
      </w:r>
      <w:proofErr w:type="spellStart"/>
      <w:r w:rsidRPr="00B967CB">
        <w:rPr>
          <w:rFonts w:cs="Times New Roman"/>
          <w:lang w:val="en-GB"/>
        </w:rPr>
        <w:t>Leist</w:t>
      </w:r>
      <w:proofErr w:type="spellEnd"/>
      <w:r w:rsidRPr="00B967CB">
        <w:rPr>
          <w:rFonts w:cs="Times New Roman"/>
          <w:lang w:val="en-GB"/>
        </w:rPr>
        <w:t xml:space="preserve"> TP, </w:t>
      </w:r>
      <w:proofErr w:type="spellStart"/>
      <w:r w:rsidRPr="00B967CB">
        <w:rPr>
          <w:rFonts w:cs="Times New Roman"/>
          <w:lang w:val="en-GB"/>
        </w:rPr>
        <w:t>Comi</w:t>
      </w:r>
      <w:proofErr w:type="spellEnd"/>
      <w:r w:rsidRPr="00B967CB">
        <w:rPr>
          <w:rFonts w:cs="Times New Roman"/>
          <w:lang w:val="en-GB"/>
        </w:rPr>
        <w:t xml:space="preserve"> G, Cree BAC, Coyle PK, Freedman MS, Hartung HP, et al. Effect of oral cladribine on time to conversion to clinically definite multiple sclerosis in patients with a first demyelinating event (ORACLE MS): a phase 3 randomised trial. The Lancet Neurology. 2014 Mar 1;13(3):257–67. </w:t>
      </w:r>
    </w:p>
    <w:p w14:paraId="4B6EC52C" w14:textId="77777777" w:rsidR="00B967CB" w:rsidRPr="00B967CB" w:rsidRDefault="00B967CB" w:rsidP="00B967CB">
      <w:pPr>
        <w:pStyle w:val="Bibliography"/>
        <w:rPr>
          <w:rFonts w:cs="Times New Roman"/>
          <w:lang w:val="en-GB"/>
        </w:rPr>
      </w:pPr>
      <w:r w:rsidRPr="00B967CB">
        <w:rPr>
          <w:rFonts w:cs="Times New Roman"/>
          <w:lang w:val="en-GB"/>
        </w:rPr>
        <w:t>33.</w:t>
      </w:r>
      <w:r w:rsidRPr="00B967CB">
        <w:rPr>
          <w:rFonts w:cs="Times New Roman"/>
          <w:lang w:val="en-GB"/>
        </w:rPr>
        <w:tab/>
      </w:r>
      <w:proofErr w:type="spellStart"/>
      <w:r w:rsidRPr="00B967CB">
        <w:rPr>
          <w:rFonts w:cs="Times New Roman"/>
          <w:lang w:val="en-GB"/>
        </w:rPr>
        <w:t>Giovannoni</w:t>
      </w:r>
      <w:proofErr w:type="spellEnd"/>
      <w:r w:rsidRPr="00B967CB">
        <w:rPr>
          <w:rFonts w:cs="Times New Roman"/>
          <w:lang w:val="en-GB"/>
        </w:rPr>
        <w:t xml:space="preserve"> G, </w:t>
      </w:r>
      <w:proofErr w:type="spellStart"/>
      <w:r w:rsidRPr="00B967CB">
        <w:rPr>
          <w:rFonts w:cs="Times New Roman"/>
          <w:lang w:val="en-GB"/>
        </w:rPr>
        <w:t>Soelberg</w:t>
      </w:r>
      <w:proofErr w:type="spellEnd"/>
      <w:r w:rsidRPr="00B967CB">
        <w:rPr>
          <w:rFonts w:cs="Times New Roman"/>
          <w:lang w:val="en-GB"/>
        </w:rPr>
        <w:t xml:space="preserve"> Sorensen P, Cook S, </w:t>
      </w:r>
      <w:proofErr w:type="spellStart"/>
      <w:r w:rsidRPr="00B967CB">
        <w:rPr>
          <w:rFonts w:cs="Times New Roman"/>
          <w:lang w:val="en-GB"/>
        </w:rPr>
        <w:t>Rammohan</w:t>
      </w:r>
      <w:proofErr w:type="spellEnd"/>
      <w:r w:rsidRPr="00B967CB">
        <w:rPr>
          <w:rFonts w:cs="Times New Roman"/>
          <w:lang w:val="en-GB"/>
        </w:rPr>
        <w:t xml:space="preserve"> K, </w:t>
      </w:r>
      <w:proofErr w:type="spellStart"/>
      <w:r w:rsidRPr="00B967CB">
        <w:rPr>
          <w:rFonts w:cs="Times New Roman"/>
          <w:lang w:val="en-GB"/>
        </w:rPr>
        <w:t>Rieckmann</w:t>
      </w:r>
      <w:proofErr w:type="spellEnd"/>
      <w:r w:rsidRPr="00B967CB">
        <w:rPr>
          <w:rFonts w:cs="Times New Roman"/>
          <w:lang w:val="en-GB"/>
        </w:rPr>
        <w:t xml:space="preserve"> P, </w:t>
      </w:r>
      <w:proofErr w:type="spellStart"/>
      <w:r w:rsidRPr="00B967CB">
        <w:rPr>
          <w:rFonts w:cs="Times New Roman"/>
          <w:lang w:val="en-GB"/>
        </w:rPr>
        <w:t>Comi</w:t>
      </w:r>
      <w:proofErr w:type="spellEnd"/>
      <w:r w:rsidRPr="00B967CB">
        <w:rPr>
          <w:rFonts w:cs="Times New Roman"/>
          <w:lang w:val="en-GB"/>
        </w:rPr>
        <w:t xml:space="preserve"> G, et al. Safety and efficacy of cladribine tablets in patients with relapsing–remitting multiple sclerosis: Results from the randomized extension trial of the CLARITY study. Mult </w:t>
      </w:r>
      <w:proofErr w:type="spellStart"/>
      <w:r w:rsidRPr="00B967CB">
        <w:rPr>
          <w:rFonts w:cs="Times New Roman"/>
          <w:lang w:val="en-GB"/>
        </w:rPr>
        <w:t>Scler</w:t>
      </w:r>
      <w:proofErr w:type="spellEnd"/>
      <w:r w:rsidRPr="00B967CB">
        <w:rPr>
          <w:rFonts w:cs="Times New Roman"/>
          <w:lang w:val="en-GB"/>
        </w:rPr>
        <w:t xml:space="preserve">. 2018 Oct 1;24(12):1594–604. </w:t>
      </w:r>
    </w:p>
    <w:p w14:paraId="738F0884" w14:textId="77777777" w:rsidR="00B967CB" w:rsidRPr="00B967CB" w:rsidRDefault="00B967CB" w:rsidP="00B967CB">
      <w:pPr>
        <w:pStyle w:val="Bibliography"/>
        <w:rPr>
          <w:rFonts w:cs="Times New Roman"/>
          <w:lang w:val="en-GB"/>
        </w:rPr>
      </w:pPr>
      <w:r w:rsidRPr="00B967CB">
        <w:rPr>
          <w:rFonts w:cs="Times New Roman"/>
          <w:lang w:val="en-GB"/>
        </w:rPr>
        <w:t>34.</w:t>
      </w:r>
      <w:r w:rsidRPr="00B967CB">
        <w:rPr>
          <w:rFonts w:cs="Times New Roman"/>
          <w:lang w:val="en-GB"/>
        </w:rPr>
        <w:tab/>
      </w:r>
      <w:proofErr w:type="spellStart"/>
      <w:r w:rsidRPr="00B967CB">
        <w:rPr>
          <w:rFonts w:cs="Times New Roman"/>
          <w:lang w:val="en-GB"/>
        </w:rPr>
        <w:t>Montalban</w:t>
      </w:r>
      <w:proofErr w:type="spellEnd"/>
      <w:r w:rsidRPr="00B967CB">
        <w:rPr>
          <w:rFonts w:cs="Times New Roman"/>
          <w:lang w:val="en-GB"/>
        </w:rPr>
        <w:t xml:space="preserve"> X, Hauser SL, </w:t>
      </w:r>
      <w:proofErr w:type="spellStart"/>
      <w:r w:rsidRPr="00B967CB">
        <w:rPr>
          <w:rFonts w:cs="Times New Roman"/>
          <w:lang w:val="en-GB"/>
        </w:rPr>
        <w:t>Kappos</w:t>
      </w:r>
      <w:proofErr w:type="spellEnd"/>
      <w:r w:rsidRPr="00B967CB">
        <w:rPr>
          <w:rFonts w:cs="Times New Roman"/>
          <w:lang w:val="en-GB"/>
        </w:rPr>
        <w:t xml:space="preserve"> L, Arnold DL, Bar-Or A, </w:t>
      </w:r>
      <w:proofErr w:type="spellStart"/>
      <w:r w:rsidRPr="00B967CB">
        <w:rPr>
          <w:rFonts w:cs="Times New Roman"/>
          <w:lang w:val="en-GB"/>
        </w:rPr>
        <w:t>Comi</w:t>
      </w:r>
      <w:proofErr w:type="spellEnd"/>
      <w:r w:rsidRPr="00B967CB">
        <w:rPr>
          <w:rFonts w:cs="Times New Roman"/>
          <w:lang w:val="en-GB"/>
        </w:rPr>
        <w:t xml:space="preserve"> G, et al. Ocrelizumab versus Placebo in Primary Progressive Multiple Sclerosis. New England Journal of Medicine. 2017 Jan 19;376(3):209–20. </w:t>
      </w:r>
    </w:p>
    <w:p w14:paraId="5146A07F" w14:textId="77777777" w:rsidR="00B967CB" w:rsidRPr="00B967CB" w:rsidRDefault="00B967CB" w:rsidP="00B967CB">
      <w:pPr>
        <w:pStyle w:val="Bibliography"/>
        <w:rPr>
          <w:rFonts w:cs="Times New Roman"/>
          <w:lang w:val="en-GB"/>
        </w:rPr>
      </w:pPr>
      <w:r w:rsidRPr="00B967CB">
        <w:rPr>
          <w:rFonts w:cs="Times New Roman"/>
          <w:lang w:val="en-GB"/>
        </w:rPr>
        <w:t>35.</w:t>
      </w:r>
      <w:r w:rsidRPr="00B967CB">
        <w:rPr>
          <w:rFonts w:cs="Times New Roman"/>
          <w:lang w:val="en-GB"/>
        </w:rPr>
        <w:tab/>
        <w:t xml:space="preserve">Hauser SL, Bar-Or A, </w:t>
      </w:r>
      <w:proofErr w:type="spellStart"/>
      <w:r w:rsidRPr="00B967CB">
        <w:rPr>
          <w:rFonts w:cs="Times New Roman"/>
          <w:lang w:val="en-GB"/>
        </w:rPr>
        <w:t>Comi</w:t>
      </w:r>
      <w:proofErr w:type="spellEnd"/>
      <w:r w:rsidRPr="00B967CB">
        <w:rPr>
          <w:rFonts w:cs="Times New Roman"/>
          <w:lang w:val="en-GB"/>
        </w:rPr>
        <w:t xml:space="preserve"> G, </w:t>
      </w:r>
      <w:proofErr w:type="spellStart"/>
      <w:r w:rsidRPr="00B967CB">
        <w:rPr>
          <w:rFonts w:cs="Times New Roman"/>
          <w:lang w:val="en-GB"/>
        </w:rPr>
        <w:t>Giovannoni</w:t>
      </w:r>
      <w:proofErr w:type="spellEnd"/>
      <w:r w:rsidRPr="00B967CB">
        <w:rPr>
          <w:rFonts w:cs="Times New Roman"/>
          <w:lang w:val="en-GB"/>
        </w:rPr>
        <w:t xml:space="preserve"> G, Hartung HP, Hemmer B, et al. Ocrelizumab versus Interferon Beta-1a in Relapsing Multiple Sclerosis. N </w:t>
      </w:r>
      <w:proofErr w:type="spellStart"/>
      <w:r w:rsidRPr="00B967CB">
        <w:rPr>
          <w:rFonts w:cs="Times New Roman"/>
          <w:lang w:val="en-GB"/>
        </w:rPr>
        <w:t>Engl</w:t>
      </w:r>
      <w:proofErr w:type="spellEnd"/>
      <w:r w:rsidRPr="00B967CB">
        <w:rPr>
          <w:rFonts w:cs="Times New Roman"/>
          <w:lang w:val="en-GB"/>
        </w:rPr>
        <w:t xml:space="preserve"> J Med. 2017 Jan 19;376(3):221–34. </w:t>
      </w:r>
    </w:p>
    <w:p w14:paraId="1D87FB62" w14:textId="77777777" w:rsidR="00B967CB" w:rsidRPr="00B967CB" w:rsidRDefault="00B967CB" w:rsidP="00B967CB">
      <w:pPr>
        <w:pStyle w:val="Bibliography"/>
        <w:rPr>
          <w:rFonts w:cs="Times New Roman"/>
          <w:lang w:val="en-GB"/>
        </w:rPr>
      </w:pPr>
      <w:r w:rsidRPr="00B967CB">
        <w:rPr>
          <w:rFonts w:cs="Times New Roman"/>
          <w:lang w:val="en-GB"/>
        </w:rPr>
        <w:t>36.</w:t>
      </w:r>
      <w:r w:rsidRPr="00B967CB">
        <w:rPr>
          <w:rFonts w:cs="Times New Roman"/>
          <w:lang w:val="en-GB"/>
        </w:rPr>
        <w:tab/>
      </w:r>
      <w:proofErr w:type="spellStart"/>
      <w:r w:rsidRPr="00B967CB">
        <w:rPr>
          <w:rFonts w:cs="Times New Roman"/>
          <w:lang w:val="en-GB"/>
        </w:rPr>
        <w:t>Wolinsky</w:t>
      </w:r>
      <w:proofErr w:type="spellEnd"/>
      <w:r w:rsidRPr="00B967CB">
        <w:rPr>
          <w:rFonts w:cs="Times New Roman"/>
          <w:lang w:val="en-GB"/>
        </w:rPr>
        <w:t xml:space="preserve"> JS, Arnold DL, </w:t>
      </w:r>
      <w:proofErr w:type="spellStart"/>
      <w:r w:rsidRPr="00B967CB">
        <w:rPr>
          <w:rFonts w:cs="Times New Roman"/>
          <w:lang w:val="en-GB"/>
        </w:rPr>
        <w:t>Brochet</w:t>
      </w:r>
      <w:proofErr w:type="spellEnd"/>
      <w:r w:rsidRPr="00B967CB">
        <w:rPr>
          <w:rFonts w:cs="Times New Roman"/>
          <w:lang w:val="en-GB"/>
        </w:rPr>
        <w:t xml:space="preserve"> B, Hartung HP, </w:t>
      </w:r>
      <w:proofErr w:type="spellStart"/>
      <w:r w:rsidRPr="00B967CB">
        <w:rPr>
          <w:rFonts w:cs="Times New Roman"/>
          <w:lang w:val="en-GB"/>
        </w:rPr>
        <w:t>Montalban</w:t>
      </w:r>
      <w:proofErr w:type="spellEnd"/>
      <w:r w:rsidRPr="00B967CB">
        <w:rPr>
          <w:rFonts w:cs="Times New Roman"/>
          <w:lang w:val="en-GB"/>
        </w:rPr>
        <w:t xml:space="preserve"> X, Naismith RT, et al. Long-term follow-up from the ORATORIO trial of ocrelizumab for primary progressive multiple sclerosis: a post-hoc analysis from the ongoing open-label extension of the randomised, placebo-controlled, phase 3 trial. The Lancet Neurology. 2020 Dec 1;19(12):998–1009. </w:t>
      </w:r>
    </w:p>
    <w:p w14:paraId="04C3B0E0" w14:textId="77777777" w:rsidR="00B967CB" w:rsidRPr="00B967CB" w:rsidRDefault="00B967CB" w:rsidP="00B967CB">
      <w:pPr>
        <w:pStyle w:val="Bibliography"/>
        <w:rPr>
          <w:rFonts w:cs="Times New Roman"/>
          <w:lang w:val="en-GB"/>
        </w:rPr>
      </w:pPr>
      <w:r w:rsidRPr="00B967CB">
        <w:rPr>
          <w:rFonts w:cs="Times New Roman"/>
          <w:lang w:val="en-GB"/>
        </w:rPr>
        <w:t>37.</w:t>
      </w:r>
      <w:r w:rsidRPr="00B967CB">
        <w:rPr>
          <w:rFonts w:cs="Times New Roman"/>
          <w:lang w:val="en-GB"/>
        </w:rPr>
        <w:tab/>
        <w:t xml:space="preserve">Hauser SL, </w:t>
      </w:r>
      <w:proofErr w:type="spellStart"/>
      <w:r w:rsidRPr="00B967CB">
        <w:rPr>
          <w:rFonts w:cs="Times New Roman"/>
          <w:lang w:val="en-GB"/>
        </w:rPr>
        <w:t>Kappos</w:t>
      </w:r>
      <w:proofErr w:type="spellEnd"/>
      <w:r w:rsidRPr="00B967CB">
        <w:rPr>
          <w:rFonts w:cs="Times New Roman"/>
          <w:lang w:val="en-GB"/>
        </w:rPr>
        <w:t xml:space="preserve"> L, </w:t>
      </w:r>
      <w:proofErr w:type="spellStart"/>
      <w:r w:rsidRPr="00B967CB">
        <w:rPr>
          <w:rFonts w:cs="Times New Roman"/>
          <w:lang w:val="en-GB"/>
        </w:rPr>
        <w:t>Montalban</w:t>
      </w:r>
      <w:proofErr w:type="spellEnd"/>
      <w:r w:rsidRPr="00B967CB">
        <w:rPr>
          <w:rFonts w:cs="Times New Roman"/>
          <w:lang w:val="en-GB"/>
        </w:rPr>
        <w:t xml:space="preserve"> X, </w:t>
      </w:r>
      <w:proofErr w:type="spellStart"/>
      <w:r w:rsidRPr="00B967CB">
        <w:rPr>
          <w:rFonts w:cs="Times New Roman"/>
          <w:lang w:val="en-GB"/>
        </w:rPr>
        <w:t>Craveiro</w:t>
      </w:r>
      <w:proofErr w:type="spellEnd"/>
      <w:r w:rsidRPr="00B967CB">
        <w:rPr>
          <w:rFonts w:cs="Times New Roman"/>
          <w:lang w:val="en-GB"/>
        </w:rPr>
        <w:t xml:space="preserve"> L, </w:t>
      </w:r>
      <w:proofErr w:type="spellStart"/>
      <w:r w:rsidRPr="00B967CB">
        <w:rPr>
          <w:rFonts w:cs="Times New Roman"/>
          <w:lang w:val="en-GB"/>
        </w:rPr>
        <w:t>Chognot</w:t>
      </w:r>
      <w:proofErr w:type="spellEnd"/>
      <w:r w:rsidRPr="00B967CB">
        <w:rPr>
          <w:rFonts w:cs="Times New Roman"/>
          <w:lang w:val="en-GB"/>
        </w:rPr>
        <w:t xml:space="preserve"> C, Hughes R, et al. Safety of Ocrelizumab in Patients </w:t>
      </w:r>
      <w:proofErr w:type="gramStart"/>
      <w:r w:rsidRPr="00B967CB">
        <w:rPr>
          <w:rFonts w:cs="Times New Roman"/>
          <w:lang w:val="en-GB"/>
        </w:rPr>
        <w:t>With</w:t>
      </w:r>
      <w:proofErr w:type="gramEnd"/>
      <w:r w:rsidRPr="00B967CB">
        <w:rPr>
          <w:rFonts w:cs="Times New Roman"/>
          <w:lang w:val="en-GB"/>
        </w:rPr>
        <w:t xml:space="preserve"> Relapsing and Primary Progressive Multiple Sclerosis. Neurology. 2021 Oct 19;97(16</w:t>
      </w:r>
      <w:proofErr w:type="gramStart"/>
      <w:r w:rsidRPr="00B967CB">
        <w:rPr>
          <w:rFonts w:cs="Times New Roman"/>
          <w:lang w:val="en-GB"/>
        </w:rPr>
        <w:t>):e</w:t>
      </w:r>
      <w:proofErr w:type="gramEnd"/>
      <w:r w:rsidRPr="00B967CB">
        <w:rPr>
          <w:rFonts w:cs="Times New Roman"/>
          <w:lang w:val="en-GB"/>
        </w:rPr>
        <w:t xml:space="preserve">1546–59. </w:t>
      </w:r>
    </w:p>
    <w:p w14:paraId="626545C8" w14:textId="77777777" w:rsidR="00B967CB" w:rsidRPr="00B967CB" w:rsidRDefault="00B967CB" w:rsidP="00B967CB">
      <w:pPr>
        <w:pStyle w:val="Bibliography"/>
        <w:rPr>
          <w:rFonts w:cs="Times New Roman"/>
          <w:lang w:val="en-GB"/>
        </w:rPr>
      </w:pPr>
      <w:r w:rsidRPr="00B967CB">
        <w:rPr>
          <w:rFonts w:cs="Times New Roman"/>
          <w:lang w:val="en-GB"/>
        </w:rPr>
        <w:t>38.</w:t>
      </w:r>
      <w:r w:rsidRPr="00B967CB">
        <w:rPr>
          <w:rFonts w:cs="Times New Roman"/>
          <w:lang w:val="en-GB"/>
        </w:rPr>
        <w:tab/>
        <w:t xml:space="preserve">CAMMS223 Trial Investigators, Coles AJ, </w:t>
      </w:r>
      <w:proofErr w:type="spellStart"/>
      <w:r w:rsidRPr="00B967CB">
        <w:rPr>
          <w:rFonts w:cs="Times New Roman"/>
          <w:lang w:val="en-GB"/>
        </w:rPr>
        <w:t>Compston</w:t>
      </w:r>
      <w:proofErr w:type="spellEnd"/>
      <w:r w:rsidRPr="00B967CB">
        <w:rPr>
          <w:rFonts w:cs="Times New Roman"/>
          <w:lang w:val="en-GB"/>
        </w:rPr>
        <w:t xml:space="preserve"> DAS, </w:t>
      </w:r>
      <w:proofErr w:type="spellStart"/>
      <w:r w:rsidRPr="00B967CB">
        <w:rPr>
          <w:rFonts w:cs="Times New Roman"/>
          <w:lang w:val="en-GB"/>
        </w:rPr>
        <w:t>Selmaj</w:t>
      </w:r>
      <w:proofErr w:type="spellEnd"/>
      <w:r w:rsidRPr="00B967CB">
        <w:rPr>
          <w:rFonts w:cs="Times New Roman"/>
          <w:lang w:val="en-GB"/>
        </w:rPr>
        <w:t xml:space="preserve"> KW, Lake SL, Moran S, et al. Alemtuzumab vs. interferon beta-1a in early multiple sclerosis. N </w:t>
      </w:r>
      <w:proofErr w:type="spellStart"/>
      <w:r w:rsidRPr="00B967CB">
        <w:rPr>
          <w:rFonts w:cs="Times New Roman"/>
          <w:lang w:val="en-GB"/>
        </w:rPr>
        <w:t>Engl</w:t>
      </w:r>
      <w:proofErr w:type="spellEnd"/>
      <w:r w:rsidRPr="00B967CB">
        <w:rPr>
          <w:rFonts w:cs="Times New Roman"/>
          <w:lang w:val="en-GB"/>
        </w:rPr>
        <w:t xml:space="preserve"> J Med. 2008 Oct 23;359(17):1786–801. </w:t>
      </w:r>
    </w:p>
    <w:p w14:paraId="623303A3" w14:textId="77777777" w:rsidR="00B967CB" w:rsidRPr="00B967CB" w:rsidRDefault="00B967CB" w:rsidP="00B967CB">
      <w:pPr>
        <w:pStyle w:val="Bibliography"/>
        <w:rPr>
          <w:rFonts w:cs="Times New Roman"/>
          <w:lang w:val="en-GB"/>
        </w:rPr>
      </w:pPr>
      <w:r w:rsidRPr="00B967CB">
        <w:rPr>
          <w:rFonts w:cs="Times New Roman"/>
          <w:lang w:val="en-GB"/>
        </w:rPr>
        <w:t>39.</w:t>
      </w:r>
      <w:r w:rsidRPr="00B967CB">
        <w:rPr>
          <w:rFonts w:cs="Times New Roman"/>
          <w:lang w:val="en-GB"/>
        </w:rPr>
        <w:tab/>
        <w:t xml:space="preserve">Cohen JA, Coles AJ, Arnold DL, </w:t>
      </w:r>
      <w:proofErr w:type="spellStart"/>
      <w:r w:rsidRPr="00B967CB">
        <w:rPr>
          <w:rFonts w:cs="Times New Roman"/>
          <w:lang w:val="en-GB"/>
        </w:rPr>
        <w:t>Confavreux</w:t>
      </w:r>
      <w:proofErr w:type="spellEnd"/>
      <w:r w:rsidRPr="00B967CB">
        <w:rPr>
          <w:rFonts w:cs="Times New Roman"/>
          <w:lang w:val="en-GB"/>
        </w:rPr>
        <w:t xml:space="preserve"> C, Fox EJ, Hartung HP, et al. Alemtuzumab versus interferon beta 1a as first-line treatment for patients with relapsing-remitting multiple sclerosis: a randomised controlled phase 3 trial. The Lancet. 2012 Nov 24;380(9856):1819–28. </w:t>
      </w:r>
    </w:p>
    <w:p w14:paraId="5A1F7954" w14:textId="77777777" w:rsidR="00B967CB" w:rsidRPr="00B967CB" w:rsidRDefault="00B967CB" w:rsidP="00B967CB">
      <w:pPr>
        <w:pStyle w:val="Bibliography"/>
        <w:rPr>
          <w:rFonts w:cs="Times New Roman"/>
          <w:lang w:val="en-GB"/>
        </w:rPr>
      </w:pPr>
      <w:r w:rsidRPr="00B967CB">
        <w:rPr>
          <w:rFonts w:cs="Times New Roman"/>
          <w:lang w:val="en-GB"/>
        </w:rPr>
        <w:t>40.</w:t>
      </w:r>
      <w:r w:rsidRPr="00B967CB">
        <w:rPr>
          <w:rFonts w:cs="Times New Roman"/>
          <w:lang w:val="en-GB"/>
        </w:rPr>
        <w:tab/>
        <w:t xml:space="preserve">Coles AJ, Twyman CL, Arnold DL, Cohen JA, </w:t>
      </w:r>
      <w:proofErr w:type="spellStart"/>
      <w:r w:rsidRPr="00B967CB">
        <w:rPr>
          <w:rFonts w:cs="Times New Roman"/>
          <w:lang w:val="en-GB"/>
        </w:rPr>
        <w:t>Confavreux</w:t>
      </w:r>
      <w:proofErr w:type="spellEnd"/>
      <w:r w:rsidRPr="00B967CB">
        <w:rPr>
          <w:rFonts w:cs="Times New Roman"/>
          <w:lang w:val="en-GB"/>
        </w:rPr>
        <w:t xml:space="preserve"> C, Fox EJ, et al. Alemtuzumab for patients with relapsing multiple sclerosis after disease-modifying therapy: a randomised controlled phase 3 trial. The Lancet. 2012 Nov 24;380(9856):1829–39. </w:t>
      </w:r>
    </w:p>
    <w:p w14:paraId="047E61B0" w14:textId="77777777" w:rsidR="00B967CB" w:rsidRPr="00B967CB" w:rsidRDefault="00B967CB" w:rsidP="00B967CB">
      <w:pPr>
        <w:pStyle w:val="Bibliography"/>
        <w:rPr>
          <w:rFonts w:cs="Times New Roman"/>
          <w:lang w:val="en-GB"/>
        </w:rPr>
      </w:pPr>
      <w:r w:rsidRPr="00B967CB">
        <w:rPr>
          <w:rFonts w:cs="Times New Roman"/>
          <w:lang w:val="en-GB"/>
        </w:rPr>
        <w:t>41.</w:t>
      </w:r>
      <w:r w:rsidRPr="00B967CB">
        <w:rPr>
          <w:rFonts w:cs="Times New Roman"/>
          <w:lang w:val="en-GB"/>
        </w:rPr>
        <w:tab/>
        <w:t xml:space="preserve">Coles AJ, Cohen JA, Fox EJ, </w:t>
      </w:r>
      <w:proofErr w:type="spellStart"/>
      <w:r w:rsidRPr="00B967CB">
        <w:rPr>
          <w:rFonts w:cs="Times New Roman"/>
          <w:lang w:val="en-GB"/>
        </w:rPr>
        <w:t>Giovannoni</w:t>
      </w:r>
      <w:proofErr w:type="spellEnd"/>
      <w:r w:rsidRPr="00B967CB">
        <w:rPr>
          <w:rFonts w:cs="Times New Roman"/>
          <w:lang w:val="en-GB"/>
        </w:rPr>
        <w:t xml:space="preserve"> G, Hartung HP, </w:t>
      </w:r>
      <w:proofErr w:type="spellStart"/>
      <w:r w:rsidRPr="00B967CB">
        <w:rPr>
          <w:rFonts w:cs="Times New Roman"/>
          <w:lang w:val="en-GB"/>
        </w:rPr>
        <w:t>Havrdova</w:t>
      </w:r>
      <w:proofErr w:type="spellEnd"/>
      <w:r w:rsidRPr="00B967CB">
        <w:rPr>
          <w:rFonts w:cs="Times New Roman"/>
          <w:lang w:val="en-GB"/>
        </w:rPr>
        <w:t xml:space="preserve"> E, et al. Alemtuzumab CARE-MS II 5-year follow-up: Efficacy and safety findings. Neurology. 2017 Sep 12;89(11):1117–26. </w:t>
      </w:r>
    </w:p>
    <w:p w14:paraId="7F764C10" w14:textId="77777777" w:rsidR="00B967CB" w:rsidRPr="00B967CB" w:rsidRDefault="00B967CB" w:rsidP="00B967CB">
      <w:pPr>
        <w:pStyle w:val="Bibliography"/>
        <w:rPr>
          <w:rFonts w:cs="Times New Roman"/>
          <w:lang w:val="en-GB"/>
        </w:rPr>
      </w:pPr>
      <w:r w:rsidRPr="00B967CB">
        <w:rPr>
          <w:rFonts w:cs="Times New Roman"/>
          <w:lang w:val="en-GB"/>
        </w:rPr>
        <w:lastRenderedPageBreak/>
        <w:t>42.</w:t>
      </w:r>
      <w:r w:rsidRPr="00B967CB">
        <w:rPr>
          <w:rFonts w:cs="Times New Roman"/>
          <w:lang w:val="en-GB"/>
        </w:rPr>
        <w:tab/>
      </w:r>
      <w:proofErr w:type="spellStart"/>
      <w:r w:rsidRPr="00B967CB">
        <w:rPr>
          <w:rFonts w:cs="Times New Roman"/>
          <w:lang w:val="en-GB"/>
        </w:rPr>
        <w:t>Steingo</w:t>
      </w:r>
      <w:proofErr w:type="spellEnd"/>
      <w:r w:rsidRPr="00B967CB">
        <w:rPr>
          <w:rFonts w:cs="Times New Roman"/>
          <w:lang w:val="en-GB"/>
        </w:rPr>
        <w:t xml:space="preserve"> B, Al Malik Y, Bass AD, </w:t>
      </w:r>
      <w:proofErr w:type="spellStart"/>
      <w:r w:rsidRPr="00B967CB">
        <w:rPr>
          <w:rFonts w:cs="Times New Roman"/>
          <w:lang w:val="en-GB"/>
        </w:rPr>
        <w:t>Berkovich</w:t>
      </w:r>
      <w:proofErr w:type="spellEnd"/>
      <w:r w:rsidRPr="00B967CB">
        <w:rPr>
          <w:rFonts w:cs="Times New Roman"/>
          <w:lang w:val="en-GB"/>
        </w:rPr>
        <w:t xml:space="preserve"> R, </w:t>
      </w:r>
      <w:proofErr w:type="spellStart"/>
      <w:r w:rsidRPr="00B967CB">
        <w:rPr>
          <w:rFonts w:cs="Times New Roman"/>
          <w:lang w:val="en-GB"/>
        </w:rPr>
        <w:t>Carraro</w:t>
      </w:r>
      <w:proofErr w:type="spellEnd"/>
      <w:r w:rsidRPr="00B967CB">
        <w:rPr>
          <w:rFonts w:cs="Times New Roman"/>
          <w:lang w:val="en-GB"/>
        </w:rPr>
        <w:t xml:space="preserve"> M, Fernández Ó, et al. Long-term efficacy and safety of alemtuzumab in patients with RRMS: 12-year follow-up of CAMMS223. J Neurol. 2020 Nov;267(11):3343–53. </w:t>
      </w:r>
    </w:p>
    <w:p w14:paraId="78510BAD" w14:textId="77777777" w:rsidR="00B967CB" w:rsidRPr="00B967CB" w:rsidRDefault="00B967CB" w:rsidP="00B967CB">
      <w:pPr>
        <w:pStyle w:val="Bibliography"/>
        <w:rPr>
          <w:rFonts w:cs="Times New Roman"/>
          <w:lang w:val="en-GB"/>
        </w:rPr>
      </w:pPr>
      <w:r w:rsidRPr="00B967CB">
        <w:rPr>
          <w:rFonts w:cs="Times New Roman"/>
          <w:lang w:val="en-GB"/>
        </w:rPr>
        <w:t>43.</w:t>
      </w:r>
      <w:r w:rsidRPr="00B967CB">
        <w:rPr>
          <w:rFonts w:cs="Times New Roman"/>
          <w:lang w:val="en-GB"/>
        </w:rPr>
        <w:tab/>
        <w:t xml:space="preserve">Hauser SL, Bar-Or A, Cohen JA, </w:t>
      </w:r>
      <w:proofErr w:type="spellStart"/>
      <w:r w:rsidRPr="00B967CB">
        <w:rPr>
          <w:rFonts w:cs="Times New Roman"/>
          <w:lang w:val="en-GB"/>
        </w:rPr>
        <w:t>Comi</w:t>
      </w:r>
      <w:proofErr w:type="spellEnd"/>
      <w:r w:rsidRPr="00B967CB">
        <w:rPr>
          <w:rFonts w:cs="Times New Roman"/>
          <w:lang w:val="en-GB"/>
        </w:rPr>
        <w:t xml:space="preserve"> G, </w:t>
      </w:r>
      <w:proofErr w:type="spellStart"/>
      <w:r w:rsidRPr="00B967CB">
        <w:rPr>
          <w:rFonts w:cs="Times New Roman"/>
          <w:lang w:val="en-GB"/>
        </w:rPr>
        <w:t>Correale</w:t>
      </w:r>
      <w:proofErr w:type="spellEnd"/>
      <w:r w:rsidRPr="00B967CB">
        <w:rPr>
          <w:rFonts w:cs="Times New Roman"/>
          <w:lang w:val="en-GB"/>
        </w:rPr>
        <w:t xml:space="preserve"> J, Coyle PK, et al. Ofatumumab versus Teriflunomide in Multiple Sclerosis. N </w:t>
      </w:r>
      <w:proofErr w:type="spellStart"/>
      <w:r w:rsidRPr="00B967CB">
        <w:rPr>
          <w:rFonts w:cs="Times New Roman"/>
          <w:lang w:val="en-GB"/>
        </w:rPr>
        <w:t>Engl</w:t>
      </w:r>
      <w:proofErr w:type="spellEnd"/>
      <w:r w:rsidRPr="00B967CB">
        <w:rPr>
          <w:rFonts w:cs="Times New Roman"/>
          <w:lang w:val="en-GB"/>
        </w:rPr>
        <w:t xml:space="preserve"> J Med. 2020 Aug 6;383(6):546–57. </w:t>
      </w:r>
    </w:p>
    <w:p w14:paraId="4B2E239F" w14:textId="04ED91CA" w:rsidR="003A263A" w:rsidRPr="007859DF" w:rsidRDefault="00B967CB">
      <w:pPr>
        <w:rPr>
          <w:rFonts w:cs="Times New Roman"/>
        </w:rPr>
      </w:pPr>
      <w:r>
        <w:rPr>
          <w:rFonts w:cs="Times New Roman"/>
        </w:rPr>
        <w:fldChar w:fldCharType="end"/>
      </w:r>
    </w:p>
    <w:sectPr w:rsidR="003A263A" w:rsidRPr="007859DF" w:rsidSect="00BA717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1A1534B"/>
    <w:multiLevelType w:val="hybridMultilevel"/>
    <w:tmpl w:val="D592BC8E"/>
    <w:lvl w:ilvl="0" w:tplc="45E82AF2">
      <w:start w:val="1"/>
      <w:numFmt w:val="decimal"/>
      <w:lvlText w:val="%1"/>
      <w:lvlJc w:val="left"/>
      <w:pPr>
        <w:ind w:left="360" w:firstLine="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CE5BCF"/>
    <w:multiLevelType w:val="hybridMultilevel"/>
    <w:tmpl w:val="89306886"/>
    <w:lvl w:ilvl="0" w:tplc="86AE6838">
      <w:start w:val="1"/>
      <w:numFmt w:val="decimal"/>
      <w:lvlText w:val="%1"/>
      <w:lvlJc w:val="left"/>
      <w:pPr>
        <w:ind w:left="360" w:firstLine="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F4DC1"/>
    <w:multiLevelType w:val="multilevel"/>
    <w:tmpl w:val="0809001F"/>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304A50"/>
    <w:multiLevelType w:val="hybridMultilevel"/>
    <w:tmpl w:val="9F924BA6"/>
    <w:lvl w:ilvl="0" w:tplc="3F5064E8">
      <w:start w:val="1"/>
      <w:numFmt w:val="decimal"/>
      <w:lvlText w:val="%1"/>
      <w:lvlJc w:val="left"/>
      <w:pPr>
        <w:ind w:left="360" w:firstLine="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A47740"/>
    <w:multiLevelType w:val="hybridMultilevel"/>
    <w:tmpl w:val="5D342414"/>
    <w:lvl w:ilvl="0" w:tplc="1852862A">
      <w:start w:val="1"/>
      <w:numFmt w:val="decimal"/>
      <w:lvlText w:val="%1"/>
      <w:lvlJc w:val="left"/>
      <w:pPr>
        <w:ind w:left="360" w:firstLine="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abstractNumId w:val="0"/>
  </w:num>
  <w:num w:numId="4">
    <w:abstractNumId w:val="0"/>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0"/>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2"/>
      <w:lvl w:ilvl="6">
        <w:start w:val="2"/>
        <w:numFmt w:val="decimal"/>
        <w:lvlText w:val=""/>
        <w:lvlJc w:val="left"/>
      </w:lvl>
    </w:lvlOverride>
  </w:num>
  <w:num w:numId="6">
    <w:abstractNumId w:val="4"/>
  </w:num>
  <w:num w:numId="7">
    <w:abstractNumId w:val="3"/>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70"/>
    <w:rsid w:val="00006F62"/>
    <w:rsid w:val="00026041"/>
    <w:rsid w:val="00035A2D"/>
    <w:rsid w:val="000E6D8D"/>
    <w:rsid w:val="000F1C4B"/>
    <w:rsid w:val="00142A88"/>
    <w:rsid w:val="001A1A03"/>
    <w:rsid w:val="001A4FCD"/>
    <w:rsid w:val="003A263A"/>
    <w:rsid w:val="00463EEB"/>
    <w:rsid w:val="00475C1C"/>
    <w:rsid w:val="004D4BAC"/>
    <w:rsid w:val="005B7498"/>
    <w:rsid w:val="005F4324"/>
    <w:rsid w:val="0060745A"/>
    <w:rsid w:val="007830F5"/>
    <w:rsid w:val="007859DF"/>
    <w:rsid w:val="00963DE4"/>
    <w:rsid w:val="00973DE2"/>
    <w:rsid w:val="009E40DE"/>
    <w:rsid w:val="00AB70A0"/>
    <w:rsid w:val="00AC5D78"/>
    <w:rsid w:val="00B67B26"/>
    <w:rsid w:val="00B760AC"/>
    <w:rsid w:val="00B967CB"/>
    <w:rsid w:val="00BA6B91"/>
    <w:rsid w:val="00BA7170"/>
    <w:rsid w:val="00BD400F"/>
    <w:rsid w:val="00C15A07"/>
    <w:rsid w:val="00D16970"/>
    <w:rsid w:val="00EB3969"/>
    <w:rsid w:val="00F506D0"/>
    <w:rsid w:val="00F91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E2F4E5E"/>
  <w15:docId w15:val="{C6296CE3-16F3-7045-98E8-3F9871BA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70"/>
    <w:pPr>
      <w:spacing w:before="120" w:after="240"/>
    </w:pPr>
    <w:rPr>
      <w:rFonts w:ascii="Times New Roman" w:hAnsi="Times New Roman"/>
      <w:szCs w:val="22"/>
      <w:lang w:val="en-US"/>
    </w:rPr>
  </w:style>
  <w:style w:type="paragraph" w:styleId="Heading1">
    <w:name w:val="heading 1"/>
    <w:basedOn w:val="ListParagraph"/>
    <w:next w:val="Normal"/>
    <w:link w:val="Heading1Char"/>
    <w:uiPriority w:val="9"/>
    <w:qFormat/>
    <w:rsid w:val="00D16970"/>
    <w:pPr>
      <w:numPr>
        <w:numId w:val="2"/>
      </w:numPr>
      <w:spacing w:before="240"/>
      <w:contextualSpacing w:val="0"/>
      <w:outlineLvl w:val="0"/>
    </w:pPr>
    <w:rPr>
      <w:b/>
    </w:rPr>
  </w:style>
  <w:style w:type="paragraph" w:styleId="Heading2">
    <w:name w:val="heading 2"/>
    <w:basedOn w:val="Heading1"/>
    <w:next w:val="Normal"/>
    <w:link w:val="Heading2Char"/>
    <w:uiPriority w:val="9"/>
    <w:qFormat/>
    <w:rsid w:val="00D16970"/>
    <w:pPr>
      <w:numPr>
        <w:ilvl w:val="1"/>
      </w:numPr>
      <w:spacing w:after="200"/>
      <w:outlineLvl w:val="1"/>
    </w:pPr>
  </w:style>
  <w:style w:type="paragraph" w:styleId="Heading3">
    <w:name w:val="heading 3"/>
    <w:basedOn w:val="Normal"/>
    <w:next w:val="Normal"/>
    <w:link w:val="Heading3Char"/>
    <w:uiPriority w:val="9"/>
    <w:qFormat/>
    <w:rsid w:val="00D16970"/>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D16970"/>
    <w:pPr>
      <w:numPr>
        <w:ilvl w:val="3"/>
      </w:numPr>
      <w:outlineLvl w:val="3"/>
    </w:pPr>
    <w:rPr>
      <w:iCs/>
    </w:rPr>
  </w:style>
  <w:style w:type="paragraph" w:styleId="Heading5">
    <w:name w:val="heading 5"/>
    <w:basedOn w:val="Heading4"/>
    <w:next w:val="Normal"/>
    <w:link w:val="Heading5Char"/>
    <w:uiPriority w:val="9"/>
    <w:qFormat/>
    <w:rsid w:val="00D1697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970"/>
    <w:rPr>
      <w:rFonts w:ascii="Times New Roman" w:eastAsia="Cambria" w:hAnsi="Times New Roman" w:cs="Times New Roman"/>
      <w:b/>
      <w:lang w:val="en-US"/>
    </w:rPr>
  </w:style>
  <w:style w:type="character" w:customStyle="1" w:styleId="Heading2Char">
    <w:name w:val="Heading 2 Char"/>
    <w:basedOn w:val="DefaultParagraphFont"/>
    <w:link w:val="Heading2"/>
    <w:uiPriority w:val="9"/>
    <w:rsid w:val="00D16970"/>
    <w:rPr>
      <w:rFonts w:ascii="Times New Roman" w:eastAsia="Cambria" w:hAnsi="Times New Roman" w:cs="Times New Roman"/>
      <w:b/>
      <w:lang w:val="en-US"/>
    </w:rPr>
  </w:style>
  <w:style w:type="character" w:customStyle="1" w:styleId="Heading3Char">
    <w:name w:val="Heading 3 Char"/>
    <w:basedOn w:val="DefaultParagraphFont"/>
    <w:link w:val="Heading3"/>
    <w:uiPriority w:val="9"/>
    <w:rsid w:val="00D16970"/>
    <w:rPr>
      <w:rFonts w:ascii="Times New Roman" w:eastAsiaTheme="majorEastAsia" w:hAnsi="Times New Roman" w:cstheme="majorBidi"/>
      <w:b/>
      <w:lang w:val="en-US"/>
    </w:rPr>
  </w:style>
  <w:style w:type="character" w:customStyle="1" w:styleId="Heading4Char">
    <w:name w:val="Heading 4 Char"/>
    <w:basedOn w:val="DefaultParagraphFont"/>
    <w:link w:val="Heading4"/>
    <w:uiPriority w:val="9"/>
    <w:rsid w:val="00D16970"/>
    <w:rPr>
      <w:rFonts w:ascii="Times New Roman" w:eastAsiaTheme="majorEastAsia" w:hAnsi="Times New Roman" w:cstheme="majorBidi"/>
      <w:b/>
      <w:iCs/>
      <w:lang w:val="en-US"/>
    </w:rPr>
  </w:style>
  <w:style w:type="character" w:customStyle="1" w:styleId="Heading5Char">
    <w:name w:val="Heading 5 Char"/>
    <w:basedOn w:val="DefaultParagraphFont"/>
    <w:link w:val="Heading5"/>
    <w:uiPriority w:val="9"/>
    <w:rsid w:val="00D16970"/>
    <w:rPr>
      <w:rFonts w:ascii="Times New Roman" w:eastAsiaTheme="majorEastAsia" w:hAnsi="Times New Roman" w:cstheme="majorBidi"/>
      <w:b/>
      <w:iCs/>
      <w:lang w:val="en-US"/>
    </w:rPr>
  </w:style>
  <w:style w:type="character" w:styleId="Emphasis">
    <w:name w:val="Emphasis"/>
    <w:basedOn w:val="DefaultParagraphFont"/>
    <w:uiPriority w:val="20"/>
    <w:qFormat/>
    <w:rsid w:val="00D16970"/>
    <w:rPr>
      <w:rFonts w:ascii="Times New Roman" w:hAnsi="Times New Roman"/>
      <w:i/>
      <w:iCs/>
    </w:rPr>
  </w:style>
  <w:style w:type="paragraph" w:styleId="ListParagraph">
    <w:name w:val="List Paragraph"/>
    <w:basedOn w:val="Normal"/>
    <w:uiPriority w:val="34"/>
    <w:qFormat/>
    <w:rsid w:val="00D16970"/>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D16970"/>
    <w:rPr>
      <w:rFonts w:ascii="Times New Roman" w:hAnsi="Times New Roman"/>
      <w:b/>
      <w:bCs/>
    </w:rPr>
  </w:style>
  <w:style w:type="paragraph" w:styleId="NormalWeb">
    <w:name w:val="Normal (Web)"/>
    <w:basedOn w:val="Normal"/>
    <w:uiPriority w:val="99"/>
    <w:unhideWhenUsed/>
    <w:rsid w:val="00D16970"/>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16970"/>
    <w:pPr>
      <w:tabs>
        <w:tab w:val="center" w:pos="4844"/>
        <w:tab w:val="right" w:pos="9689"/>
      </w:tabs>
    </w:pPr>
    <w:rPr>
      <w:b/>
    </w:rPr>
  </w:style>
  <w:style w:type="character" w:customStyle="1" w:styleId="HeaderChar">
    <w:name w:val="Header Char"/>
    <w:basedOn w:val="DefaultParagraphFont"/>
    <w:link w:val="Header"/>
    <w:uiPriority w:val="99"/>
    <w:rsid w:val="00D16970"/>
    <w:rPr>
      <w:rFonts w:ascii="Times New Roman" w:hAnsi="Times New Roman"/>
      <w:b/>
      <w:szCs w:val="22"/>
      <w:lang w:val="en-US"/>
    </w:rPr>
  </w:style>
  <w:style w:type="paragraph" w:styleId="Footer">
    <w:name w:val="footer"/>
    <w:basedOn w:val="Normal"/>
    <w:link w:val="FooterChar"/>
    <w:uiPriority w:val="99"/>
    <w:unhideWhenUsed/>
    <w:rsid w:val="00D16970"/>
    <w:pPr>
      <w:tabs>
        <w:tab w:val="center" w:pos="4844"/>
        <w:tab w:val="right" w:pos="9689"/>
      </w:tabs>
      <w:spacing w:after="0"/>
    </w:pPr>
  </w:style>
  <w:style w:type="character" w:customStyle="1" w:styleId="FooterChar">
    <w:name w:val="Footer Char"/>
    <w:basedOn w:val="DefaultParagraphFont"/>
    <w:link w:val="Footer"/>
    <w:uiPriority w:val="99"/>
    <w:rsid w:val="00D16970"/>
    <w:rPr>
      <w:rFonts w:ascii="Times New Roman" w:hAnsi="Times New Roman"/>
      <w:szCs w:val="22"/>
      <w:lang w:val="en-US"/>
    </w:rPr>
  </w:style>
  <w:style w:type="table" w:styleId="TableGrid">
    <w:name w:val="Table Grid"/>
    <w:basedOn w:val="TableNormal"/>
    <w:uiPriority w:val="39"/>
    <w:rsid w:val="00D16970"/>
    <w:rPr>
      <w:rFonts w:asciiTheme="majorHAnsi" w:hAnsiTheme="maj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6970"/>
    <w:pPr>
      <w:spacing w:after="0"/>
    </w:pPr>
    <w:rPr>
      <w:sz w:val="20"/>
      <w:szCs w:val="20"/>
    </w:rPr>
  </w:style>
  <w:style w:type="character" w:customStyle="1" w:styleId="FootnoteTextChar">
    <w:name w:val="Footnote Text Char"/>
    <w:basedOn w:val="DefaultParagraphFont"/>
    <w:link w:val="FootnoteText"/>
    <w:uiPriority w:val="99"/>
    <w:semiHidden/>
    <w:rsid w:val="00D1697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D16970"/>
    <w:rPr>
      <w:vertAlign w:val="superscript"/>
    </w:rPr>
  </w:style>
  <w:style w:type="paragraph" w:styleId="Caption">
    <w:name w:val="caption"/>
    <w:basedOn w:val="Normal"/>
    <w:next w:val="NoSpacing"/>
    <w:uiPriority w:val="35"/>
    <w:unhideWhenUsed/>
    <w:qFormat/>
    <w:rsid w:val="00D16970"/>
    <w:pPr>
      <w:keepNext/>
    </w:pPr>
    <w:rPr>
      <w:rFonts w:cs="Times New Roman"/>
      <w:b/>
      <w:bCs/>
      <w:szCs w:val="24"/>
    </w:rPr>
  </w:style>
  <w:style w:type="paragraph" w:styleId="BalloonText">
    <w:name w:val="Balloon Text"/>
    <w:basedOn w:val="Normal"/>
    <w:link w:val="BalloonTextChar"/>
    <w:uiPriority w:val="99"/>
    <w:semiHidden/>
    <w:unhideWhenUsed/>
    <w:rsid w:val="00D169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70"/>
    <w:rPr>
      <w:rFonts w:ascii="Tahoma" w:hAnsi="Tahoma" w:cs="Tahoma"/>
      <w:sz w:val="16"/>
      <w:szCs w:val="16"/>
      <w:lang w:val="en-US"/>
    </w:rPr>
  </w:style>
  <w:style w:type="character" w:styleId="LineNumber">
    <w:name w:val="line number"/>
    <w:basedOn w:val="DefaultParagraphFont"/>
    <w:uiPriority w:val="99"/>
    <w:semiHidden/>
    <w:unhideWhenUsed/>
    <w:rsid w:val="00D16970"/>
  </w:style>
  <w:style w:type="paragraph" w:styleId="EndnoteText">
    <w:name w:val="endnote text"/>
    <w:basedOn w:val="Normal"/>
    <w:link w:val="EndnoteTextChar"/>
    <w:uiPriority w:val="99"/>
    <w:semiHidden/>
    <w:unhideWhenUsed/>
    <w:rsid w:val="00D16970"/>
    <w:pPr>
      <w:spacing w:after="0"/>
    </w:pPr>
    <w:rPr>
      <w:sz w:val="20"/>
      <w:szCs w:val="20"/>
    </w:rPr>
  </w:style>
  <w:style w:type="character" w:customStyle="1" w:styleId="EndnoteTextChar">
    <w:name w:val="Endnote Text Char"/>
    <w:basedOn w:val="DefaultParagraphFont"/>
    <w:link w:val="EndnoteText"/>
    <w:uiPriority w:val="99"/>
    <w:semiHidden/>
    <w:rsid w:val="00D16970"/>
    <w:rPr>
      <w:rFonts w:ascii="Times New Roman" w:hAnsi="Times New Roman"/>
      <w:sz w:val="20"/>
      <w:szCs w:val="20"/>
      <w:lang w:val="en-US"/>
    </w:rPr>
  </w:style>
  <w:style w:type="character" w:styleId="EndnoteReference">
    <w:name w:val="endnote reference"/>
    <w:basedOn w:val="DefaultParagraphFont"/>
    <w:uiPriority w:val="99"/>
    <w:semiHidden/>
    <w:unhideWhenUsed/>
    <w:rsid w:val="00D16970"/>
    <w:rPr>
      <w:vertAlign w:val="superscript"/>
    </w:rPr>
  </w:style>
  <w:style w:type="character" w:styleId="CommentReference">
    <w:name w:val="annotation reference"/>
    <w:basedOn w:val="DefaultParagraphFont"/>
    <w:uiPriority w:val="99"/>
    <w:semiHidden/>
    <w:unhideWhenUsed/>
    <w:rsid w:val="00D16970"/>
    <w:rPr>
      <w:sz w:val="16"/>
      <w:szCs w:val="16"/>
    </w:rPr>
  </w:style>
  <w:style w:type="paragraph" w:styleId="CommentText">
    <w:name w:val="annotation text"/>
    <w:basedOn w:val="Normal"/>
    <w:link w:val="CommentTextChar"/>
    <w:uiPriority w:val="99"/>
    <w:unhideWhenUsed/>
    <w:rsid w:val="00D16970"/>
    <w:rPr>
      <w:sz w:val="20"/>
      <w:szCs w:val="20"/>
    </w:rPr>
  </w:style>
  <w:style w:type="character" w:customStyle="1" w:styleId="CommentTextChar">
    <w:name w:val="Comment Text Char"/>
    <w:basedOn w:val="DefaultParagraphFont"/>
    <w:link w:val="CommentText"/>
    <w:uiPriority w:val="99"/>
    <w:rsid w:val="00D16970"/>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D16970"/>
    <w:rPr>
      <w:b/>
      <w:bCs/>
    </w:rPr>
  </w:style>
  <w:style w:type="character" w:customStyle="1" w:styleId="CommentSubjectChar">
    <w:name w:val="Comment Subject Char"/>
    <w:basedOn w:val="CommentTextChar"/>
    <w:link w:val="CommentSubject"/>
    <w:uiPriority w:val="99"/>
    <w:semiHidden/>
    <w:rsid w:val="00D16970"/>
    <w:rPr>
      <w:rFonts w:ascii="Times New Roman" w:hAnsi="Times New Roman"/>
      <w:b/>
      <w:bCs/>
      <w:sz w:val="20"/>
      <w:szCs w:val="20"/>
      <w:lang w:val="en-US"/>
    </w:rPr>
  </w:style>
  <w:style w:type="character" w:styleId="Hyperlink">
    <w:name w:val="Hyperlink"/>
    <w:basedOn w:val="DefaultParagraphFont"/>
    <w:uiPriority w:val="99"/>
    <w:unhideWhenUsed/>
    <w:rsid w:val="00D16970"/>
    <w:rPr>
      <w:color w:val="0000FF"/>
      <w:u w:val="single"/>
    </w:rPr>
  </w:style>
  <w:style w:type="character" w:styleId="FollowedHyperlink">
    <w:name w:val="FollowedHyperlink"/>
    <w:basedOn w:val="DefaultParagraphFont"/>
    <w:uiPriority w:val="99"/>
    <w:semiHidden/>
    <w:unhideWhenUsed/>
    <w:rsid w:val="00D16970"/>
    <w:rPr>
      <w:color w:val="954F72" w:themeColor="followedHyperlink"/>
      <w:u w:val="single"/>
    </w:rPr>
  </w:style>
  <w:style w:type="paragraph" w:styleId="Title">
    <w:name w:val="Title"/>
    <w:basedOn w:val="Normal"/>
    <w:next w:val="Normal"/>
    <w:link w:val="TitleChar"/>
    <w:qFormat/>
    <w:rsid w:val="00D16970"/>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16970"/>
    <w:rPr>
      <w:rFonts w:ascii="Times New Roman" w:hAnsi="Times New Roman" w:cs="Times New Roman"/>
      <w:b/>
      <w:sz w:val="32"/>
      <w:szCs w:val="32"/>
      <w:lang w:val="en-US"/>
    </w:rPr>
  </w:style>
  <w:style w:type="paragraph" w:styleId="Subtitle">
    <w:name w:val="Subtitle"/>
    <w:basedOn w:val="Normal"/>
    <w:next w:val="Normal"/>
    <w:link w:val="SubtitleChar"/>
    <w:uiPriority w:val="99"/>
    <w:unhideWhenUsed/>
    <w:qFormat/>
    <w:rsid w:val="00D16970"/>
    <w:pPr>
      <w:spacing w:before="240"/>
    </w:pPr>
    <w:rPr>
      <w:rFonts w:cs="Times New Roman"/>
      <w:b/>
      <w:szCs w:val="24"/>
    </w:rPr>
  </w:style>
  <w:style w:type="character" w:customStyle="1" w:styleId="SubtitleChar">
    <w:name w:val="Subtitle Char"/>
    <w:basedOn w:val="DefaultParagraphFont"/>
    <w:link w:val="Subtitle"/>
    <w:uiPriority w:val="99"/>
    <w:rsid w:val="00D16970"/>
    <w:rPr>
      <w:rFonts w:ascii="Times New Roman" w:hAnsi="Times New Roman" w:cs="Times New Roman"/>
      <w:b/>
      <w:lang w:val="en-US"/>
    </w:rPr>
  </w:style>
  <w:style w:type="paragraph" w:styleId="NoSpacing">
    <w:name w:val="No Spacing"/>
    <w:link w:val="NoSpacingChar"/>
    <w:uiPriority w:val="1"/>
    <w:unhideWhenUsed/>
    <w:qFormat/>
    <w:rsid w:val="00D16970"/>
    <w:rPr>
      <w:rFonts w:ascii="Times New Roman" w:hAnsi="Times New Roman"/>
      <w:szCs w:val="22"/>
      <w:lang w:val="en-US"/>
    </w:rPr>
  </w:style>
  <w:style w:type="paragraph" w:customStyle="1" w:styleId="AuthorList">
    <w:name w:val="Author List"/>
    <w:aliases w:val="Keywords,Abstract"/>
    <w:basedOn w:val="Subtitle"/>
    <w:next w:val="Normal"/>
    <w:uiPriority w:val="1"/>
    <w:qFormat/>
    <w:rsid w:val="00D16970"/>
  </w:style>
  <w:style w:type="character" w:styleId="SubtleEmphasis">
    <w:name w:val="Subtle Emphasis"/>
    <w:basedOn w:val="DefaultParagraphFont"/>
    <w:uiPriority w:val="19"/>
    <w:qFormat/>
    <w:rsid w:val="00D16970"/>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D16970"/>
    <w:rPr>
      <w:rFonts w:ascii="Times New Roman" w:hAnsi="Times New Roman"/>
      <w:i/>
      <w:iCs/>
      <w:color w:val="auto"/>
    </w:rPr>
  </w:style>
  <w:style w:type="paragraph" w:styleId="Quote">
    <w:name w:val="Quote"/>
    <w:basedOn w:val="Normal"/>
    <w:next w:val="Normal"/>
    <w:link w:val="QuoteChar"/>
    <w:uiPriority w:val="29"/>
    <w:qFormat/>
    <w:rsid w:val="00D169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6970"/>
    <w:rPr>
      <w:rFonts w:ascii="Times New Roman" w:hAnsi="Times New Roman"/>
      <w:i/>
      <w:iCs/>
      <w:color w:val="404040" w:themeColor="text1" w:themeTint="BF"/>
      <w:szCs w:val="22"/>
      <w:lang w:val="en-US"/>
    </w:rPr>
  </w:style>
  <w:style w:type="character" w:styleId="IntenseReference">
    <w:name w:val="Intense Reference"/>
    <w:basedOn w:val="DefaultParagraphFont"/>
    <w:uiPriority w:val="32"/>
    <w:qFormat/>
    <w:rsid w:val="00D16970"/>
    <w:rPr>
      <w:b/>
      <w:bCs/>
      <w:smallCaps/>
      <w:color w:val="auto"/>
      <w:spacing w:val="5"/>
    </w:rPr>
  </w:style>
  <w:style w:type="character" w:styleId="BookTitle">
    <w:name w:val="Book Title"/>
    <w:basedOn w:val="DefaultParagraphFont"/>
    <w:uiPriority w:val="33"/>
    <w:qFormat/>
    <w:rsid w:val="00D16970"/>
    <w:rPr>
      <w:rFonts w:ascii="Times New Roman" w:hAnsi="Times New Roman"/>
      <w:b/>
      <w:bCs/>
      <w:i/>
      <w:iCs/>
      <w:spacing w:val="5"/>
    </w:rPr>
  </w:style>
  <w:style w:type="numbering" w:customStyle="1" w:styleId="Headings">
    <w:name w:val="Headings"/>
    <w:uiPriority w:val="99"/>
    <w:rsid w:val="00D16970"/>
    <w:pPr>
      <w:numPr>
        <w:numId w:val="3"/>
      </w:numPr>
    </w:pPr>
  </w:style>
  <w:style w:type="paragraph" w:styleId="Revision">
    <w:name w:val="Revision"/>
    <w:hidden/>
    <w:uiPriority w:val="99"/>
    <w:semiHidden/>
    <w:rsid w:val="00D16970"/>
    <w:rPr>
      <w:rFonts w:ascii="Times New Roman" w:hAnsi="Times New Roman"/>
      <w:szCs w:val="22"/>
      <w:lang w:val="en-US"/>
    </w:rPr>
  </w:style>
  <w:style w:type="character" w:styleId="UnresolvedMention">
    <w:name w:val="Unresolved Mention"/>
    <w:basedOn w:val="DefaultParagraphFont"/>
    <w:uiPriority w:val="99"/>
    <w:semiHidden/>
    <w:unhideWhenUsed/>
    <w:rsid w:val="00D16970"/>
    <w:rPr>
      <w:color w:val="605E5C"/>
      <w:shd w:val="clear" w:color="auto" w:fill="E1DFDD"/>
    </w:rPr>
  </w:style>
  <w:style w:type="paragraph" w:styleId="Bibliography">
    <w:name w:val="Bibliography"/>
    <w:basedOn w:val="Normal"/>
    <w:next w:val="Normal"/>
    <w:uiPriority w:val="37"/>
    <w:unhideWhenUsed/>
    <w:rsid w:val="00D16970"/>
    <w:pPr>
      <w:tabs>
        <w:tab w:val="left" w:pos="380"/>
        <w:tab w:val="left" w:pos="500"/>
      </w:tabs>
      <w:ind w:left="384" w:hanging="384"/>
    </w:pPr>
  </w:style>
  <w:style w:type="numbering" w:customStyle="1" w:styleId="CurrentList1">
    <w:name w:val="Current List1"/>
    <w:uiPriority w:val="99"/>
    <w:rsid w:val="00D16970"/>
    <w:pPr>
      <w:numPr>
        <w:numId w:val="6"/>
      </w:numPr>
    </w:pPr>
  </w:style>
  <w:style w:type="paragraph" w:styleId="TOCHeading">
    <w:name w:val="TOC Heading"/>
    <w:basedOn w:val="Heading1"/>
    <w:next w:val="Normal"/>
    <w:uiPriority w:val="39"/>
    <w:unhideWhenUsed/>
    <w:qFormat/>
    <w:rsid w:val="00D16970"/>
    <w:pPr>
      <w:keepNext/>
      <w:keepLines/>
      <w:numPr>
        <w:numId w:val="0"/>
      </w:numPr>
      <w:spacing w:before="480" w:after="0" w:line="276" w:lineRule="auto"/>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D16970"/>
    <w:pPr>
      <w:spacing w:after="0"/>
    </w:pPr>
    <w:rPr>
      <w:rFonts w:asciiTheme="minorHAnsi" w:hAnsiTheme="minorHAnsi" w:cstheme="minorHAnsi"/>
      <w:b/>
      <w:bCs/>
      <w:i/>
      <w:iCs/>
      <w:szCs w:val="24"/>
      <w:lang w:val="en-AU"/>
    </w:rPr>
  </w:style>
  <w:style w:type="paragraph" w:styleId="TOC2">
    <w:name w:val="toc 2"/>
    <w:basedOn w:val="Normal"/>
    <w:next w:val="Normal"/>
    <w:autoRedefine/>
    <w:uiPriority w:val="39"/>
    <w:unhideWhenUsed/>
    <w:rsid w:val="00D16970"/>
    <w:pPr>
      <w:spacing w:after="0"/>
      <w:ind w:left="240"/>
    </w:pPr>
    <w:rPr>
      <w:rFonts w:asciiTheme="minorHAnsi" w:hAnsiTheme="minorHAnsi" w:cstheme="minorHAnsi"/>
      <w:b/>
      <w:bCs/>
      <w:sz w:val="22"/>
      <w:lang w:val="en-AU"/>
    </w:rPr>
  </w:style>
  <w:style w:type="paragraph" w:styleId="TOC3">
    <w:name w:val="toc 3"/>
    <w:basedOn w:val="Normal"/>
    <w:next w:val="Normal"/>
    <w:autoRedefine/>
    <w:uiPriority w:val="39"/>
    <w:unhideWhenUsed/>
    <w:rsid w:val="00D16970"/>
    <w:pPr>
      <w:spacing w:before="0" w:after="0"/>
      <w:ind w:left="480"/>
    </w:pPr>
    <w:rPr>
      <w:rFonts w:asciiTheme="minorHAnsi" w:hAnsiTheme="minorHAnsi" w:cstheme="minorHAnsi"/>
      <w:sz w:val="20"/>
      <w:szCs w:val="20"/>
      <w:lang w:val="en-AU"/>
    </w:rPr>
  </w:style>
  <w:style w:type="paragraph" w:styleId="TOC4">
    <w:name w:val="toc 4"/>
    <w:basedOn w:val="Normal"/>
    <w:next w:val="Normal"/>
    <w:autoRedefine/>
    <w:uiPriority w:val="39"/>
    <w:semiHidden/>
    <w:unhideWhenUsed/>
    <w:rsid w:val="00D16970"/>
    <w:pPr>
      <w:spacing w:before="0" w:after="0"/>
      <w:ind w:left="720"/>
    </w:pPr>
    <w:rPr>
      <w:rFonts w:eastAsia="Times New Roman" w:cstheme="minorHAnsi"/>
      <w:sz w:val="20"/>
      <w:szCs w:val="20"/>
      <w:lang w:val="en-AU" w:eastAsia="en-GB"/>
    </w:rPr>
  </w:style>
  <w:style w:type="paragraph" w:styleId="TOC5">
    <w:name w:val="toc 5"/>
    <w:basedOn w:val="Normal"/>
    <w:next w:val="Normal"/>
    <w:autoRedefine/>
    <w:uiPriority w:val="39"/>
    <w:semiHidden/>
    <w:unhideWhenUsed/>
    <w:rsid w:val="00D16970"/>
    <w:pPr>
      <w:spacing w:before="0" w:after="0"/>
      <w:ind w:left="960"/>
    </w:pPr>
    <w:rPr>
      <w:rFonts w:eastAsia="Times New Roman" w:cstheme="minorHAnsi"/>
      <w:sz w:val="20"/>
      <w:szCs w:val="20"/>
      <w:lang w:val="en-AU" w:eastAsia="en-GB"/>
    </w:rPr>
  </w:style>
  <w:style w:type="paragraph" w:styleId="TOC6">
    <w:name w:val="toc 6"/>
    <w:basedOn w:val="Normal"/>
    <w:next w:val="Normal"/>
    <w:autoRedefine/>
    <w:uiPriority w:val="39"/>
    <w:semiHidden/>
    <w:unhideWhenUsed/>
    <w:rsid w:val="00D16970"/>
    <w:pPr>
      <w:spacing w:before="0" w:after="0"/>
      <w:ind w:left="1200"/>
    </w:pPr>
    <w:rPr>
      <w:rFonts w:asciiTheme="minorHAnsi" w:hAnsiTheme="minorHAnsi" w:cstheme="minorHAnsi"/>
      <w:sz w:val="20"/>
      <w:szCs w:val="20"/>
      <w:lang w:val="en-AU"/>
    </w:rPr>
  </w:style>
  <w:style w:type="paragraph" w:styleId="TOC7">
    <w:name w:val="toc 7"/>
    <w:basedOn w:val="Normal"/>
    <w:next w:val="Normal"/>
    <w:autoRedefine/>
    <w:uiPriority w:val="39"/>
    <w:semiHidden/>
    <w:unhideWhenUsed/>
    <w:rsid w:val="00D16970"/>
    <w:pPr>
      <w:spacing w:before="0" w:after="0"/>
      <w:ind w:left="1440"/>
    </w:pPr>
    <w:rPr>
      <w:rFonts w:eastAsia="Times New Roman" w:cstheme="minorHAnsi"/>
      <w:sz w:val="20"/>
      <w:szCs w:val="20"/>
      <w:lang w:val="en-AU" w:eastAsia="en-GB"/>
    </w:rPr>
  </w:style>
  <w:style w:type="paragraph" w:styleId="TOC8">
    <w:name w:val="toc 8"/>
    <w:basedOn w:val="Normal"/>
    <w:next w:val="Normal"/>
    <w:autoRedefine/>
    <w:uiPriority w:val="39"/>
    <w:semiHidden/>
    <w:unhideWhenUsed/>
    <w:rsid w:val="00D16970"/>
    <w:pPr>
      <w:spacing w:before="0" w:after="0"/>
      <w:ind w:left="1680"/>
    </w:pPr>
    <w:rPr>
      <w:rFonts w:eastAsia="Times New Roman" w:cstheme="minorHAnsi"/>
      <w:sz w:val="20"/>
      <w:szCs w:val="20"/>
      <w:lang w:val="en-AU" w:eastAsia="en-GB"/>
    </w:rPr>
  </w:style>
  <w:style w:type="paragraph" w:styleId="TOC9">
    <w:name w:val="toc 9"/>
    <w:basedOn w:val="Normal"/>
    <w:next w:val="Normal"/>
    <w:autoRedefine/>
    <w:uiPriority w:val="39"/>
    <w:semiHidden/>
    <w:unhideWhenUsed/>
    <w:rsid w:val="00D16970"/>
    <w:pPr>
      <w:spacing w:before="0" w:after="0"/>
      <w:ind w:left="1920"/>
    </w:pPr>
    <w:rPr>
      <w:rFonts w:eastAsia="Times New Roman" w:cstheme="minorHAnsi"/>
      <w:sz w:val="20"/>
      <w:szCs w:val="20"/>
      <w:lang w:val="en-AU" w:eastAsia="en-GB"/>
    </w:rPr>
  </w:style>
  <w:style w:type="character" w:styleId="PageNumber">
    <w:name w:val="page number"/>
    <w:basedOn w:val="DefaultParagraphFont"/>
    <w:uiPriority w:val="99"/>
    <w:semiHidden/>
    <w:unhideWhenUsed/>
    <w:rsid w:val="00D16970"/>
  </w:style>
  <w:style w:type="character" w:customStyle="1" w:styleId="apple-converted-space">
    <w:name w:val="apple-converted-space"/>
    <w:basedOn w:val="DefaultParagraphFont"/>
    <w:rsid w:val="00D16970"/>
  </w:style>
  <w:style w:type="character" w:customStyle="1" w:styleId="sr-only">
    <w:name w:val="sr-only"/>
    <w:basedOn w:val="DefaultParagraphFont"/>
    <w:rsid w:val="00D16970"/>
  </w:style>
  <w:style w:type="paragraph" w:styleId="TableofFigures">
    <w:name w:val="table of figures"/>
    <w:basedOn w:val="Normal"/>
    <w:next w:val="Normal"/>
    <w:uiPriority w:val="99"/>
    <w:unhideWhenUsed/>
    <w:rsid w:val="00D16970"/>
    <w:pPr>
      <w:spacing w:after="120"/>
      <w:ind w:left="480" w:hanging="480"/>
    </w:pPr>
    <w:rPr>
      <w:rFonts w:eastAsia="Times New Roman" w:cs="Calibri (Body)"/>
      <w:szCs w:val="20"/>
      <w:lang w:val="en-AU" w:eastAsia="en-GB"/>
    </w:rPr>
  </w:style>
  <w:style w:type="character" w:customStyle="1" w:styleId="NoSpacingChar">
    <w:name w:val="No Spacing Char"/>
    <w:basedOn w:val="DefaultParagraphFont"/>
    <w:link w:val="NoSpacing"/>
    <w:uiPriority w:val="1"/>
    <w:rsid w:val="00D16970"/>
    <w:rPr>
      <w:rFonts w:ascii="Times New Roman" w:hAnsi="Times New Roman"/>
      <w:szCs w:val="22"/>
      <w:lang w:val="en-US"/>
    </w:rPr>
  </w:style>
  <w:style w:type="character" w:customStyle="1" w:styleId="nlm-institution">
    <w:name w:val="nlm-institution"/>
    <w:basedOn w:val="DefaultParagraphFont"/>
    <w:rsid w:val="00D16970"/>
  </w:style>
  <w:style w:type="character" w:customStyle="1" w:styleId="nlm-addr-line">
    <w:name w:val="nlm-addr-line"/>
    <w:basedOn w:val="DefaultParagraphFont"/>
    <w:rsid w:val="00D16970"/>
  </w:style>
  <w:style w:type="character" w:customStyle="1" w:styleId="nlm-country">
    <w:name w:val="nlm-country"/>
    <w:basedOn w:val="DefaultParagraphFont"/>
    <w:rsid w:val="00D1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26380</Words>
  <Characters>150370</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Bridge</dc:creator>
  <cp:keywords/>
  <dc:description/>
  <cp:lastModifiedBy>Francesca Bridge</cp:lastModifiedBy>
  <cp:revision>2</cp:revision>
  <dcterms:created xsi:type="dcterms:W3CDTF">2023-02-01T04:35:00Z</dcterms:created>
  <dcterms:modified xsi:type="dcterms:W3CDTF">2023-02-01T04:35:00Z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id="DEZV7LL0"/&gt;&lt;style id="http://www.zotero.org/styles/vancouver" locale="en-AU" hasBibliography="1" bibliographyStyleHasBeenSet="1"/&gt;&lt;prefs&gt;&lt;pref name="fieldType" value="Field"/&gt;&lt;/prefs&gt;&lt;/data&gt;</vt:lpwstr>
  </property>
</Properties>
</file>