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2E99B419" w:rsidR="00EA3D3C" w:rsidRDefault="00654E8F" w:rsidP="000E1B51">
      <w:pPr>
        <w:pStyle w:val="Heading1"/>
        <w:jc w:val="both"/>
      </w:pPr>
      <w:r w:rsidRPr="00994A3D">
        <w:t>Supplementary Data</w:t>
      </w:r>
      <w:r w:rsidR="00714118">
        <w:t xml:space="preserve"> 1</w:t>
      </w:r>
    </w:p>
    <w:p w14:paraId="2B9D5DF8" w14:textId="47602A07" w:rsidR="009F24FB" w:rsidRDefault="00DB2E16" w:rsidP="000E1B51">
      <w:pPr>
        <w:jc w:val="both"/>
      </w:pPr>
      <w:r w:rsidRPr="00DB2E16">
        <w:t>For t</w:t>
      </w:r>
      <w:r w:rsidR="000E1B51">
        <w:t xml:space="preserve">he </w:t>
      </w:r>
      <w:proofErr w:type="spellStart"/>
      <w:r w:rsidR="000E1B51">
        <w:t>eNOS</w:t>
      </w:r>
      <w:proofErr w:type="spellEnd"/>
      <w:r w:rsidRPr="00DB2E16">
        <w:t xml:space="preserve"> </w:t>
      </w:r>
      <w:r w:rsidR="000E1B51">
        <w:t xml:space="preserve">protein </w:t>
      </w:r>
      <w:r w:rsidRPr="00DB2E16">
        <w:t xml:space="preserve">analysis, a macro in the Fiji program (distribution of the open-source software ImageJ, specific to the analysis of biological images; </w:t>
      </w:r>
      <w:proofErr w:type="spellStart"/>
      <w:r w:rsidRPr="00DB2E16">
        <w:t>Schindelin</w:t>
      </w:r>
      <w:proofErr w:type="spellEnd"/>
      <w:r w:rsidRPr="00DB2E16">
        <w:t xml:space="preserve"> et al., 2012; 10.1038/nmeth.2019) was created to select the blood vessels </w:t>
      </w:r>
      <w:r w:rsidR="00714118" w:rsidRPr="00DB2E16">
        <w:t>labelled</w:t>
      </w:r>
      <w:r w:rsidRPr="00DB2E16">
        <w:t xml:space="preserve"> with </w:t>
      </w:r>
      <w:proofErr w:type="spellStart"/>
      <w:r w:rsidRPr="00DB2E16">
        <w:t>eNOS</w:t>
      </w:r>
      <w:proofErr w:type="spellEnd"/>
      <w:r w:rsidRPr="00DB2E16">
        <w:t xml:space="preserve"> in the digital microphotographs and to quantify both parameters: the mean surface area containing the label</w:t>
      </w:r>
      <w:r w:rsidR="00714118">
        <w:t>l</w:t>
      </w:r>
      <w:r w:rsidRPr="00DB2E16">
        <w:t>ed blood vessels and the “integrated label</w:t>
      </w:r>
      <w:r w:rsidR="00714118">
        <w:t>l</w:t>
      </w:r>
      <w:r w:rsidRPr="00DB2E16">
        <w:t xml:space="preserve">ing density of </w:t>
      </w:r>
      <w:proofErr w:type="spellStart"/>
      <w:r w:rsidRPr="00DB2E16">
        <w:t>eNOS</w:t>
      </w:r>
      <w:proofErr w:type="spellEnd"/>
      <w:r w:rsidRPr="00DB2E16">
        <w:t>. Briefly, as has been done in previous work [37</w:t>
      </w:r>
      <w:r w:rsidR="00182EEE">
        <w:t>-</w:t>
      </w:r>
      <w:r w:rsidRPr="00DB2E16">
        <w:t xml:space="preserve"> 3</w:t>
      </w:r>
      <w:r w:rsidR="00182EEE">
        <w:t>9</w:t>
      </w:r>
      <w:r w:rsidRPr="00DB2E16">
        <w:t>], all possible exposure thresholds were established for both measurements: the first threshold was set at the point where no label</w:t>
      </w:r>
      <w:r w:rsidR="00714118">
        <w:t>l</w:t>
      </w:r>
      <w:r w:rsidRPr="00DB2E16">
        <w:t xml:space="preserve">ing was observed and the last where the images looked fully saturated. Finally, for all thresholds </w:t>
      </w:r>
      <w:r w:rsidR="00714118" w:rsidRPr="00DB2E16">
        <w:t>analy</w:t>
      </w:r>
      <w:r w:rsidR="00714118">
        <w:t>s</w:t>
      </w:r>
      <w:r w:rsidR="00714118" w:rsidRPr="00DB2E16">
        <w:t>ed</w:t>
      </w:r>
      <w:r w:rsidRPr="00DB2E16">
        <w:t xml:space="preserve">, a value was </w:t>
      </w:r>
      <w:r w:rsidRPr="00714118">
        <w:t>obtained</w:t>
      </w:r>
      <w:r w:rsidRPr="00DB2E16">
        <w:t xml:space="preserve"> for the extent of </w:t>
      </w:r>
      <w:proofErr w:type="spellStart"/>
      <w:r w:rsidRPr="00DB2E16">
        <w:t>eNOS</w:t>
      </w:r>
      <w:proofErr w:type="spellEnd"/>
      <w:r w:rsidRPr="00DB2E16">
        <w:t xml:space="preserve"> labelling (area) and the intensity of </w:t>
      </w:r>
      <w:proofErr w:type="spellStart"/>
      <w:r w:rsidRPr="00DB2E16">
        <w:t>eNOS</w:t>
      </w:r>
      <w:proofErr w:type="spellEnd"/>
      <w:r w:rsidRPr="00DB2E16">
        <w:t xml:space="preserve"> labelling (integrated density) for blood vessels. For the graphical analyses, only intermediate threshold values were considered, corresponding to images with an average saturation of staining. For the statistical analysis, thresholds #6, #7, and #8 were selected, where the difference between the </w:t>
      </w:r>
      <w:r w:rsidR="00714118" w:rsidRPr="00DB2E16">
        <w:t>labelling</w:t>
      </w:r>
      <w:r w:rsidRPr="00DB2E16">
        <w:t xml:space="preserve"> curves of both experimental groups was more pronounced (see </w:t>
      </w:r>
      <w:bookmarkStart w:id="0" w:name="_Hlk121324361"/>
      <w:r w:rsidRPr="00DB2E16">
        <w:t>Results and Fig</w:t>
      </w:r>
      <w:r w:rsidR="00714118">
        <w:t>ure</w:t>
      </w:r>
      <w:r w:rsidRPr="00DB2E16">
        <w:t xml:space="preserve"> 4</w:t>
      </w:r>
      <w:bookmarkEnd w:id="0"/>
      <w:r w:rsidRPr="00DB2E16">
        <w:t>).</w:t>
      </w:r>
    </w:p>
    <w:p w14:paraId="19618AD7" w14:textId="77777777" w:rsidR="009F24FB" w:rsidRDefault="009F24FB" w:rsidP="009F24FB">
      <w:pPr>
        <w:pStyle w:val="Heading1"/>
      </w:pPr>
      <w:r w:rsidRPr="009F24FB">
        <w:t>Supplementary Figures</w:t>
      </w:r>
    </w:p>
    <w:p w14:paraId="103A6BD9" w14:textId="2FE9082E" w:rsidR="009F24FB" w:rsidRDefault="009F24FB" w:rsidP="009F24FB">
      <w:pPr>
        <w:pStyle w:val="Heading2"/>
      </w:pPr>
      <w:r>
        <w:t>Supplementary Figure 1</w:t>
      </w:r>
    </w:p>
    <w:p w14:paraId="0324794E" w14:textId="2F89AA94" w:rsidR="00987519" w:rsidRPr="00987519" w:rsidRDefault="00987519" w:rsidP="00987519">
      <w:pPr>
        <w:keepNext/>
        <w:rPr>
          <w:rFonts w:cs="Times New Roman"/>
          <w:szCs w:val="24"/>
        </w:rPr>
      </w:pPr>
      <w:r>
        <w:rPr>
          <w:rFonts w:cs="Times New Roman"/>
          <w:szCs w:val="24"/>
        </w:rPr>
        <w:t>Immunolabelling for</w:t>
      </w:r>
      <w:r w:rsidRPr="00773054">
        <w:rPr>
          <w:rFonts w:cs="Times New Roman"/>
          <w:szCs w:val="24"/>
        </w:rPr>
        <w:t xml:space="preserve"> </w:t>
      </w:r>
      <w:proofErr w:type="spellStart"/>
      <w:r w:rsidRPr="00773054">
        <w:rPr>
          <w:rFonts w:cs="Times New Roman"/>
          <w:szCs w:val="24"/>
        </w:rPr>
        <w:t>nNOS</w:t>
      </w:r>
      <w:proofErr w:type="spellEnd"/>
      <w:r w:rsidR="00AC25AA">
        <w:rPr>
          <w:rFonts w:cs="Times New Roman"/>
          <w:szCs w:val="24"/>
        </w:rPr>
        <w:t xml:space="preserve"> (green)</w:t>
      </w:r>
      <w:r w:rsidRPr="0077305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and</w:t>
      </w:r>
      <w:r w:rsidRPr="00773054">
        <w:rPr>
          <w:rFonts w:cs="Times New Roman"/>
          <w:szCs w:val="24"/>
        </w:rPr>
        <w:t xml:space="preserve"> MAP2 </w:t>
      </w:r>
      <w:r w:rsidR="00AC25AA">
        <w:rPr>
          <w:rFonts w:cs="Times New Roman"/>
          <w:szCs w:val="24"/>
        </w:rPr>
        <w:t xml:space="preserve">(red) </w:t>
      </w:r>
      <w:r w:rsidRPr="00773054">
        <w:rPr>
          <w:rFonts w:cs="Times New Roman"/>
          <w:szCs w:val="24"/>
        </w:rPr>
        <w:t>in the</w:t>
      </w:r>
      <w:r>
        <w:rPr>
          <w:rFonts w:cs="Times New Roman"/>
          <w:szCs w:val="24"/>
        </w:rPr>
        <w:t xml:space="preserve"> </w:t>
      </w:r>
      <w:r w:rsidRPr="00773054">
        <w:rPr>
          <w:rFonts w:cs="Times New Roman"/>
          <w:szCs w:val="24"/>
        </w:rPr>
        <w:t xml:space="preserve">GL </w:t>
      </w:r>
      <w:r>
        <w:rPr>
          <w:rFonts w:cs="Times New Roman"/>
          <w:szCs w:val="24"/>
        </w:rPr>
        <w:t xml:space="preserve">of </w:t>
      </w:r>
      <w:r w:rsidRPr="00773054">
        <w:rPr>
          <w:rFonts w:cs="Times New Roman"/>
          <w:szCs w:val="24"/>
        </w:rPr>
        <w:t xml:space="preserve">MOB </w:t>
      </w:r>
      <w:r>
        <w:rPr>
          <w:rFonts w:cs="Times New Roman"/>
          <w:szCs w:val="24"/>
        </w:rPr>
        <w:t>in</w:t>
      </w:r>
      <w:r w:rsidRPr="00773054">
        <w:rPr>
          <w:rFonts w:cs="Times New Roman"/>
          <w:szCs w:val="24"/>
        </w:rPr>
        <w:t xml:space="preserve"> wild</w:t>
      </w:r>
      <w:r>
        <w:rPr>
          <w:rFonts w:cs="Times New Roman"/>
          <w:szCs w:val="24"/>
        </w:rPr>
        <w:t>-</w:t>
      </w:r>
      <w:r w:rsidRPr="00773054">
        <w:rPr>
          <w:rFonts w:cs="Times New Roman"/>
          <w:szCs w:val="24"/>
        </w:rPr>
        <w:t xml:space="preserve">type mice. </w:t>
      </w:r>
      <w:r>
        <w:rPr>
          <w:rFonts w:cs="Times New Roman"/>
          <w:szCs w:val="24"/>
        </w:rPr>
        <w:t>I</w:t>
      </w:r>
      <w:r w:rsidRPr="00773054">
        <w:rPr>
          <w:rFonts w:cs="Times New Roman"/>
          <w:szCs w:val="24"/>
        </w:rPr>
        <w:t>mages show the co-expression o</w:t>
      </w:r>
      <w:r>
        <w:rPr>
          <w:rFonts w:cs="Times New Roman"/>
          <w:szCs w:val="24"/>
        </w:rPr>
        <w:t xml:space="preserve">f both markers (arrowheads) demonstrating that </w:t>
      </w:r>
      <w:proofErr w:type="spellStart"/>
      <w:r>
        <w:rPr>
          <w:rFonts w:cs="Times New Roman"/>
          <w:szCs w:val="24"/>
        </w:rPr>
        <w:t>nNOS</w:t>
      </w:r>
      <w:proofErr w:type="spellEnd"/>
      <w:r>
        <w:rPr>
          <w:rFonts w:cs="Times New Roman"/>
          <w:szCs w:val="24"/>
        </w:rPr>
        <w:t xml:space="preserve"> is expressed in neurons</w:t>
      </w:r>
      <w:r w:rsidRPr="00773054">
        <w:rPr>
          <w:rFonts w:cs="Times New Roman"/>
          <w:szCs w:val="24"/>
        </w:rPr>
        <w:t xml:space="preserve">. For better visualization of the labelling of both antibodies, MAP2 (B) and </w:t>
      </w:r>
      <w:proofErr w:type="spellStart"/>
      <w:r w:rsidRPr="00773054">
        <w:rPr>
          <w:rFonts w:cs="Times New Roman"/>
          <w:szCs w:val="24"/>
        </w:rPr>
        <w:t>nNOS</w:t>
      </w:r>
      <w:proofErr w:type="spellEnd"/>
      <w:r w:rsidRPr="00773054">
        <w:rPr>
          <w:rFonts w:cs="Times New Roman"/>
          <w:szCs w:val="24"/>
        </w:rPr>
        <w:t xml:space="preserve"> (C) are shown separately. </w:t>
      </w:r>
      <w:r w:rsidRPr="00987519">
        <w:rPr>
          <w:rFonts w:cs="Times New Roman"/>
          <w:szCs w:val="24"/>
        </w:rPr>
        <w:t>Scale bars 200 µm.</w:t>
      </w:r>
    </w:p>
    <w:p w14:paraId="40E23A26" w14:textId="4E182B1A" w:rsidR="00930449" w:rsidRDefault="00930449" w:rsidP="009F24FB">
      <w:pPr>
        <w:pStyle w:val="Heading2"/>
      </w:pPr>
      <w:r>
        <w:t>Supplementary Figure 2</w:t>
      </w:r>
    </w:p>
    <w:p w14:paraId="5174C30F" w14:textId="3C3C43A1" w:rsidR="00987519" w:rsidRPr="009F24FB" w:rsidRDefault="00987519" w:rsidP="00987519">
      <w:r w:rsidRPr="00F102AB">
        <w:t xml:space="preserve">Analysis of movement during the buried food test. </w:t>
      </w:r>
      <w:r>
        <w:t xml:space="preserve"> Three d</w:t>
      </w:r>
      <w:r w:rsidRPr="00F102AB">
        <w:t xml:space="preserve">ifferent parameters were evaluated: the number of times the mice approached </w:t>
      </w:r>
      <w:r>
        <w:t xml:space="preserve">to </w:t>
      </w:r>
      <w:r w:rsidRPr="00F102AB">
        <w:t>the area where the pellet was buried</w:t>
      </w:r>
      <w:r>
        <w:t xml:space="preserve"> (A)</w:t>
      </w:r>
      <w:r w:rsidRPr="00F102AB">
        <w:t xml:space="preserve">, the number of </w:t>
      </w:r>
      <w:r>
        <w:t>uprisings (B)</w:t>
      </w:r>
      <w:r w:rsidRPr="00F102AB">
        <w:t xml:space="preserve"> and the number of grooming</w:t>
      </w:r>
      <w:r>
        <w:t xml:space="preserve"> event</w:t>
      </w:r>
      <w:r w:rsidRPr="00F102AB">
        <w:t>s</w:t>
      </w:r>
      <w:r>
        <w:t xml:space="preserve"> (C)</w:t>
      </w:r>
      <w:r w:rsidRPr="00F102AB">
        <w:t xml:space="preserve">. In none of the three cases significant differences </w:t>
      </w:r>
      <w:r>
        <w:t xml:space="preserve">were </w:t>
      </w:r>
      <w:r w:rsidRPr="00F102AB">
        <w:t>found</w:t>
      </w:r>
      <w:r w:rsidR="001702FB">
        <w:t xml:space="preserve">: </w:t>
      </w:r>
      <w:r w:rsidR="001702FB" w:rsidRPr="001702FB">
        <w:t>number of pellet approaches (</w:t>
      </w:r>
      <w:proofErr w:type="spellStart"/>
      <w:r w:rsidR="001702FB" w:rsidRPr="001702FB">
        <w:t>nNOS</w:t>
      </w:r>
      <w:proofErr w:type="spellEnd"/>
      <w:r w:rsidR="001702FB" w:rsidRPr="001702FB">
        <w:t xml:space="preserve"> KO 3.87 ± 2.25; wild type 2.25 ± 0.7; p = 0.105; Supplementary Figure 2A), number of uprisings (</w:t>
      </w:r>
      <w:proofErr w:type="spellStart"/>
      <w:r w:rsidR="001702FB" w:rsidRPr="001702FB">
        <w:t>nNOS</w:t>
      </w:r>
      <w:proofErr w:type="spellEnd"/>
      <w:r w:rsidR="001702FB" w:rsidRPr="001702FB">
        <w:t xml:space="preserve"> KO 2.87 ± 1.88; wild type 1.5 ± 1.77; p = 0.161; Supplementary Figure 2B) and number of </w:t>
      </w:r>
      <w:proofErr w:type="spellStart"/>
      <w:r w:rsidR="001702FB" w:rsidRPr="001702FB">
        <w:t>groomings</w:t>
      </w:r>
      <w:proofErr w:type="spellEnd"/>
      <w:r w:rsidR="001702FB" w:rsidRPr="001702FB">
        <w:t xml:space="preserve"> (</w:t>
      </w:r>
      <w:proofErr w:type="spellStart"/>
      <w:r w:rsidR="001702FB" w:rsidRPr="001702FB">
        <w:t>nNOS</w:t>
      </w:r>
      <w:proofErr w:type="spellEnd"/>
      <w:r w:rsidR="001702FB" w:rsidRPr="001702FB">
        <w:t xml:space="preserve"> KO 2.5 ± 1.51; wild type 1.12 ± 0.64; p = 0.105; Supplementary Figure 2C).</w:t>
      </w:r>
    </w:p>
    <w:p w14:paraId="0823972D" w14:textId="5BD79DF2" w:rsidR="00930449" w:rsidRDefault="00930449" w:rsidP="009F24FB">
      <w:pPr>
        <w:pStyle w:val="Heading2"/>
      </w:pPr>
      <w:r>
        <w:t>Supplementary Figure 3</w:t>
      </w:r>
    </w:p>
    <w:p w14:paraId="0AD9E288" w14:textId="7F83C51F" w:rsidR="00987519" w:rsidRDefault="00987519" w:rsidP="00987519">
      <w:pPr>
        <w:keepNext/>
        <w:rPr>
          <w:rFonts w:cs="Times New Roman"/>
          <w:szCs w:val="24"/>
        </w:rPr>
      </w:pPr>
      <w:r w:rsidRPr="00930449">
        <w:rPr>
          <w:rFonts w:cs="Times New Roman"/>
          <w:szCs w:val="24"/>
        </w:rPr>
        <w:t xml:space="preserve">Immunolabelling </w:t>
      </w:r>
      <w:r w:rsidR="00AC25AA">
        <w:rPr>
          <w:rFonts w:cs="Times New Roman"/>
          <w:szCs w:val="24"/>
        </w:rPr>
        <w:t>for</w:t>
      </w:r>
      <w:r w:rsidRPr="00930449">
        <w:rPr>
          <w:rFonts w:cs="Times New Roman"/>
          <w:szCs w:val="24"/>
        </w:rPr>
        <w:t xml:space="preserve"> </w:t>
      </w:r>
      <w:proofErr w:type="spellStart"/>
      <w:r w:rsidRPr="00930449">
        <w:rPr>
          <w:rFonts w:cs="Times New Roman"/>
          <w:szCs w:val="24"/>
        </w:rPr>
        <w:t>nNOS</w:t>
      </w:r>
      <w:proofErr w:type="spellEnd"/>
      <w:r w:rsidRPr="00930449">
        <w:rPr>
          <w:rFonts w:cs="Times New Roman"/>
          <w:szCs w:val="24"/>
        </w:rPr>
        <w:t xml:space="preserve"> </w:t>
      </w:r>
      <w:r w:rsidR="00AC25AA">
        <w:rPr>
          <w:rFonts w:cs="Times New Roman"/>
          <w:szCs w:val="24"/>
        </w:rPr>
        <w:t xml:space="preserve">(green) </w:t>
      </w:r>
      <w:r w:rsidRPr="00930449">
        <w:rPr>
          <w:rFonts w:cs="Times New Roman"/>
          <w:szCs w:val="24"/>
        </w:rPr>
        <w:t>in the</w:t>
      </w:r>
      <w:r>
        <w:rPr>
          <w:rFonts w:cs="Times New Roman"/>
          <w:szCs w:val="24"/>
        </w:rPr>
        <w:t xml:space="preserve"> MOB</w:t>
      </w:r>
      <w:r w:rsidRPr="00930449">
        <w:rPr>
          <w:rFonts w:cs="Times New Roman"/>
          <w:szCs w:val="24"/>
        </w:rPr>
        <w:t xml:space="preserve"> of </w:t>
      </w:r>
      <w:proofErr w:type="spellStart"/>
      <w:r w:rsidRPr="00930449">
        <w:rPr>
          <w:rFonts w:cs="Times New Roman"/>
          <w:szCs w:val="24"/>
        </w:rPr>
        <w:t>nNOS</w:t>
      </w:r>
      <w:proofErr w:type="spellEnd"/>
      <w:r w:rsidRPr="00930449">
        <w:rPr>
          <w:rFonts w:cs="Times New Roman"/>
          <w:szCs w:val="24"/>
        </w:rPr>
        <w:t xml:space="preserve">-KO mice. As expected, no </w:t>
      </w:r>
      <w:proofErr w:type="spellStart"/>
      <w:r w:rsidRPr="00930449">
        <w:rPr>
          <w:rFonts w:cs="Times New Roman"/>
          <w:szCs w:val="24"/>
        </w:rPr>
        <w:t>nNOS</w:t>
      </w:r>
      <w:proofErr w:type="spellEnd"/>
      <w:r w:rsidRPr="00930449">
        <w:rPr>
          <w:rFonts w:cs="Times New Roman"/>
          <w:szCs w:val="24"/>
        </w:rPr>
        <w:t xml:space="preserve"> expressio</w:t>
      </w:r>
      <w:r>
        <w:rPr>
          <w:rFonts w:cs="Times New Roman"/>
          <w:szCs w:val="24"/>
        </w:rPr>
        <w:t>n was observed in the entire MOB</w:t>
      </w:r>
      <w:r w:rsidRPr="00930449">
        <w:rPr>
          <w:rFonts w:cs="Times New Roman"/>
          <w:szCs w:val="24"/>
        </w:rPr>
        <w:t xml:space="preserve"> in any of the layers.</w:t>
      </w:r>
      <w:r w:rsidR="00AC25AA" w:rsidRPr="00AC25AA">
        <w:rPr>
          <w:rFonts w:cs="Times New Roman"/>
          <w:szCs w:val="24"/>
        </w:rPr>
        <w:t xml:space="preserve"> </w:t>
      </w:r>
      <w:r w:rsidR="00AC25AA">
        <w:rPr>
          <w:rFonts w:cs="Times New Roman"/>
          <w:szCs w:val="24"/>
        </w:rPr>
        <w:t xml:space="preserve">Nuclei are counterstained </w:t>
      </w:r>
      <w:r w:rsidR="00AC25AA" w:rsidRPr="00930449">
        <w:rPr>
          <w:rFonts w:cs="Times New Roman"/>
          <w:szCs w:val="24"/>
        </w:rPr>
        <w:t>with DAPI (</w:t>
      </w:r>
      <w:r w:rsidR="00AC25AA">
        <w:rPr>
          <w:rFonts w:cs="Times New Roman"/>
          <w:szCs w:val="24"/>
        </w:rPr>
        <w:t xml:space="preserve">blue, </w:t>
      </w:r>
      <w:r w:rsidR="00AC25AA" w:rsidRPr="00930449">
        <w:rPr>
          <w:rFonts w:cs="Times New Roman"/>
          <w:szCs w:val="24"/>
        </w:rPr>
        <w:t>B)</w:t>
      </w:r>
      <w:r w:rsidR="00AC25AA">
        <w:rPr>
          <w:rFonts w:cs="Times New Roman"/>
          <w:szCs w:val="24"/>
        </w:rPr>
        <w:t>.</w:t>
      </w:r>
      <w:r w:rsidRPr="00930449">
        <w:rPr>
          <w:rFonts w:cs="Times New Roman"/>
          <w:szCs w:val="24"/>
        </w:rPr>
        <w:t xml:space="preserve"> Scale bars 200 µm.</w:t>
      </w:r>
    </w:p>
    <w:p w14:paraId="4AF998D2" w14:textId="2F92CAB1" w:rsidR="001E52D1" w:rsidRDefault="00D93409" w:rsidP="009F24FB">
      <w:pPr>
        <w:pStyle w:val="Heading2"/>
      </w:pPr>
      <w:r>
        <w:t>S</w:t>
      </w:r>
      <w:r w:rsidR="00930449">
        <w:t>upplementary Figure 4</w:t>
      </w:r>
    </w:p>
    <w:p w14:paraId="58F1AED1" w14:textId="76254706" w:rsidR="00DE23E8" w:rsidRPr="00930449" w:rsidRDefault="00930449" w:rsidP="00654E8F">
      <w:pPr>
        <w:spacing w:before="240"/>
      </w:pPr>
      <w:r w:rsidRPr="00930449">
        <w:t>Immunolabel</w:t>
      </w:r>
      <w:r>
        <w:t xml:space="preserve">ling </w:t>
      </w:r>
      <w:r w:rsidR="00AC25AA">
        <w:t>for</w:t>
      </w:r>
      <w:r>
        <w:t xml:space="preserve"> </w:t>
      </w:r>
      <w:proofErr w:type="spellStart"/>
      <w:r>
        <w:t>iNOS</w:t>
      </w:r>
      <w:proofErr w:type="spellEnd"/>
      <w:r w:rsidR="00AC25AA">
        <w:t xml:space="preserve"> (green)</w:t>
      </w:r>
      <w:r>
        <w:t xml:space="preserve"> in the MOB</w:t>
      </w:r>
      <w:r w:rsidRPr="00930449">
        <w:t xml:space="preserve"> of wild-type and </w:t>
      </w:r>
      <w:proofErr w:type="spellStart"/>
      <w:r w:rsidRPr="00930449">
        <w:t>nNOS</w:t>
      </w:r>
      <w:proofErr w:type="spellEnd"/>
      <w:r w:rsidRPr="00930449">
        <w:t xml:space="preserve">-KO mice. </w:t>
      </w:r>
      <w:r w:rsidR="00AC25AA">
        <w:t>N</w:t>
      </w:r>
      <w:r w:rsidRPr="00930449">
        <w:t>o expressio</w:t>
      </w:r>
      <w:r>
        <w:t xml:space="preserve">n was observed </w:t>
      </w:r>
      <w:r w:rsidR="00AC25AA">
        <w:t>in</w:t>
      </w:r>
      <w:r w:rsidRPr="00930449">
        <w:t xml:space="preserve"> either wild-type (A</w:t>
      </w:r>
      <w:r w:rsidR="00AC25AA">
        <w:t>,</w:t>
      </w:r>
      <w:r w:rsidR="00714118">
        <w:t xml:space="preserve"> </w:t>
      </w:r>
      <w:r w:rsidR="00AC25AA">
        <w:t>C</w:t>
      </w:r>
      <w:r w:rsidRPr="00930449">
        <w:t xml:space="preserve">) or </w:t>
      </w:r>
      <w:proofErr w:type="spellStart"/>
      <w:r w:rsidRPr="00930449">
        <w:t>nN</w:t>
      </w:r>
      <w:r>
        <w:t>OS</w:t>
      </w:r>
      <w:proofErr w:type="spellEnd"/>
      <w:r>
        <w:t>-KO mice (B</w:t>
      </w:r>
      <w:r w:rsidR="00AC25AA">
        <w:t>,</w:t>
      </w:r>
      <w:r w:rsidR="00714118">
        <w:t xml:space="preserve"> </w:t>
      </w:r>
      <w:r w:rsidR="00AC25AA">
        <w:t>D</w:t>
      </w:r>
      <w:r>
        <w:t xml:space="preserve">). </w:t>
      </w:r>
      <w:r w:rsidR="00AC25AA">
        <w:rPr>
          <w:rFonts w:cs="Times New Roman"/>
          <w:szCs w:val="24"/>
        </w:rPr>
        <w:t xml:space="preserve">Nuclei are counterstained </w:t>
      </w:r>
      <w:r w:rsidR="00AC25AA" w:rsidRPr="00930449">
        <w:rPr>
          <w:rFonts w:cs="Times New Roman"/>
          <w:szCs w:val="24"/>
        </w:rPr>
        <w:t>with DAPI (</w:t>
      </w:r>
      <w:r w:rsidR="00AC25AA">
        <w:rPr>
          <w:rFonts w:cs="Times New Roman"/>
          <w:szCs w:val="24"/>
        </w:rPr>
        <w:t xml:space="preserve">blue, </w:t>
      </w:r>
      <w:r w:rsidR="00AC25AA" w:rsidRPr="00930449">
        <w:rPr>
          <w:rFonts w:cs="Times New Roman"/>
          <w:szCs w:val="24"/>
        </w:rPr>
        <w:t>B</w:t>
      </w:r>
      <w:r w:rsidR="00AC25AA">
        <w:rPr>
          <w:rFonts w:cs="Times New Roman"/>
          <w:szCs w:val="24"/>
        </w:rPr>
        <w:t>,</w:t>
      </w:r>
      <w:r w:rsidR="00714118">
        <w:rPr>
          <w:rFonts w:cs="Times New Roman"/>
          <w:szCs w:val="24"/>
        </w:rPr>
        <w:t xml:space="preserve"> </w:t>
      </w:r>
      <w:r w:rsidR="00AC25AA">
        <w:rPr>
          <w:rFonts w:cs="Times New Roman"/>
          <w:szCs w:val="24"/>
        </w:rPr>
        <w:t>D</w:t>
      </w:r>
      <w:r w:rsidR="00AC25AA" w:rsidRPr="00930449">
        <w:rPr>
          <w:rFonts w:cs="Times New Roman"/>
          <w:szCs w:val="24"/>
        </w:rPr>
        <w:t>)</w:t>
      </w:r>
      <w:r w:rsidR="00AC25AA">
        <w:rPr>
          <w:rFonts w:cs="Times New Roman"/>
          <w:szCs w:val="24"/>
        </w:rPr>
        <w:t xml:space="preserve"> for a better visualization of the sections</w:t>
      </w:r>
      <w:r w:rsidRPr="00930449">
        <w:t>. Scale bars 200 µm.</w:t>
      </w:r>
    </w:p>
    <w:sectPr w:rsidR="00DE23E8" w:rsidRPr="00930449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BC1E" w14:textId="77777777" w:rsidR="00356404" w:rsidRDefault="00356404" w:rsidP="00117666">
      <w:pPr>
        <w:spacing w:after="0"/>
      </w:pPr>
      <w:r>
        <w:separator/>
      </w:r>
    </w:p>
  </w:endnote>
  <w:endnote w:type="continuationSeparator" w:id="0">
    <w:p w14:paraId="5006B117" w14:textId="77777777" w:rsidR="00356404" w:rsidRDefault="0035640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1D93C2F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7305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1D93C2F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7305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DC33" w14:textId="77777777" w:rsidR="00356404" w:rsidRDefault="00356404" w:rsidP="00117666">
      <w:pPr>
        <w:spacing w:after="0"/>
      </w:pPr>
      <w:r>
        <w:separator/>
      </w:r>
    </w:p>
  </w:footnote>
  <w:footnote w:type="continuationSeparator" w:id="0">
    <w:p w14:paraId="174914C2" w14:textId="77777777" w:rsidR="00356404" w:rsidRDefault="0035640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55657650">
    <w:abstractNumId w:val="0"/>
  </w:num>
  <w:num w:numId="2" w16cid:durableId="12343303">
    <w:abstractNumId w:val="4"/>
  </w:num>
  <w:num w:numId="3" w16cid:durableId="881526770">
    <w:abstractNumId w:val="1"/>
  </w:num>
  <w:num w:numId="4" w16cid:durableId="1052196860">
    <w:abstractNumId w:val="5"/>
  </w:num>
  <w:num w:numId="5" w16cid:durableId="1034621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425319">
    <w:abstractNumId w:val="3"/>
  </w:num>
  <w:num w:numId="7" w16cid:durableId="1993949637">
    <w:abstractNumId w:val="6"/>
  </w:num>
  <w:num w:numId="8" w16cid:durableId="625281367">
    <w:abstractNumId w:val="6"/>
  </w:num>
  <w:num w:numId="9" w16cid:durableId="1731464377">
    <w:abstractNumId w:val="6"/>
  </w:num>
  <w:num w:numId="10" w16cid:durableId="677578936">
    <w:abstractNumId w:val="6"/>
  </w:num>
  <w:num w:numId="11" w16cid:durableId="2140301820">
    <w:abstractNumId w:val="6"/>
  </w:num>
  <w:num w:numId="12" w16cid:durableId="1875196664">
    <w:abstractNumId w:val="6"/>
  </w:num>
  <w:num w:numId="13" w16cid:durableId="1097555657">
    <w:abstractNumId w:val="3"/>
  </w:num>
  <w:num w:numId="14" w16cid:durableId="1053312194">
    <w:abstractNumId w:val="2"/>
  </w:num>
  <w:num w:numId="15" w16cid:durableId="1690108615">
    <w:abstractNumId w:val="2"/>
  </w:num>
  <w:num w:numId="16" w16cid:durableId="1703286416">
    <w:abstractNumId w:val="2"/>
  </w:num>
  <w:num w:numId="17" w16cid:durableId="1152062599">
    <w:abstractNumId w:val="2"/>
  </w:num>
  <w:num w:numId="18" w16cid:durableId="2099668514">
    <w:abstractNumId w:val="2"/>
  </w:num>
  <w:num w:numId="19" w16cid:durableId="1517386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E1B51"/>
    <w:rsid w:val="00105FD9"/>
    <w:rsid w:val="00117666"/>
    <w:rsid w:val="001549D3"/>
    <w:rsid w:val="00160065"/>
    <w:rsid w:val="001702FB"/>
    <w:rsid w:val="00177D84"/>
    <w:rsid w:val="00182EEE"/>
    <w:rsid w:val="001A7F30"/>
    <w:rsid w:val="001B75B0"/>
    <w:rsid w:val="001E52D1"/>
    <w:rsid w:val="00267D18"/>
    <w:rsid w:val="002868E2"/>
    <w:rsid w:val="002869C3"/>
    <w:rsid w:val="002936E4"/>
    <w:rsid w:val="002B4A57"/>
    <w:rsid w:val="002C74CA"/>
    <w:rsid w:val="003544FB"/>
    <w:rsid w:val="00356404"/>
    <w:rsid w:val="00357261"/>
    <w:rsid w:val="00384E50"/>
    <w:rsid w:val="003D2F2D"/>
    <w:rsid w:val="00401590"/>
    <w:rsid w:val="00447801"/>
    <w:rsid w:val="00452E9C"/>
    <w:rsid w:val="004735C8"/>
    <w:rsid w:val="004961FF"/>
    <w:rsid w:val="005064B2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118"/>
    <w:rsid w:val="00714C50"/>
    <w:rsid w:val="00725A7D"/>
    <w:rsid w:val="00727896"/>
    <w:rsid w:val="007501BE"/>
    <w:rsid w:val="00773054"/>
    <w:rsid w:val="00790BB3"/>
    <w:rsid w:val="007C206C"/>
    <w:rsid w:val="00803D24"/>
    <w:rsid w:val="00817DD6"/>
    <w:rsid w:val="00885156"/>
    <w:rsid w:val="008B60EC"/>
    <w:rsid w:val="009151AA"/>
    <w:rsid w:val="00930449"/>
    <w:rsid w:val="0093429D"/>
    <w:rsid w:val="00943573"/>
    <w:rsid w:val="00970F7D"/>
    <w:rsid w:val="00987519"/>
    <w:rsid w:val="00994A3D"/>
    <w:rsid w:val="009B2977"/>
    <w:rsid w:val="009C2B12"/>
    <w:rsid w:val="009C70F3"/>
    <w:rsid w:val="009F24FB"/>
    <w:rsid w:val="00A174D9"/>
    <w:rsid w:val="00A569CD"/>
    <w:rsid w:val="00AB6715"/>
    <w:rsid w:val="00AC25AA"/>
    <w:rsid w:val="00B1671E"/>
    <w:rsid w:val="00B25EB8"/>
    <w:rsid w:val="00B354E1"/>
    <w:rsid w:val="00B37F4D"/>
    <w:rsid w:val="00C52A7B"/>
    <w:rsid w:val="00C56BAF"/>
    <w:rsid w:val="00C64F87"/>
    <w:rsid w:val="00C679AA"/>
    <w:rsid w:val="00C75972"/>
    <w:rsid w:val="00C94319"/>
    <w:rsid w:val="00CC0A3A"/>
    <w:rsid w:val="00CD066B"/>
    <w:rsid w:val="00CE4FEE"/>
    <w:rsid w:val="00D21602"/>
    <w:rsid w:val="00D93409"/>
    <w:rsid w:val="00DB2E16"/>
    <w:rsid w:val="00DB59C3"/>
    <w:rsid w:val="00DC259A"/>
    <w:rsid w:val="00DE23E8"/>
    <w:rsid w:val="00DF3378"/>
    <w:rsid w:val="00E26A75"/>
    <w:rsid w:val="00E52377"/>
    <w:rsid w:val="00E64E17"/>
    <w:rsid w:val="00E866C9"/>
    <w:rsid w:val="00EA3D3C"/>
    <w:rsid w:val="00F102AB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AA52B5-9362-4434-92D3-65641F6A5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Sandhya Patel</cp:lastModifiedBy>
  <cp:revision>2</cp:revision>
  <cp:lastPrinted>2013-10-03T12:51:00Z</cp:lastPrinted>
  <dcterms:created xsi:type="dcterms:W3CDTF">2023-02-27T17:22:00Z</dcterms:created>
  <dcterms:modified xsi:type="dcterms:W3CDTF">2023-02-27T17:22:00Z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