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C047" w14:textId="77777777" w:rsidR="005D4534" w:rsidRPr="00A35DC9" w:rsidRDefault="005D4534" w:rsidP="005D4534">
      <w:pPr>
        <w:rPr>
          <w:rFonts w:cstheme="minorHAnsi"/>
          <w:sz w:val="24"/>
          <w:szCs w:val="24"/>
        </w:rPr>
      </w:pPr>
    </w:p>
    <w:p w14:paraId="69FD1680" w14:textId="277AA646" w:rsidR="00DA091A" w:rsidRPr="00086BE7" w:rsidRDefault="00DA091A" w:rsidP="005D453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Supplementary </w:t>
      </w:r>
      <w:r w:rsidR="00086BE7">
        <w:rPr>
          <w:rFonts w:cstheme="minorHAnsi"/>
          <w:b/>
          <w:bCs/>
          <w:sz w:val="24"/>
          <w:szCs w:val="24"/>
        </w:rPr>
        <w:t>Table:</w:t>
      </w:r>
    </w:p>
    <w:tbl>
      <w:tblPr>
        <w:tblW w:w="98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55"/>
        <w:gridCol w:w="2455"/>
        <w:gridCol w:w="2455"/>
        <w:gridCol w:w="2455"/>
      </w:tblGrid>
      <w:tr w:rsidR="00DC0CD0" w:rsidRPr="00A35DC9" w14:paraId="6EA76365" w14:textId="77777777" w:rsidTr="00DC0CD0">
        <w:trPr>
          <w:trHeight w:val="314"/>
        </w:trPr>
        <w:tc>
          <w:tcPr>
            <w:tcW w:w="24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A6EF82" w14:textId="77777777" w:rsidR="00DC0CD0" w:rsidRPr="00A35DC9" w:rsidRDefault="00DC0CD0" w:rsidP="00DC0CD0">
            <w:pPr>
              <w:rPr>
                <w:rFonts w:cstheme="minorHAnsi"/>
                <w:sz w:val="24"/>
                <w:szCs w:val="24"/>
              </w:rPr>
            </w:pPr>
            <w:r w:rsidRPr="00A35DC9">
              <w:rPr>
                <w:rFonts w:cstheme="minorHAnsi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24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</w:tcPr>
          <w:p w14:paraId="22C2C74C" w14:textId="4C4F9FBA" w:rsidR="00DC0CD0" w:rsidRDefault="00DC0CD0" w:rsidP="00DC0C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A35DC9">
              <w:rPr>
                <w:rFonts w:cstheme="minorHAnsi"/>
                <w:b/>
                <w:bCs/>
                <w:sz w:val="24"/>
                <w:szCs w:val="24"/>
              </w:rPr>
              <w:t>Control group</w:t>
            </w:r>
          </w:p>
        </w:tc>
        <w:tc>
          <w:tcPr>
            <w:tcW w:w="24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3F1F01" w14:textId="17D007AA" w:rsidR="00DC0CD0" w:rsidRPr="00A35DC9" w:rsidRDefault="00DC0CD0" w:rsidP="00DC0C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Interventional</w:t>
            </w:r>
            <w:r w:rsidRPr="00A35DC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24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668273" w14:textId="77777777" w:rsidR="00DC0CD0" w:rsidRPr="00A35DC9" w:rsidRDefault="00DC0CD0" w:rsidP="00DC0CD0">
            <w:pPr>
              <w:rPr>
                <w:rFonts w:cstheme="minorHAnsi"/>
                <w:sz w:val="24"/>
                <w:szCs w:val="24"/>
              </w:rPr>
            </w:pPr>
            <w:r w:rsidRPr="00A35DC9">
              <w:rPr>
                <w:rFonts w:cstheme="minorHAnsi"/>
                <w:b/>
                <w:bCs/>
                <w:sz w:val="24"/>
                <w:szCs w:val="24"/>
              </w:rPr>
              <w:t>p-value</w:t>
            </w:r>
          </w:p>
        </w:tc>
      </w:tr>
      <w:tr w:rsidR="00DC0CD0" w:rsidRPr="00A35DC9" w14:paraId="183011BA" w14:textId="77777777" w:rsidTr="00DC0CD0">
        <w:trPr>
          <w:trHeight w:val="314"/>
        </w:trPr>
        <w:tc>
          <w:tcPr>
            <w:tcW w:w="24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9D0FEE" w14:textId="77777777" w:rsidR="00DC0CD0" w:rsidRPr="00A35DC9" w:rsidRDefault="00DC0CD0" w:rsidP="00DC0CD0">
            <w:pPr>
              <w:rPr>
                <w:rFonts w:cstheme="minorHAnsi"/>
                <w:sz w:val="24"/>
                <w:szCs w:val="24"/>
              </w:rPr>
            </w:pPr>
            <w:r w:rsidRPr="00A35DC9">
              <w:rPr>
                <w:rFonts w:cstheme="minorHAnsi"/>
                <w:sz w:val="24"/>
                <w:szCs w:val="24"/>
              </w:rPr>
              <w:t xml:space="preserve">Average relative pain score </w:t>
            </w:r>
          </w:p>
        </w:tc>
        <w:tc>
          <w:tcPr>
            <w:tcW w:w="24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14:paraId="18C8A402" w14:textId="25AF77B1" w:rsidR="00DC0CD0" w:rsidRPr="00A35DC9" w:rsidRDefault="00DC0CD0" w:rsidP="00DC0C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A35DC9">
              <w:rPr>
                <w:rFonts w:cstheme="minorHAnsi"/>
                <w:sz w:val="24"/>
                <w:szCs w:val="24"/>
              </w:rPr>
              <w:t>0.48</w:t>
            </w:r>
          </w:p>
        </w:tc>
        <w:tc>
          <w:tcPr>
            <w:tcW w:w="24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78E936" w14:textId="25646D7A" w:rsidR="00DC0CD0" w:rsidRPr="00A35DC9" w:rsidRDefault="00DC0CD0" w:rsidP="00DC0CD0">
            <w:pPr>
              <w:rPr>
                <w:rFonts w:cstheme="minorHAnsi"/>
                <w:sz w:val="24"/>
                <w:szCs w:val="24"/>
              </w:rPr>
            </w:pPr>
            <w:r w:rsidRPr="00A35DC9">
              <w:rPr>
                <w:rFonts w:cstheme="minorHAnsi"/>
                <w:sz w:val="24"/>
                <w:szCs w:val="24"/>
              </w:rPr>
              <w:t>0.22</w:t>
            </w:r>
          </w:p>
        </w:tc>
        <w:tc>
          <w:tcPr>
            <w:tcW w:w="24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1FCE0A" w14:textId="77777777" w:rsidR="00DC0CD0" w:rsidRPr="00A35DC9" w:rsidRDefault="00DC0CD0" w:rsidP="00DC0CD0">
            <w:pPr>
              <w:rPr>
                <w:rFonts w:cstheme="minorHAnsi"/>
                <w:sz w:val="24"/>
                <w:szCs w:val="24"/>
              </w:rPr>
            </w:pPr>
            <w:r w:rsidRPr="00A35DC9">
              <w:rPr>
                <w:rFonts w:cstheme="minorHAnsi"/>
                <w:sz w:val="24"/>
                <w:szCs w:val="24"/>
              </w:rPr>
              <w:t>0.026</w:t>
            </w:r>
          </w:p>
        </w:tc>
      </w:tr>
      <w:tr w:rsidR="00DC0CD0" w:rsidRPr="00A35DC9" w14:paraId="5B7D022A" w14:textId="77777777" w:rsidTr="00DC0CD0">
        <w:trPr>
          <w:trHeight w:val="314"/>
        </w:trPr>
        <w:tc>
          <w:tcPr>
            <w:tcW w:w="2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24D9FA" w14:textId="77777777" w:rsidR="00DC0CD0" w:rsidRPr="00A35DC9" w:rsidRDefault="00DC0CD0" w:rsidP="00DC0CD0">
            <w:pPr>
              <w:rPr>
                <w:rFonts w:cstheme="minorHAnsi"/>
                <w:sz w:val="24"/>
                <w:szCs w:val="24"/>
              </w:rPr>
            </w:pPr>
            <w:r w:rsidRPr="00A35DC9">
              <w:rPr>
                <w:rFonts w:cstheme="minorHAnsi"/>
                <w:sz w:val="24"/>
                <w:szCs w:val="24"/>
              </w:rPr>
              <w:t>Adverse effects</w:t>
            </w:r>
          </w:p>
        </w:tc>
        <w:tc>
          <w:tcPr>
            <w:tcW w:w="2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14:paraId="5335F4D9" w14:textId="578F81F6" w:rsidR="00DC0CD0" w:rsidRPr="00A35DC9" w:rsidRDefault="00DC0CD0" w:rsidP="00DC0C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A35DC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CAF149" w14:textId="6448AD87" w:rsidR="00DC0CD0" w:rsidRPr="00A35DC9" w:rsidRDefault="00DC0CD0" w:rsidP="00DC0CD0">
            <w:pPr>
              <w:rPr>
                <w:rFonts w:cstheme="minorHAnsi"/>
                <w:sz w:val="24"/>
                <w:szCs w:val="24"/>
              </w:rPr>
            </w:pPr>
            <w:r w:rsidRPr="00A35DC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F6C1FD" w14:textId="77777777" w:rsidR="00DC0CD0" w:rsidRPr="00A35DC9" w:rsidRDefault="00DC0CD0" w:rsidP="00DC0CD0">
            <w:pPr>
              <w:rPr>
                <w:rFonts w:cstheme="minorHAnsi"/>
                <w:sz w:val="24"/>
                <w:szCs w:val="24"/>
              </w:rPr>
            </w:pPr>
            <w:r w:rsidRPr="00A35DC9"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DC0CD0" w:rsidRPr="00A35DC9" w14:paraId="704E6E65" w14:textId="77777777" w:rsidTr="00DC0CD0">
        <w:trPr>
          <w:trHeight w:val="314"/>
        </w:trPr>
        <w:tc>
          <w:tcPr>
            <w:tcW w:w="2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C8FDD1" w14:textId="77777777" w:rsidR="00DC0CD0" w:rsidRPr="00A35DC9" w:rsidRDefault="00DC0CD0" w:rsidP="00DC0CD0">
            <w:pPr>
              <w:rPr>
                <w:rFonts w:cstheme="minorHAnsi"/>
                <w:sz w:val="24"/>
                <w:szCs w:val="24"/>
              </w:rPr>
            </w:pPr>
            <w:r w:rsidRPr="00A35DC9">
              <w:rPr>
                <w:rFonts w:cstheme="minorHAnsi"/>
                <w:sz w:val="24"/>
                <w:szCs w:val="24"/>
              </w:rPr>
              <w:t>Number of subjects that used opiates</w:t>
            </w:r>
          </w:p>
        </w:tc>
        <w:tc>
          <w:tcPr>
            <w:tcW w:w="2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14:paraId="70FEA526" w14:textId="6D034B04" w:rsidR="00DC0CD0" w:rsidRPr="00A35DC9" w:rsidRDefault="00DC0CD0" w:rsidP="00DC0C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6559D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BE1EBA" w14:textId="57FF1CBF" w:rsidR="00DC0CD0" w:rsidRPr="00A35DC9" w:rsidRDefault="00DC0CD0" w:rsidP="00DC0CD0">
            <w:pPr>
              <w:rPr>
                <w:rFonts w:cstheme="minorHAnsi"/>
                <w:sz w:val="24"/>
                <w:szCs w:val="24"/>
              </w:rPr>
            </w:pPr>
            <w:r w:rsidRPr="00A35DC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38923A" w14:textId="77777777" w:rsidR="00DC0CD0" w:rsidRPr="00A35DC9" w:rsidRDefault="00DC0CD0" w:rsidP="00DC0CD0">
            <w:pPr>
              <w:rPr>
                <w:rFonts w:cstheme="minorHAnsi"/>
                <w:sz w:val="24"/>
                <w:szCs w:val="24"/>
              </w:rPr>
            </w:pPr>
            <w:r w:rsidRPr="00A35DC9">
              <w:rPr>
                <w:rFonts w:cstheme="minorHAnsi"/>
                <w:sz w:val="24"/>
                <w:szCs w:val="24"/>
              </w:rPr>
              <w:t>N/A</w:t>
            </w:r>
          </w:p>
        </w:tc>
      </w:tr>
    </w:tbl>
    <w:p w14:paraId="4EA382EF" w14:textId="77777777" w:rsidR="005D4534" w:rsidRDefault="005D4534" w:rsidP="005D4534">
      <w:pPr>
        <w:rPr>
          <w:rFonts w:cstheme="minorHAnsi"/>
          <w:sz w:val="24"/>
          <w:szCs w:val="24"/>
        </w:rPr>
      </w:pPr>
    </w:p>
    <w:p w14:paraId="0BEE02CB" w14:textId="7CCBDB56" w:rsidR="005D4534" w:rsidRPr="00A35DC9" w:rsidRDefault="005D4534" w:rsidP="005D4534">
      <w:pPr>
        <w:rPr>
          <w:rFonts w:cstheme="minorHAnsi"/>
          <w:sz w:val="24"/>
          <w:szCs w:val="24"/>
        </w:rPr>
      </w:pPr>
      <w:r w:rsidRPr="00A35DC9">
        <w:rPr>
          <w:rFonts w:cstheme="minorHAnsi"/>
          <w:sz w:val="24"/>
          <w:szCs w:val="24"/>
        </w:rPr>
        <w:t xml:space="preserve">Outcome data recorded </w:t>
      </w:r>
      <w:r w:rsidR="00DC0CD0">
        <w:rPr>
          <w:rFonts w:cstheme="minorHAnsi"/>
          <w:sz w:val="24"/>
          <w:szCs w:val="24"/>
        </w:rPr>
        <w:t>for</w:t>
      </w:r>
      <w:r w:rsidRPr="00A35DC9">
        <w:rPr>
          <w:rFonts w:cstheme="minorHAnsi"/>
          <w:sz w:val="24"/>
          <w:szCs w:val="24"/>
        </w:rPr>
        <w:t xml:space="preserve"> the </w:t>
      </w:r>
      <w:r w:rsidR="00DC0CD0">
        <w:rPr>
          <w:rFonts w:cstheme="minorHAnsi"/>
          <w:sz w:val="24"/>
          <w:szCs w:val="24"/>
        </w:rPr>
        <w:t xml:space="preserve">control group and the </w:t>
      </w:r>
      <w:r w:rsidRPr="00A35DC9">
        <w:rPr>
          <w:rFonts w:cstheme="minorHAnsi"/>
          <w:sz w:val="24"/>
          <w:szCs w:val="24"/>
        </w:rPr>
        <w:t xml:space="preserve">interventional </w:t>
      </w:r>
      <w:r w:rsidR="00DC0CD0">
        <w:rPr>
          <w:rFonts w:cstheme="minorHAnsi"/>
          <w:sz w:val="24"/>
          <w:szCs w:val="24"/>
        </w:rPr>
        <w:t xml:space="preserve">peripheral nerve block </w:t>
      </w:r>
      <w:r w:rsidRPr="00A35DC9">
        <w:rPr>
          <w:rFonts w:cstheme="minorHAnsi"/>
          <w:sz w:val="24"/>
          <w:szCs w:val="24"/>
        </w:rPr>
        <w:t>group</w:t>
      </w:r>
      <w:r w:rsidR="00DC0CD0">
        <w:rPr>
          <w:rFonts w:cstheme="minorHAnsi"/>
          <w:sz w:val="24"/>
          <w:szCs w:val="24"/>
        </w:rPr>
        <w:t>s</w:t>
      </w:r>
      <w:r w:rsidRPr="00A35DC9">
        <w:rPr>
          <w:rFonts w:cstheme="minorHAnsi"/>
          <w:sz w:val="24"/>
          <w:szCs w:val="24"/>
        </w:rPr>
        <w:t>.</w:t>
      </w:r>
      <w:r w:rsidR="00DC0CD0">
        <w:rPr>
          <w:rFonts w:cstheme="minorHAnsi"/>
          <w:sz w:val="24"/>
          <w:szCs w:val="24"/>
        </w:rPr>
        <w:t xml:space="preserve"> The average relative pain score was lower in the interventional group. There were no adverse effects reported. There was 1 subject in each group that used opiates.</w:t>
      </w:r>
      <w:r w:rsidRPr="00A35DC9">
        <w:rPr>
          <w:rFonts w:cstheme="minorHAnsi"/>
          <w:sz w:val="24"/>
          <w:szCs w:val="24"/>
        </w:rPr>
        <w:t xml:space="preserve"> </w:t>
      </w:r>
    </w:p>
    <w:p w14:paraId="12A15DB2" w14:textId="77777777" w:rsidR="00BD41EF" w:rsidRDefault="00BD41EF"/>
    <w:sectPr w:rsidR="00BD4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34"/>
    <w:rsid w:val="0007254C"/>
    <w:rsid w:val="00086BE7"/>
    <w:rsid w:val="00127DFF"/>
    <w:rsid w:val="003978DE"/>
    <w:rsid w:val="00433CE7"/>
    <w:rsid w:val="005B4B02"/>
    <w:rsid w:val="005D4534"/>
    <w:rsid w:val="006559D7"/>
    <w:rsid w:val="008E746C"/>
    <w:rsid w:val="009E3674"/>
    <w:rsid w:val="00AC3BCD"/>
    <w:rsid w:val="00AF5F37"/>
    <w:rsid w:val="00BD41EF"/>
    <w:rsid w:val="00C6597C"/>
    <w:rsid w:val="00DA091A"/>
    <w:rsid w:val="00DC0CD0"/>
    <w:rsid w:val="00E16DA2"/>
    <w:rsid w:val="00F2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633A8"/>
  <w15:chartTrackingRefBased/>
  <w15:docId w15:val="{B20129CA-77FD-124D-8A97-FE5183AD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53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Swarna Rajagopalan</dc:creator>
  <cp:keywords/>
  <dc:description/>
  <cp:lastModifiedBy>Swarna Rajagopalan</cp:lastModifiedBy>
  <cp:revision>5</cp:revision>
  <dcterms:created xsi:type="dcterms:W3CDTF">2022-11-19T00:32:00Z</dcterms:created>
  <dcterms:modified xsi:type="dcterms:W3CDTF">2023-04-04T19:54:00Z</dcterms:modified>
</cp:coreProperties>
</file>