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6FAA" w14:textId="1A1D678B" w:rsidR="00442D3E" w:rsidRPr="00442D3E" w:rsidRDefault="00442D3E" w:rsidP="007C254B">
      <w:pPr>
        <w:rPr>
          <w:b/>
          <w:bCs/>
        </w:rPr>
      </w:pPr>
      <w:r>
        <w:rPr>
          <w:b/>
          <w:bCs/>
        </w:rPr>
        <w:t>Supplementary File 3 – review details</w:t>
      </w:r>
    </w:p>
    <w:p w14:paraId="23E5902D" w14:textId="1494902C" w:rsidR="007C254B" w:rsidRDefault="00442D3E" w:rsidP="007C254B">
      <w:r>
        <w:t xml:space="preserve">Supplementary </w:t>
      </w:r>
      <w:r w:rsidR="007C254B">
        <w:t xml:space="preserve">Table </w:t>
      </w:r>
      <w:r>
        <w:t>3.</w:t>
      </w:r>
      <w:r w:rsidR="007C254B">
        <w:t>1. Summary of 27 included systematic reviews</w:t>
      </w:r>
      <w:r w:rsidR="00CA3D1D">
        <w:t xml:space="preserve"> </w:t>
      </w:r>
    </w:p>
    <w:tbl>
      <w:tblPr>
        <w:tblW w:w="16161" w:type="dxa"/>
        <w:tblInd w:w="-993" w:type="dxa"/>
        <w:tblLayout w:type="fixed"/>
        <w:tblLook w:val="04A0" w:firstRow="1" w:lastRow="0" w:firstColumn="1" w:lastColumn="0" w:noHBand="0" w:noVBand="1"/>
      </w:tblPr>
      <w:tblGrid>
        <w:gridCol w:w="1123"/>
        <w:gridCol w:w="1133"/>
        <w:gridCol w:w="1431"/>
        <w:gridCol w:w="992"/>
        <w:gridCol w:w="992"/>
        <w:gridCol w:w="1843"/>
        <w:gridCol w:w="1417"/>
        <w:gridCol w:w="1418"/>
        <w:gridCol w:w="1134"/>
        <w:gridCol w:w="1559"/>
        <w:gridCol w:w="3119"/>
      </w:tblGrid>
      <w:tr w:rsidR="00F11368" w:rsidRPr="004A5CB3" w14:paraId="2C9EEDF3" w14:textId="77777777" w:rsidTr="00F11368">
        <w:trPr>
          <w:trHeight w:val="1200"/>
          <w:tblHeader/>
        </w:trPr>
        <w:tc>
          <w:tcPr>
            <w:tcW w:w="1123" w:type="dxa"/>
            <w:tcBorders>
              <w:top w:val="single" w:sz="4" w:space="0" w:color="auto"/>
              <w:left w:val="nil"/>
              <w:bottom w:val="single" w:sz="4" w:space="0" w:color="auto"/>
              <w:right w:val="nil"/>
            </w:tcBorders>
            <w:shd w:val="clear" w:color="auto" w:fill="auto"/>
            <w:hideMark/>
          </w:tcPr>
          <w:p w14:paraId="38D8D5E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Author</w:t>
            </w:r>
          </w:p>
        </w:tc>
        <w:tc>
          <w:tcPr>
            <w:tcW w:w="1133" w:type="dxa"/>
            <w:tcBorders>
              <w:top w:val="single" w:sz="4" w:space="0" w:color="auto"/>
              <w:left w:val="nil"/>
              <w:bottom w:val="single" w:sz="4" w:space="0" w:color="auto"/>
              <w:right w:val="nil"/>
            </w:tcBorders>
            <w:shd w:val="clear" w:color="auto" w:fill="auto"/>
            <w:hideMark/>
          </w:tcPr>
          <w:p w14:paraId="7192EAA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Health conditions</w:t>
            </w:r>
          </w:p>
        </w:tc>
        <w:tc>
          <w:tcPr>
            <w:tcW w:w="1431" w:type="dxa"/>
            <w:tcBorders>
              <w:top w:val="single" w:sz="4" w:space="0" w:color="auto"/>
              <w:left w:val="nil"/>
              <w:bottom w:val="single" w:sz="4" w:space="0" w:color="auto"/>
              <w:right w:val="nil"/>
            </w:tcBorders>
            <w:shd w:val="clear" w:color="auto" w:fill="auto"/>
            <w:hideMark/>
          </w:tcPr>
          <w:p w14:paraId="2C415D3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Outcomes</w:t>
            </w:r>
          </w:p>
        </w:tc>
        <w:tc>
          <w:tcPr>
            <w:tcW w:w="992" w:type="dxa"/>
            <w:tcBorders>
              <w:top w:val="single" w:sz="4" w:space="0" w:color="auto"/>
              <w:left w:val="nil"/>
              <w:bottom w:val="single" w:sz="4" w:space="0" w:color="auto"/>
              <w:right w:val="nil"/>
            </w:tcBorders>
            <w:shd w:val="clear" w:color="auto" w:fill="auto"/>
            <w:hideMark/>
          </w:tcPr>
          <w:p w14:paraId="62A2D323"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Language</w:t>
            </w:r>
          </w:p>
        </w:tc>
        <w:tc>
          <w:tcPr>
            <w:tcW w:w="992" w:type="dxa"/>
            <w:tcBorders>
              <w:top w:val="single" w:sz="4" w:space="0" w:color="auto"/>
              <w:left w:val="nil"/>
              <w:bottom w:val="single" w:sz="4" w:space="0" w:color="auto"/>
              <w:right w:val="nil"/>
            </w:tcBorders>
            <w:shd w:val="clear" w:color="auto" w:fill="auto"/>
            <w:hideMark/>
          </w:tcPr>
          <w:p w14:paraId="1B8AC7B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Year</w:t>
            </w:r>
            <w:r>
              <w:rPr>
                <w:rFonts w:ascii="Calibri" w:eastAsia="Times New Roman" w:hAnsi="Calibri" w:cs="Calibri"/>
                <w:color w:val="000000"/>
                <w:sz w:val="18"/>
                <w:szCs w:val="18"/>
                <w:lang w:eastAsia="en-GB"/>
              </w:rPr>
              <w:t>s</w:t>
            </w:r>
          </w:p>
        </w:tc>
        <w:tc>
          <w:tcPr>
            <w:tcW w:w="1843" w:type="dxa"/>
            <w:tcBorders>
              <w:top w:val="single" w:sz="4" w:space="0" w:color="auto"/>
              <w:left w:val="nil"/>
              <w:bottom w:val="single" w:sz="4" w:space="0" w:color="auto"/>
              <w:right w:val="nil"/>
            </w:tcBorders>
            <w:shd w:val="clear" w:color="auto" w:fill="auto"/>
            <w:hideMark/>
          </w:tcPr>
          <w:p w14:paraId="361CCE2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Study inclusion</w:t>
            </w:r>
          </w:p>
        </w:tc>
        <w:tc>
          <w:tcPr>
            <w:tcW w:w="1417" w:type="dxa"/>
            <w:tcBorders>
              <w:top w:val="single" w:sz="4" w:space="0" w:color="auto"/>
              <w:left w:val="nil"/>
              <w:bottom w:val="single" w:sz="4" w:space="0" w:color="auto"/>
              <w:right w:val="nil"/>
            </w:tcBorders>
            <w:shd w:val="clear" w:color="auto" w:fill="auto"/>
            <w:hideMark/>
          </w:tcPr>
          <w:p w14:paraId="0A1DDF74" w14:textId="570D4703"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Number of studies on </w:t>
            </w:r>
            <w:r>
              <w:rPr>
                <w:rFonts w:ascii="Calibri" w:eastAsia="Times New Roman" w:hAnsi="Calibri" w:cs="Calibri"/>
                <w:color w:val="000000"/>
                <w:sz w:val="18"/>
                <w:szCs w:val="18"/>
                <w:lang w:eastAsia="en-GB"/>
              </w:rPr>
              <w:t>academic attainment</w:t>
            </w:r>
            <w:r w:rsidRPr="004A5CB3">
              <w:rPr>
                <w:rFonts w:ascii="Calibri" w:eastAsia="Times New Roman" w:hAnsi="Calibri" w:cs="Calibri"/>
                <w:color w:val="000000"/>
                <w:sz w:val="18"/>
                <w:szCs w:val="18"/>
                <w:lang w:eastAsia="en-GB"/>
              </w:rPr>
              <w:t xml:space="preserve"> / total number of studies included</w:t>
            </w:r>
          </w:p>
        </w:tc>
        <w:tc>
          <w:tcPr>
            <w:tcW w:w="1418" w:type="dxa"/>
            <w:tcBorders>
              <w:top w:val="single" w:sz="4" w:space="0" w:color="auto"/>
              <w:left w:val="nil"/>
              <w:bottom w:val="single" w:sz="4" w:space="0" w:color="auto"/>
              <w:right w:val="nil"/>
            </w:tcBorders>
          </w:tcPr>
          <w:p w14:paraId="4E7B04E1" w14:textId="1C69E170" w:rsidR="007E1124" w:rsidRPr="004A5CB3" w:rsidRDefault="007E1124"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Countries of studies on academic attainment</w:t>
            </w:r>
          </w:p>
        </w:tc>
        <w:tc>
          <w:tcPr>
            <w:tcW w:w="1134" w:type="dxa"/>
            <w:tcBorders>
              <w:top w:val="single" w:sz="4" w:space="0" w:color="auto"/>
              <w:left w:val="nil"/>
              <w:bottom w:val="single" w:sz="4" w:space="0" w:color="auto"/>
              <w:right w:val="nil"/>
            </w:tcBorders>
            <w:shd w:val="clear" w:color="auto" w:fill="auto"/>
            <w:hideMark/>
          </w:tcPr>
          <w:p w14:paraId="37120F7A" w14:textId="10913578"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Min to max sample size (median)</w:t>
            </w:r>
            <w:r>
              <w:rPr>
                <w:rFonts w:ascii="Calibri" w:eastAsia="Times New Roman" w:hAnsi="Calibri" w:cs="Calibri"/>
                <w:color w:val="000000"/>
                <w:sz w:val="18"/>
                <w:szCs w:val="18"/>
                <w:lang w:eastAsia="en-GB"/>
              </w:rPr>
              <w:t xml:space="preserve"> of studies on academic attainment</w:t>
            </w:r>
          </w:p>
        </w:tc>
        <w:tc>
          <w:tcPr>
            <w:tcW w:w="1559" w:type="dxa"/>
            <w:tcBorders>
              <w:top w:val="single" w:sz="4" w:space="0" w:color="auto"/>
              <w:left w:val="nil"/>
              <w:bottom w:val="single" w:sz="4" w:space="0" w:color="auto"/>
              <w:right w:val="nil"/>
            </w:tcBorders>
            <w:shd w:val="clear" w:color="auto" w:fill="auto"/>
            <w:hideMark/>
          </w:tcPr>
          <w:p w14:paraId="4AE886D9" w14:textId="56AD2369"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Comparison groups</w:t>
            </w:r>
            <w:r>
              <w:rPr>
                <w:rFonts w:ascii="Calibri" w:eastAsia="Times New Roman" w:hAnsi="Calibri" w:cs="Calibri"/>
                <w:color w:val="000000"/>
                <w:sz w:val="18"/>
                <w:szCs w:val="18"/>
                <w:lang w:eastAsia="en-GB"/>
              </w:rPr>
              <w:t xml:space="preserve"> of studies on education academic attainment</w:t>
            </w:r>
          </w:p>
        </w:tc>
        <w:tc>
          <w:tcPr>
            <w:tcW w:w="3119" w:type="dxa"/>
            <w:tcBorders>
              <w:top w:val="single" w:sz="4" w:space="0" w:color="auto"/>
              <w:left w:val="nil"/>
              <w:bottom w:val="single" w:sz="4" w:space="0" w:color="auto"/>
              <w:right w:val="nil"/>
            </w:tcBorders>
            <w:shd w:val="clear" w:color="auto" w:fill="auto"/>
            <w:hideMark/>
          </w:tcPr>
          <w:p w14:paraId="558A1044" w14:textId="7EF67400"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Results on </w:t>
            </w:r>
            <w:r>
              <w:rPr>
                <w:rFonts w:ascii="Calibri" w:eastAsia="Times New Roman" w:hAnsi="Calibri" w:cs="Calibri"/>
                <w:color w:val="000000"/>
                <w:sz w:val="18"/>
                <w:szCs w:val="18"/>
                <w:lang w:eastAsia="en-GB"/>
              </w:rPr>
              <w:t>academic attainment</w:t>
            </w:r>
          </w:p>
        </w:tc>
      </w:tr>
      <w:tr w:rsidR="00DC5B17" w:rsidRPr="004A5CB3" w14:paraId="64DFD38A" w14:textId="77777777" w:rsidTr="00A54CEA">
        <w:trPr>
          <w:trHeight w:val="120"/>
        </w:trPr>
        <w:tc>
          <w:tcPr>
            <w:tcW w:w="16161" w:type="dxa"/>
            <w:gridSpan w:val="11"/>
            <w:tcBorders>
              <w:top w:val="single" w:sz="4" w:space="0" w:color="auto"/>
              <w:left w:val="nil"/>
              <w:bottom w:val="nil"/>
              <w:right w:val="nil"/>
            </w:tcBorders>
            <w:shd w:val="clear" w:color="auto" w:fill="D9D9D9" w:themeFill="background1" w:themeFillShade="D9"/>
            <w:hideMark/>
          </w:tcPr>
          <w:p w14:paraId="36CCAB99" w14:textId="02463834" w:rsidR="00DC5B17" w:rsidRPr="004A5CB3" w:rsidRDefault="00DC5B17" w:rsidP="002B609B">
            <w:pPr>
              <w:spacing w:line="240" w:lineRule="auto"/>
              <w:rPr>
                <w:rFonts w:ascii="Times New Roman" w:eastAsia="Times New Roman" w:hAnsi="Times New Roman" w:cs="Times New Roman"/>
                <w:sz w:val="20"/>
                <w:szCs w:val="20"/>
                <w:lang w:eastAsia="en-GB"/>
              </w:rPr>
            </w:pPr>
            <w:r w:rsidRPr="004A5CB3">
              <w:rPr>
                <w:rFonts w:ascii="Calibri" w:eastAsia="Times New Roman" w:hAnsi="Calibri" w:cs="Calibri"/>
                <w:b/>
                <w:bCs/>
                <w:color w:val="000000"/>
                <w:sz w:val="18"/>
                <w:szCs w:val="18"/>
                <w:lang w:eastAsia="en-GB"/>
              </w:rPr>
              <w:t>Generic or multiple</w:t>
            </w:r>
          </w:p>
        </w:tc>
      </w:tr>
      <w:tr w:rsidR="00F11368" w:rsidRPr="004A5CB3" w14:paraId="20E43ECF" w14:textId="77777777" w:rsidTr="00F11368">
        <w:trPr>
          <w:trHeight w:val="3120"/>
        </w:trPr>
        <w:tc>
          <w:tcPr>
            <w:tcW w:w="1123" w:type="dxa"/>
            <w:tcBorders>
              <w:top w:val="nil"/>
              <w:left w:val="nil"/>
              <w:bottom w:val="nil"/>
              <w:right w:val="nil"/>
            </w:tcBorders>
            <w:shd w:val="clear" w:color="auto" w:fill="auto"/>
            <w:hideMark/>
          </w:tcPr>
          <w:p w14:paraId="79C32F7E" w14:textId="1DD774ED"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McKinley Yoder &amp; Cantrell 2019</w:t>
            </w:r>
          </w:p>
        </w:tc>
        <w:tc>
          <w:tcPr>
            <w:tcW w:w="1133" w:type="dxa"/>
            <w:tcBorders>
              <w:top w:val="nil"/>
              <w:left w:val="nil"/>
              <w:bottom w:val="nil"/>
              <w:right w:val="nil"/>
            </w:tcBorders>
            <w:shd w:val="clear" w:color="auto" w:fill="auto"/>
            <w:hideMark/>
          </w:tcPr>
          <w:p w14:paraId="5001F739" w14:textId="125ECA8D" w:rsidR="007E1124" w:rsidRPr="004A5CB3" w:rsidRDefault="007E1124"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Generic / multiple: </w:t>
            </w:r>
            <w:r w:rsidRPr="004A5CB3">
              <w:rPr>
                <w:rFonts w:ascii="Calibri" w:eastAsia="Times New Roman" w:hAnsi="Calibri" w:cs="Calibri"/>
                <w:color w:val="000000"/>
                <w:sz w:val="18"/>
                <w:szCs w:val="18"/>
                <w:lang w:eastAsia="en-GB"/>
              </w:rPr>
              <w:t>Chronic condition or disability</w:t>
            </w:r>
          </w:p>
        </w:tc>
        <w:tc>
          <w:tcPr>
            <w:tcW w:w="1431" w:type="dxa"/>
            <w:tcBorders>
              <w:top w:val="nil"/>
              <w:left w:val="nil"/>
              <w:bottom w:val="nil"/>
              <w:right w:val="nil"/>
            </w:tcBorders>
            <w:shd w:val="clear" w:color="auto" w:fill="auto"/>
            <w:hideMark/>
          </w:tcPr>
          <w:p w14:paraId="767628AF" w14:textId="610A76BD"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Grade </w:t>
            </w:r>
            <w:r>
              <w:rPr>
                <w:rFonts w:ascii="Calibri" w:eastAsia="Times New Roman" w:hAnsi="Calibri" w:cs="Calibri"/>
                <w:color w:val="000000"/>
                <w:sz w:val="18"/>
                <w:szCs w:val="18"/>
                <w:lang w:eastAsia="en-GB"/>
              </w:rPr>
              <w:t>retention</w:t>
            </w:r>
            <w:r w:rsidRPr="004A5CB3">
              <w:rPr>
                <w:rFonts w:ascii="Calibri" w:eastAsia="Times New Roman" w:hAnsi="Calibri" w:cs="Calibri"/>
                <w:color w:val="000000"/>
                <w:sz w:val="18"/>
                <w:szCs w:val="18"/>
                <w:lang w:eastAsia="en-GB"/>
              </w:rPr>
              <w:t>, high school graduation and school absence</w:t>
            </w:r>
          </w:p>
        </w:tc>
        <w:tc>
          <w:tcPr>
            <w:tcW w:w="992" w:type="dxa"/>
            <w:tcBorders>
              <w:top w:val="nil"/>
              <w:left w:val="nil"/>
              <w:bottom w:val="nil"/>
              <w:right w:val="nil"/>
            </w:tcBorders>
            <w:shd w:val="clear" w:color="auto" w:fill="auto"/>
            <w:hideMark/>
          </w:tcPr>
          <w:p w14:paraId="2E03BFC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60E0247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1990 to 2018</w:t>
            </w:r>
          </w:p>
        </w:tc>
        <w:tc>
          <w:tcPr>
            <w:tcW w:w="1843" w:type="dxa"/>
            <w:tcBorders>
              <w:top w:val="nil"/>
              <w:left w:val="nil"/>
              <w:bottom w:val="nil"/>
              <w:right w:val="nil"/>
            </w:tcBorders>
            <w:shd w:val="clear" w:color="auto" w:fill="auto"/>
            <w:hideMark/>
          </w:tcPr>
          <w:p w14:paraId="11E37213"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Quantitative or mixed-methods designs of school-aged children (5-21 years) in a peer-reviewed journal with a research population in the USA.</w:t>
            </w:r>
          </w:p>
        </w:tc>
        <w:tc>
          <w:tcPr>
            <w:tcW w:w="1417" w:type="dxa"/>
            <w:tcBorders>
              <w:top w:val="nil"/>
              <w:left w:val="nil"/>
              <w:bottom w:val="nil"/>
              <w:right w:val="nil"/>
            </w:tcBorders>
            <w:shd w:val="clear" w:color="auto" w:fill="auto"/>
            <w:hideMark/>
          </w:tcPr>
          <w:p w14:paraId="5D9C0703"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26/42 examining high school graduation and/or grade repetition</w:t>
            </w:r>
          </w:p>
        </w:tc>
        <w:tc>
          <w:tcPr>
            <w:tcW w:w="1418" w:type="dxa"/>
            <w:tcBorders>
              <w:top w:val="nil"/>
              <w:left w:val="nil"/>
              <w:bottom w:val="nil"/>
              <w:right w:val="nil"/>
            </w:tcBorders>
          </w:tcPr>
          <w:p w14:paraId="4831E758" w14:textId="53E173FF" w:rsidR="007E1124" w:rsidRPr="004A5CB3" w:rsidRDefault="00CA3D1D"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(26)</w:t>
            </w:r>
          </w:p>
        </w:tc>
        <w:tc>
          <w:tcPr>
            <w:tcW w:w="1134" w:type="dxa"/>
            <w:tcBorders>
              <w:top w:val="nil"/>
              <w:left w:val="nil"/>
              <w:bottom w:val="nil"/>
              <w:right w:val="nil"/>
            </w:tcBorders>
            <w:shd w:val="clear" w:color="auto" w:fill="auto"/>
            <w:hideMark/>
          </w:tcPr>
          <w:p w14:paraId="45C5DC33" w14:textId="28BBD046"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36 to 59,440 (2,247)</w:t>
            </w:r>
          </w:p>
        </w:tc>
        <w:tc>
          <w:tcPr>
            <w:tcW w:w="1559" w:type="dxa"/>
            <w:tcBorders>
              <w:top w:val="nil"/>
              <w:left w:val="nil"/>
              <w:bottom w:val="nil"/>
              <w:right w:val="nil"/>
            </w:tcBorders>
            <w:shd w:val="clear" w:color="auto" w:fill="auto"/>
            <w:hideMark/>
          </w:tcPr>
          <w:p w14:paraId="529D6FC3" w14:textId="584D5312"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Comparisons were with children without chronic health conditions/</w:t>
            </w:r>
            <w:r w:rsidR="00F751B8">
              <w:rPr>
                <w:rFonts w:ascii="Calibri" w:eastAsia="Times New Roman" w:hAnsi="Calibri" w:cs="Calibri"/>
                <w:color w:val="000000"/>
                <w:sz w:val="18"/>
                <w:szCs w:val="18"/>
                <w:lang w:eastAsia="en-GB"/>
              </w:rPr>
              <w:t xml:space="preserve"> </w:t>
            </w:r>
            <w:r w:rsidRPr="004A5CB3">
              <w:rPr>
                <w:rFonts w:ascii="Calibri" w:eastAsia="Times New Roman" w:hAnsi="Calibri" w:cs="Calibri"/>
                <w:color w:val="000000"/>
                <w:sz w:val="18"/>
                <w:szCs w:val="18"/>
                <w:lang w:eastAsia="en-GB"/>
              </w:rPr>
              <w:t>disability</w:t>
            </w:r>
          </w:p>
        </w:tc>
        <w:tc>
          <w:tcPr>
            <w:tcW w:w="3119" w:type="dxa"/>
            <w:tcBorders>
              <w:top w:val="nil"/>
              <w:left w:val="nil"/>
              <w:bottom w:val="nil"/>
              <w:right w:val="nil"/>
            </w:tcBorders>
            <w:shd w:val="clear" w:color="auto" w:fill="auto"/>
            <w:hideMark/>
          </w:tcPr>
          <w:p w14:paraId="7CD5608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Studies using national data examined high school completion and found that, for a range of conditions, having a chronic health condition was associated with lower chance of completing high school. This may include significant effects of early health conditions on later outcomes: in one study (Wisk &amp; Weitzman, 2017), having a condition diagnosed before age 14 was associated with not completing high school after age 14. Studies generally adjusted for socioeconomic position and race/ethnicity. In small studies, grade repetition was associated with epilepsy, liver disease and kidney disease.</w:t>
            </w:r>
          </w:p>
        </w:tc>
      </w:tr>
      <w:tr w:rsidR="00F11368" w:rsidRPr="004A5CB3" w14:paraId="3105190B" w14:textId="77777777" w:rsidTr="00F11368">
        <w:trPr>
          <w:trHeight w:val="3840"/>
        </w:trPr>
        <w:tc>
          <w:tcPr>
            <w:tcW w:w="1123" w:type="dxa"/>
            <w:tcBorders>
              <w:top w:val="nil"/>
              <w:left w:val="nil"/>
              <w:bottom w:val="nil"/>
              <w:right w:val="nil"/>
            </w:tcBorders>
            <w:shd w:val="clear" w:color="auto" w:fill="auto"/>
            <w:hideMark/>
          </w:tcPr>
          <w:p w14:paraId="6F4A4E1C"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Hale et al 2015</w:t>
            </w:r>
          </w:p>
        </w:tc>
        <w:tc>
          <w:tcPr>
            <w:tcW w:w="1133" w:type="dxa"/>
            <w:tcBorders>
              <w:top w:val="nil"/>
              <w:left w:val="nil"/>
              <w:bottom w:val="nil"/>
              <w:right w:val="nil"/>
            </w:tcBorders>
            <w:shd w:val="clear" w:color="auto" w:fill="auto"/>
            <w:hideMark/>
          </w:tcPr>
          <w:p w14:paraId="10A369E2" w14:textId="19D9FE4E" w:rsidR="007E1124" w:rsidRPr="004A5CB3" w:rsidRDefault="007E1124"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Generic / multiple: </w:t>
            </w:r>
            <w:r w:rsidRPr="004A5CB3">
              <w:rPr>
                <w:rFonts w:ascii="Calibri" w:eastAsia="Times New Roman" w:hAnsi="Calibri" w:cs="Calibri"/>
                <w:color w:val="000000"/>
                <w:sz w:val="18"/>
                <w:szCs w:val="18"/>
                <w:lang w:eastAsia="en-GB"/>
              </w:rPr>
              <w:t>Chronic conditions</w:t>
            </w:r>
          </w:p>
        </w:tc>
        <w:tc>
          <w:tcPr>
            <w:tcW w:w="1431" w:type="dxa"/>
            <w:tcBorders>
              <w:top w:val="nil"/>
              <w:left w:val="nil"/>
              <w:bottom w:val="nil"/>
              <w:right w:val="nil"/>
            </w:tcBorders>
            <w:shd w:val="clear" w:color="auto" w:fill="auto"/>
            <w:hideMark/>
          </w:tcPr>
          <w:p w14:paraId="6821B12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Education level by adulthood (including completion of secondary education)</w:t>
            </w:r>
          </w:p>
        </w:tc>
        <w:tc>
          <w:tcPr>
            <w:tcW w:w="992" w:type="dxa"/>
            <w:tcBorders>
              <w:top w:val="nil"/>
              <w:left w:val="nil"/>
              <w:bottom w:val="nil"/>
              <w:right w:val="nil"/>
            </w:tcBorders>
            <w:shd w:val="clear" w:color="auto" w:fill="auto"/>
            <w:hideMark/>
          </w:tcPr>
          <w:p w14:paraId="6F9726BF"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14B662F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1990 to study</w:t>
            </w:r>
          </w:p>
        </w:tc>
        <w:tc>
          <w:tcPr>
            <w:tcW w:w="1843" w:type="dxa"/>
            <w:tcBorders>
              <w:top w:val="nil"/>
              <w:left w:val="nil"/>
              <w:bottom w:val="nil"/>
              <w:right w:val="nil"/>
            </w:tcBorders>
            <w:shd w:val="clear" w:color="auto" w:fill="auto"/>
            <w:hideMark/>
          </w:tcPr>
          <w:p w14:paraId="33FEDDF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Longitudinal studies with at least two years between health and outcome measurements. Studies must have had comparison groups of health controls.</w:t>
            </w:r>
          </w:p>
        </w:tc>
        <w:tc>
          <w:tcPr>
            <w:tcW w:w="1417" w:type="dxa"/>
            <w:tcBorders>
              <w:top w:val="nil"/>
              <w:left w:val="nil"/>
              <w:bottom w:val="nil"/>
              <w:right w:val="nil"/>
            </w:tcBorders>
            <w:shd w:val="clear" w:color="auto" w:fill="auto"/>
            <w:hideMark/>
          </w:tcPr>
          <w:p w14:paraId="539636D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14/27 included in meta-analysis of not completing secondary education and a further 1/27, not included in meta-analysis, examining 9 or fewer years of education.</w:t>
            </w:r>
          </w:p>
        </w:tc>
        <w:tc>
          <w:tcPr>
            <w:tcW w:w="1418" w:type="dxa"/>
            <w:tcBorders>
              <w:top w:val="nil"/>
              <w:left w:val="nil"/>
              <w:bottom w:val="nil"/>
              <w:right w:val="nil"/>
            </w:tcBorders>
          </w:tcPr>
          <w:p w14:paraId="30827CF1" w14:textId="6D1347EA" w:rsidR="007E1124" w:rsidRPr="004A5CB3" w:rsidRDefault="00DD4E4F"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(8), New Zealand (2), Canada (1), China (1), France (1), Sweden (1)</w:t>
            </w:r>
          </w:p>
        </w:tc>
        <w:tc>
          <w:tcPr>
            <w:tcW w:w="1134" w:type="dxa"/>
            <w:tcBorders>
              <w:top w:val="nil"/>
              <w:left w:val="nil"/>
              <w:bottom w:val="nil"/>
              <w:right w:val="nil"/>
            </w:tcBorders>
            <w:shd w:val="clear" w:color="auto" w:fill="auto"/>
            <w:hideMark/>
          </w:tcPr>
          <w:p w14:paraId="44C244A6" w14:textId="3D84F39C"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91 to 14,221 (317)</w:t>
            </w:r>
          </w:p>
        </w:tc>
        <w:tc>
          <w:tcPr>
            <w:tcW w:w="1559" w:type="dxa"/>
            <w:tcBorders>
              <w:top w:val="nil"/>
              <w:left w:val="nil"/>
              <w:bottom w:val="nil"/>
              <w:right w:val="nil"/>
            </w:tcBorders>
            <w:shd w:val="clear" w:color="auto" w:fill="auto"/>
            <w:hideMark/>
          </w:tcPr>
          <w:p w14:paraId="6BD061C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Healthy controls</w:t>
            </w:r>
          </w:p>
        </w:tc>
        <w:tc>
          <w:tcPr>
            <w:tcW w:w="3119" w:type="dxa"/>
            <w:tcBorders>
              <w:top w:val="nil"/>
              <w:left w:val="nil"/>
              <w:bottom w:val="nil"/>
              <w:right w:val="nil"/>
            </w:tcBorders>
            <w:shd w:val="clear" w:color="auto" w:fill="auto"/>
            <w:hideMark/>
          </w:tcPr>
          <w:p w14:paraId="34440874" w14:textId="6AE7FF83"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Overall, those with any mental or physical health condition (depression, ADHD, conduct disorder, psychiatric disorder, JIA, "any chronic condition"), those with a condition were more likely to not complete secondary education than those with (OR [95% CI] 2.07 [1.50, 2.86]). However, in analyses disaggregated by condition type, only mental health conditions (14 studies) were associated with not completing secondary education (2.43 [1.68, 3.53); from the two studies of physical conditions, there was no association (0.98 [0.43, 2.27]). The one study examining whether participants had 9 or fewer years of education found no association between this outcome and anorexia nervosa.</w:t>
            </w:r>
          </w:p>
        </w:tc>
      </w:tr>
      <w:tr w:rsidR="00DC5B17" w:rsidRPr="004A5CB3" w14:paraId="054FF3C7" w14:textId="77777777" w:rsidTr="00DC5B17">
        <w:trPr>
          <w:trHeight w:val="66"/>
        </w:trPr>
        <w:tc>
          <w:tcPr>
            <w:tcW w:w="1123" w:type="dxa"/>
            <w:tcBorders>
              <w:top w:val="nil"/>
              <w:left w:val="nil"/>
              <w:bottom w:val="nil"/>
              <w:right w:val="nil"/>
            </w:tcBorders>
            <w:shd w:val="clear" w:color="auto" w:fill="auto"/>
          </w:tcPr>
          <w:p w14:paraId="70547E6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748325EA"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665267D5"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026650E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2A39EDA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0B5E192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33F89C1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63897998"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2C0AA87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2FEEAF4F"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72C832C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20CBCAC5" w14:textId="77777777" w:rsidTr="00F11368">
        <w:trPr>
          <w:trHeight w:val="66"/>
        </w:trPr>
        <w:tc>
          <w:tcPr>
            <w:tcW w:w="1123" w:type="dxa"/>
            <w:tcBorders>
              <w:top w:val="nil"/>
              <w:left w:val="nil"/>
              <w:bottom w:val="nil"/>
              <w:right w:val="nil"/>
            </w:tcBorders>
            <w:shd w:val="clear" w:color="auto" w:fill="auto"/>
            <w:hideMark/>
          </w:tcPr>
          <w:p w14:paraId="2B9E78B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Moser et al 2013</w:t>
            </w:r>
          </w:p>
        </w:tc>
        <w:tc>
          <w:tcPr>
            <w:tcW w:w="1133" w:type="dxa"/>
            <w:tcBorders>
              <w:top w:val="nil"/>
              <w:left w:val="nil"/>
              <w:bottom w:val="nil"/>
              <w:right w:val="nil"/>
            </w:tcBorders>
            <w:shd w:val="clear" w:color="auto" w:fill="auto"/>
            <w:hideMark/>
          </w:tcPr>
          <w:p w14:paraId="798AB7E8" w14:textId="5AFDB6B3" w:rsidR="007E1124" w:rsidRPr="004A5CB3" w:rsidRDefault="007E1124"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Generic / multiple: </w:t>
            </w:r>
            <w:r w:rsidRPr="004A5CB3">
              <w:rPr>
                <w:rFonts w:ascii="Calibri" w:eastAsia="Times New Roman" w:hAnsi="Calibri" w:cs="Calibri"/>
                <w:color w:val="000000"/>
                <w:sz w:val="18"/>
                <w:szCs w:val="18"/>
                <w:lang w:eastAsia="en-GB"/>
              </w:rPr>
              <w:t>Cystic fibrosis, haemophilia A, end-stage renal disease and end-stage liver disease</w:t>
            </w:r>
          </w:p>
        </w:tc>
        <w:tc>
          <w:tcPr>
            <w:tcW w:w="1431" w:type="dxa"/>
            <w:tcBorders>
              <w:top w:val="nil"/>
              <w:left w:val="nil"/>
              <w:bottom w:val="nil"/>
              <w:right w:val="nil"/>
            </w:tcBorders>
            <w:shd w:val="clear" w:color="auto" w:fill="auto"/>
            <w:hideMark/>
          </w:tcPr>
          <w:p w14:paraId="59BE49E6"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Neurocognitive outcomes measured using standardised achievement tests</w:t>
            </w:r>
          </w:p>
        </w:tc>
        <w:tc>
          <w:tcPr>
            <w:tcW w:w="992" w:type="dxa"/>
            <w:tcBorders>
              <w:top w:val="nil"/>
              <w:left w:val="nil"/>
              <w:bottom w:val="nil"/>
              <w:right w:val="nil"/>
            </w:tcBorders>
            <w:shd w:val="clear" w:color="auto" w:fill="auto"/>
            <w:hideMark/>
          </w:tcPr>
          <w:p w14:paraId="7425D7E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6AD82FC6"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2012</w:t>
            </w:r>
          </w:p>
        </w:tc>
        <w:tc>
          <w:tcPr>
            <w:tcW w:w="1843" w:type="dxa"/>
            <w:tcBorders>
              <w:top w:val="nil"/>
              <w:left w:val="nil"/>
              <w:bottom w:val="nil"/>
              <w:right w:val="nil"/>
            </w:tcBorders>
            <w:shd w:val="clear" w:color="auto" w:fill="auto"/>
            <w:hideMark/>
          </w:tcPr>
          <w:p w14:paraId="02ADB92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Studies of children aged 1-18 with one of the four conditions that reported results for achievement tests.</w:t>
            </w:r>
          </w:p>
        </w:tc>
        <w:tc>
          <w:tcPr>
            <w:tcW w:w="1417" w:type="dxa"/>
            <w:tcBorders>
              <w:top w:val="nil"/>
              <w:left w:val="nil"/>
              <w:bottom w:val="nil"/>
              <w:right w:val="nil"/>
            </w:tcBorders>
            <w:shd w:val="clear" w:color="auto" w:fill="auto"/>
            <w:hideMark/>
          </w:tcPr>
          <w:p w14:paraId="5DA4577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9/21 (the remainder examined IQ or factors such as cognitive development)</w:t>
            </w:r>
          </w:p>
        </w:tc>
        <w:tc>
          <w:tcPr>
            <w:tcW w:w="1418" w:type="dxa"/>
            <w:tcBorders>
              <w:top w:val="nil"/>
              <w:left w:val="nil"/>
              <w:bottom w:val="nil"/>
              <w:right w:val="nil"/>
            </w:tcBorders>
          </w:tcPr>
          <w:p w14:paraId="2EDFB866" w14:textId="48A5ADBF" w:rsidR="007E1124" w:rsidRPr="004A5CB3" w:rsidRDefault="00DD4E4F"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(8), Canada (1)</w:t>
            </w:r>
          </w:p>
        </w:tc>
        <w:tc>
          <w:tcPr>
            <w:tcW w:w="1134" w:type="dxa"/>
            <w:tcBorders>
              <w:top w:val="nil"/>
              <w:left w:val="nil"/>
              <w:bottom w:val="nil"/>
              <w:right w:val="nil"/>
            </w:tcBorders>
            <w:shd w:val="clear" w:color="auto" w:fill="auto"/>
            <w:hideMark/>
          </w:tcPr>
          <w:p w14:paraId="04BB8131" w14:textId="18FFF82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22 to 333 (40)</w:t>
            </w:r>
          </w:p>
        </w:tc>
        <w:tc>
          <w:tcPr>
            <w:tcW w:w="1559" w:type="dxa"/>
            <w:tcBorders>
              <w:top w:val="nil"/>
              <w:left w:val="nil"/>
              <w:bottom w:val="nil"/>
              <w:right w:val="nil"/>
            </w:tcBorders>
            <w:shd w:val="clear" w:color="auto" w:fill="auto"/>
            <w:hideMark/>
          </w:tcPr>
          <w:p w14:paraId="2857F7F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Population norms</w:t>
            </w:r>
          </w:p>
        </w:tc>
        <w:tc>
          <w:tcPr>
            <w:tcW w:w="3119" w:type="dxa"/>
            <w:tcBorders>
              <w:top w:val="nil"/>
              <w:left w:val="nil"/>
              <w:bottom w:val="nil"/>
              <w:right w:val="nil"/>
            </w:tcBorders>
            <w:shd w:val="clear" w:color="auto" w:fill="auto"/>
            <w:hideMark/>
          </w:tcPr>
          <w:p w14:paraId="5EFE9C1A" w14:textId="77777777" w:rsidR="007E1124"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One study on CF found no differences in attainment. Five studies on haemophilia A found lower performance on tests compared to population norms. One study of ESRD found that children post transplant performed better in written language and school performance than dialysed peers. Of the two studies of ESLD, both showed transplant recipients performed worse academically.</w:t>
            </w:r>
          </w:p>
          <w:p w14:paraId="51CF826F" w14:textId="6FB0717C" w:rsidR="007E1124" w:rsidRPr="004A5CB3" w:rsidRDefault="007E1124" w:rsidP="002B609B">
            <w:pPr>
              <w:spacing w:line="240" w:lineRule="auto"/>
              <w:rPr>
                <w:rFonts w:ascii="Calibri" w:eastAsia="Times New Roman" w:hAnsi="Calibri" w:cs="Calibri"/>
                <w:color w:val="000000"/>
                <w:sz w:val="18"/>
                <w:szCs w:val="18"/>
                <w:lang w:eastAsia="en-GB"/>
              </w:rPr>
            </w:pPr>
          </w:p>
        </w:tc>
      </w:tr>
      <w:tr w:rsidR="00DC5B17" w:rsidRPr="004A5CB3" w14:paraId="6468E2A0" w14:textId="77777777" w:rsidTr="00F11368">
        <w:trPr>
          <w:trHeight w:val="66"/>
        </w:trPr>
        <w:tc>
          <w:tcPr>
            <w:tcW w:w="1123" w:type="dxa"/>
            <w:tcBorders>
              <w:top w:val="nil"/>
              <w:left w:val="nil"/>
              <w:bottom w:val="nil"/>
              <w:right w:val="nil"/>
            </w:tcBorders>
            <w:shd w:val="clear" w:color="auto" w:fill="auto"/>
          </w:tcPr>
          <w:p w14:paraId="6C203FB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2C38883A"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0FCED69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0D0B173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D85F02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165A958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2C265C9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56BAE7D1"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5B5C2A65"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79D34CF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3A3D801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4745BFAB" w14:textId="77777777" w:rsidTr="00F11368">
        <w:trPr>
          <w:trHeight w:val="888"/>
        </w:trPr>
        <w:tc>
          <w:tcPr>
            <w:tcW w:w="1123" w:type="dxa"/>
            <w:tcBorders>
              <w:top w:val="nil"/>
              <w:left w:val="nil"/>
              <w:bottom w:val="nil"/>
              <w:right w:val="nil"/>
            </w:tcBorders>
            <w:shd w:val="clear" w:color="auto" w:fill="auto"/>
            <w:hideMark/>
          </w:tcPr>
          <w:p w14:paraId="452EB75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Glinianaia et al 2021</w:t>
            </w:r>
          </w:p>
        </w:tc>
        <w:tc>
          <w:tcPr>
            <w:tcW w:w="1133" w:type="dxa"/>
            <w:tcBorders>
              <w:top w:val="nil"/>
              <w:left w:val="nil"/>
              <w:bottom w:val="nil"/>
              <w:right w:val="nil"/>
            </w:tcBorders>
            <w:shd w:val="clear" w:color="auto" w:fill="auto"/>
            <w:hideMark/>
          </w:tcPr>
          <w:p w14:paraId="2C3D55C9" w14:textId="5256CBFD" w:rsidR="007E1124" w:rsidRPr="004A5CB3" w:rsidRDefault="007E1124"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Generic / multiple: </w:t>
            </w:r>
            <w:r w:rsidRPr="004A5CB3">
              <w:rPr>
                <w:rFonts w:ascii="Calibri" w:eastAsia="Times New Roman" w:hAnsi="Calibri" w:cs="Calibri"/>
                <w:color w:val="000000"/>
                <w:sz w:val="18"/>
                <w:szCs w:val="18"/>
                <w:lang w:eastAsia="en-GB"/>
              </w:rPr>
              <w:t>Major structural congenital anomalies</w:t>
            </w:r>
          </w:p>
        </w:tc>
        <w:tc>
          <w:tcPr>
            <w:tcW w:w="1431" w:type="dxa"/>
            <w:tcBorders>
              <w:top w:val="nil"/>
              <w:left w:val="nil"/>
              <w:bottom w:val="nil"/>
              <w:right w:val="nil"/>
            </w:tcBorders>
            <w:shd w:val="clear" w:color="auto" w:fill="auto"/>
            <w:hideMark/>
          </w:tcPr>
          <w:p w14:paraId="4810C22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Academic achievement or receipt of special educational needs provision</w:t>
            </w:r>
          </w:p>
        </w:tc>
        <w:tc>
          <w:tcPr>
            <w:tcW w:w="992" w:type="dxa"/>
            <w:tcBorders>
              <w:top w:val="nil"/>
              <w:left w:val="nil"/>
              <w:bottom w:val="nil"/>
              <w:right w:val="nil"/>
            </w:tcBorders>
            <w:shd w:val="clear" w:color="auto" w:fill="auto"/>
            <w:hideMark/>
          </w:tcPr>
          <w:p w14:paraId="45F64776"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1420512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1990 to 2020</w:t>
            </w:r>
          </w:p>
        </w:tc>
        <w:tc>
          <w:tcPr>
            <w:tcW w:w="1843" w:type="dxa"/>
            <w:tcBorders>
              <w:top w:val="nil"/>
              <w:left w:val="nil"/>
              <w:bottom w:val="nil"/>
              <w:right w:val="nil"/>
            </w:tcBorders>
            <w:shd w:val="clear" w:color="auto" w:fill="auto"/>
            <w:hideMark/>
          </w:tcPr>
          <w:p w14:paraId="36D65CD3" w14:textId="743D2B4D"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Any design examining academic performance or special educational needs in children with a congenital anomaly vs a comparison group or normative data.</w:t>
            </w:r>
          </w:p>
        </w:tc>
        <w:tc>
          <w:tcPr>
            <w:tcW w:w="1417" w:type="dxa"/>
            <w:tcBorders>
              <w:top w:val="nil"/>
              <w:left w:val="nil"/>
              <w:bottom w:val="nil"/>
              <w:right w:val="nil"/>
            </w:tcBorders>
            <w:shd w:val="clear" w:color="auto" w:fill="auto"/>
            <w:hideMark/>
          </w:tcPr>
          <w:p w14:paraId="58B3D6B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32/39</w:t>
            </w:r>
          </w:p>
        </w:tc>
        <w:tc>
          <w:tcPr>
            <w:tcW w:w="1418" w:type="dxa"/>
            <w:tcBorders>
              <w:top w:val="nil"/>
              <w:left w:val="nil"/>
              <w:bottom w:val="nil"/>
              <w:right w:val="nil"/>
            </w:tcBorders>
          </w:tcPr>
          <w:p w14:paraId="3C3182E2" w14:textId="504FF941" w:rsidR="007E1124" w:rsidRDefault="00DD4E4F"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USA (17), UK (5), Australia (4), Denmark (2), Norway (1), USA &amp; Canada (1), </w:t>
            </w:r>
            <w:r w:rsidR="00921B8C">
              <w:rPr>
                <w:rFonts w:ascii="Calibri" w:eastAsia="Times New Roman" w:hAnsi="Calibri" w:cs="Calibri"/>
                <w:color w:val="000000"/>
                <w:sz w:val="18"/>
                <w:szCs w:val="18"/>
                <w:lang w:eastAsia="en-GB"/>
              </w:rPr>
              <w:t>Switzerland</w:t>
            </w:r>
            <w:r>
              <w:rPr>
                <w:rFonts w:ascii="Calibri" w:eastAsia="Times New Roman" w:hAnsi="Calibri" w:cs="Calibri"/>
                <w:color w:val="000000"/>
                <w:sz w:val="18"/>
                <w:szCs w:val="18"/>
                <w:lang w:eastAsia="en-GB"/>
              </w:rPr>
              <w:t xml:space="preserve"> (1), Sweden (1)</w:t>
            </w:r>
          </w:p>
          <w:p w14:paraId="62886E23" w14:textId="78039329" w:rsidR="00B437FB" w:rsidRPr="004A5CB3" w:rsidRDefault="00B437FB"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hideMark/>
          </w:tcPr>
          <w:p w14:paraId="06409F3F" w14:textId="57B1FECA"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12 to 1,251,396 (199)</w:t>
            </w:r>
          </w:p>
        </w:tc>
        <w:tc>
          <w:tcPr>
            <w:tcW w:w="1559" w:type="dxa"/>
            <w:tcBorders>
              <w:top w:val="nil"/>
              <w:left w:val="nil"/>
              <w:bottom w:val="nil"/>
              <w:right w:val="nil"/>
            </w:tcBorders>
            <w:shd w:val="clear" w:color="auto" w:fill="auto"/>
            <w:hideMark/>
          </w:tcPr>
          <w:p w14:paraId="7829DDEB"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Studies had to have a control group or compare with normative data</w:t>
            </w:r>
          </w:p>
        </w:tc>
        <w:tc>
          <w:tcPr>
            <w:tcW w:w="3119" w:type="dxa"/>
            <w:tcBorders>
              <w:top w:val="nil"/>
              <w:left w:val="nil"/>
              <w:bottom w:val="nil"/>
              <w:right w:val="nil"/>
            </w:tcBorders>
            <w:shd w:val="clear" w:color="auto" w:fill="auto"/>
            <w:hideMark/>
          </w:tcPr>
          <w:p w14:paraId="79337CC0" w14:textId="54C3D65D"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Most studies found that children with spina bifida, CHD or severe CHD, or orofacial clefts (especially with palate involvement) had lower average attainment. These findings remain persistent across school levels.</w:t>
            </w:r>
          </w:p>
        </w:tc>
      </w:tr>
      <w:tr w:rsidR="00DC5B17" w:rsidRPr="004A5CB3" w14:paraId="53E4D41B" w14:textId="77777777" w:rsidTr="00DC5B17">
        <w:trPr>
          <w:trHeight w:val="66"/>
        </w:trPr>
        <w:tc>
          <w:tcPr>
            <w:tcW w:w="1123" w:type="dxa"/>
            <w:tcBorders>
              <w:top w:val="nil"/>
              <w:left w:val="nil"/>
              <w:bottom w:val="nil"/>
              <w:right w:val="nil"/>
            </w:tcBorders>
            <w:shd w:val="clear" w:color="auto" w:fill="auto"/>
          </w:tcPr>
          <w:p w14:paraId="7A26530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2B4B5210"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0397FDA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8EB320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1EB3D7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68A2C37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4732A5F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7D150156"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29E14AF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4304950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21D718F3"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75B4DF35" w14:textId="77777777" w:rsidTr="00F11368">
        <w:trPr>
          <w:trHeight w:val="3360"/>
        </w:trPr>
        <w:tc>
          <w:tcPr>
            <w:tcW w:w="1123" w:type="dxa"/>
            <w:tcBorders>
              <w:top w:val="nil"/>
              <w:left w:val="nil"/>
              <w:bottom w:val="nil"/>
              <w:right w:val="nil"/>
            </w:tcBorders>
            <w:shd w:val="clear" w:color="auto" w:fill="auto"/>
            <w:hideMark/>
          </w:tcPr>
          <w:p w14:paraId="59D6EEF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Esch et al 2014</w:t>
            </w:r>
          </w:p>
        </w:tc>
        <w:tc>
          <w:tcPr>
            <w:tcW w:w="1133" w:type="dxa"/>
            <w:tcBorders>
              <w:top w:val="nil"/>
              <w:left w:val="nil"/>
              <w:bottom w:val="nil"/>
              <w:right w:val="nil"/>
            </w:tcBorders>
            <w:shd w:val="clear" w:color="auto" w:fill="auto"/>
            <w:hideMark/>
          </w:tcPr>
          <w:p w14:paraId="25997C01" w14:textId="66DC9661" w:rsidR="007E1124" w:rsidRPr="004A5CB3" w:rsidRDefault="007E1124"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Generic / multiple: </w:t>
            </w:r>
            <w:r w:rsidRPr="004A5CB3">
              <w:rPr>
                <w:rFonts w:ascii="Calibri" w:eastAsia="Times New Roman" w:hAnsi="Calibri" w:cs="Calibri"/>
                <w:color w:val="000000"/>
                <w:sz w:val="18"/>
                <w:szCs w:val="18"/>
                <w:lang w:eastAsia="en-GB"/>
              </w:rPr>
              <w:t>Mental disorders</w:t>
            </w:r>
          </w:p>
        </w:tc>
        <w:tc>
          <w:tcPr>
            <w:tcW w:w="1431" w:type="dxa"/>
            <w:tcBorders>
              <w:top w:val="nil"/>
              <w:left w:val="nil"/>
              <w:bottom w:val="nil"/>
              <w:right w:val="nil"/>
            </w:tcBorders>
            <w:shd w:val="clear" w:color="auto" w:fill="auto"/>
            <w:hideMark/>
          </w:tcPr>
          <w:p w14:paraId="0C36EDC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School dropout</w:t>
            </w:r>
          </w:p>
        </w:tc>
        <w:tc>
          <w:tcPr>
            <w:tcW w:w="992" w:type="dxa"/>
            <w:tcBorders>
              <w:top w:val="nil"/>
              <w:left w:val="nil"/>
              <w:bottom w:val="nil"/>
              <w:right w:val="nil"/>
            </w:tcBorders>
            <w:shd w:val="clear" w:color="auto" w:fill="auto"/>
            <w:hideMark/>
          </w:tcPr>
          <w:p w14:paraId="324CED1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 French or German</w:t>
            </w:r>
          </w:p>
        </w:tc>
        <w:tc>
          <w:tcPr>
            <w:tcW w:w="992" w:type="dxa"/>
            <w:tcBorders>
              <w:top w:val="nil"/>
              <w:left w:val="nil"/>
              <w:bottom w:val="nil"/>
              <w:right w:val="nil"/>
            </w:tcBorders>
            <w:shd w:val="clear" w:color="auto" w:fill="auto"/>
            <w:hideMark/>
          </w:tcPr>
          <w:p w14:paraId="4C2F961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1990 (to not include references before DSM-III, though this was published in 1980) to 2014</w:t>
            </w:r>
          </w:p>
        </w:tc>
        <w:tc>
          <w:tcPr>
            <w:tcW w:w="1843" w:type="dxa"/>
            <w:tcBorders>
              <w:top w:val="nil"/>
              <w:left w:val="nil"/>
              <w:bottom w:val="nil"/>
              <w:right w:val="nil"/>
            </w:tcBorders>
            <w:shd w:val="clear" w:color="auto" w:fill="auto"/>
            <w:hideMark/>
          </w:tcPr>
          <w:p w14:paraId="589DE64B"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Cross-sectional, case-control, longitudinal or meta-analyses were included. School dropout in secondary school prior to graduation. Papers could examine the association between mental disorders and school dropout in either direction. Mental health disorders (apart from substance use) had to refer to the DSM.</w:t>
            </w:r>
          </w:p>
        </w:tc>
        <w:tc>
          <w:tcPr>
            <w:tcW w:w="1417" w:type="dxa"/>
            <w:tcBorders>
              <w:top w:val="nil"/>
              <w:left w:val="nil"/>
              <w:bottom w:val="nil"/>
              <w:right w:val="nil"/>
            </w:tcBorders>
            <w:shd w:val="clear" w:color="auto" w:fill="auto"/>
            <w:hideMark/>
          </w:tcPr>
          <w:p w14:paraId="3C98A15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34/51</w:t>
            </w:r>
          </w:p>
        </w:tc>
        <w:tc>
          <w:tcPr>
            <w:tcW w:w="1418" w:type="dxa"/>
            <w:tcBorders>
              <w:top w:val="nil"/>
              <w:left w:val="nil"/>
              <w:bottom w:val="nil"/>
              <w:right w:val="nil"/>
            </w:tcBorders>
          </w:tcPr>
          <w:p w14:paraId="4AE9549E" w14:textId="2E200705" w:rsidR="007E1124" w:rsidRPr="004A5CB3" w:rsidRDefault="00B437FB"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USA (21), Australia (3), Canada (3), New Zealand (2), Australia and New Zealand (1), </w:t>
            </w:r>
            <w:r w:rsidR="00921B8C">
              <w:rPr>
                <w:rFonts w:ascii="Calibri" w:eastAsia="Times New Roman" w:hAnsi="Calibri" w:cs="Calibri"/>
                <w:color w:val="000000"/>
                <w:sz w:val="18"/>
                <w:szCs w:val="18"/>
                <w:lang w:eastAsia="en-GB"/>
              </w:rPr>
              <w:t>Sweden</w:t>
            </w:r>
            <w:r>
              <w:rPr>
                <w:rFonts w:ascii="Calibri" w:eastAsia="Times New Roman" w:hAnsi="Calibri" w:cs="Calibri"/>
                <w:color w:val="000000"/>
                <w:sz w:val="18"/>
                <w:szCs w:val="18"/>
                <w:lang w:eastAsia="en-GB"/>
              </w:rPr>
              <w:t xml:space="preserve"> (1), </w:t>
            </w:r>
            <w:r>
              <w:rPr>
                <w:rFonts w:ascii="Calibri" w:eastAsia="Times New Roman" w:hAnsi="Calibri" w:cs="Calibri"/>
                <w:color w:val="000000"/>
                <w:sz w:val="18"/>
                <w:szCs w:val="18"/>
                <w:lang w:eastAsia="en-GB"/>
              </w:rPr>
              <w:br/>
              <w:t>World Mental Health Survey (1), France (1), Mexico (1)</w:t>
            </w:r>
          </w:p>
        </w:tc>
        <w:tc>
          <w:tcPr>
            <w:tcW w:w="1134" w:type="dxa"/>
            <w:tcBorders>
              <w:top w:val="nil"/>
              <w:left w:val="nil"/>
              <w:bottom w:val="nil"/>
              <w:right w:val="nil"/>
            </w:tcBorders>
            <w:shd w:val="clear" w:color="auto" w:fill="auto"/>
            <w:hideMark/>
          </w:tcPr>
          <w:p w14:paraId="46725521" w14:textId="26F61DFE"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36 to 41,688 (1,329).</w:t>
            </w:r>
          </w:p>
        </w:tc>
        <w:tc>
          <w:tcPr>
            <w:tcW w:w="1559" w:type="dxa"/>
            <w:tcBorders>
              <w:top w:val="nil"/>
              <w:left w:val="nil"/>
              <w:bottom w:val="nil"/>
              <w:right w:val="nil"/>
            </w:tcBorders>
            <w:shd w:val="clear" w:color="auto" w:fill="auto"/>
            <w:hideMark/>
          </w:tcPr>
          <w:p w14:paraId="2B38BA9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Comparison groups were not pre-specified but studies had to examine an association between a mental disorder and school dropout. A small number of studies used clinical samples.</w:t>
            </w:r>
          </w:p>
        </w:tc>
        <w:tc>
          <w:tcPr>
            <w:tcW w:w="3119" w:type="dxa"/>
            <w:tcBorders>
              <w:top w:val="nil"/>
              <w:left w:val="nil"/>
              <w:bottom w:val="nil"/>
              <w:right w:val="nil"/>
            </w:tcBorders>
            <w:shd w:val="clear" w:color="auto" w:fill="auto"/>
            <w:hideMark/>
          </w:tcPr>
          <w:p w14:paraId="3A5BFAE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Substance use and use disorders (cannabis [with the exception of experimentation without progression to daily use], nicotine or amphetamines), externalising disorders, ADHD and psychosis were most strongly associated with school dropout. Internalising disorders were also associated with an increased likelihood of school dropout but less strongly. Where studies made adjustments for sociodemographic factors, associations remained.</w:t>
            </w:r>
          </w:p>
        </w:tc>
      </w:tr>
      <w:tr w:rsidR="00F11368" w:rsidRPr="004A5CB3" w14:paraId="4EF8FB20" w14:textId="77777777" w:rsidTr="00DC5B17">
        <w:trPr>
          <w:trHeight w:val="66"/>
        </w:trPr>
        <w:tc>
          <w:tcPr>
            <w:tcW w:w="1123" w:type="dxa"/>
            <w:tcBorders>
              <w:top w:val="nil"/>
              <w:left w:val="nil"/>
              <w:bottom w:val="nil"/>
              <w:right w:val="nil"/>
            </w:tcBorders>
            <w:shd w:val="clear" w:color="auto" w:fill="auto"/>
            <w:hideMark/>
          </w:tcPr>
          <w:p w14:paraId="36E3E10D" w14:textId="77777777" w:rsidR="007E1124" w:rsidRPr="004A5CB3" w:rsidRDefault="007E1124"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hideMark/>
          </w:tcPr>
          <w:p w14:paraId="5F3D7FAB" w14:textId="77777777" w:rsidR="007E1124" w:rsidRPr="004A5CB3" w:rsidRDefault="007E1124" w:rsidP="002B609B">
            <w:pPr>
              <w:spacing w:line="240" w:lineRule="auto"/>
              <w:rPr>
                <w:rFonts w:ascii="Times New Roman" w:eastAsia="Times New Roman" w:hAnsi="Times New Roman" w:cs="Times New Roman"/>
                <w:sz w:val="20"/>
                <w:szCs w:val="20"/>
                <w:lang w:eastAsia="en-GB"/>
              </w:rPr>
            </w:pPr>
          </w:p>
        </w:tc>
        <w:tc>
          <w:tcPr>
            <w:tcW w:w="1431" w:type="dxa"/>
            <w:tcBorders>
              <w:top w:val="nil"/>
              <w:left w:val="nil"/>
              <w:bottom w:val="nil"/>
              <w:right w:val="nil"/>
            </w:tcBorders>
            <w:shd w:val="clear" w:color="auto" w:fill="auto"/>
            <w:hideMark/>
          </w:tcPr>
          <w:p w14:paraId="5557BC0E" w14:textId="77777777" w:rsidR="007E1124" w:rsidRPr="004A5CB3" w:rsidRDefault="007E1124" w:rsidP="002B609B">
            <w:pPr>
              <w:spacing w:line="240" w:lineRule="auto"/>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hideMark/>
          </w:tcPr>
          <w:p w14:paraId="21D6455F" w14:textId="77777777" w:rsidR="007E1124" w:rsidRPr="004A5CB3" w:rsidRDefault="007E1124" w:rsidP="002B609B">
            <w:pPr>
              <w:spacing w:line="240" w:lineRule="auto"/>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hideMark/>
          </w:tcPr>
          <w:p w14:paraId="343010A6" w14:textId="77777777" w:rsidR="007E1124" w:rsidRPr="004A5CB3" w:rsidRDefault="007E1124" w:rsidP="002B609B">
            <w:pPr>
              <w:spacing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hideMark/>
          </w:tcPr>
          <w:p w14:paraId="32FB808E" w14:textId="77777777" w:rsidR="007E1124" w:rsidRPr="004A5CB3" w:rsidRDefault="007E1124" w:rsidP="002B609B">
            <w:pPr>
              <w:spacing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hideMark/>
          </w:tcPr>
          <w:p w14:paraId="757F8FAA" w14:textId="77777777" w:rsidR="007E1124" w:rsidRPr="004A5CB3" w:rsidRDefault="007E1124" w:rsidP="002B609B">
            <w:pPr>
              <w:spacing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tcPr>
          <w:p w14:paraId="22CCFE25" w14:textId="1F9CF3D8" w:rsidR="00355BD9" w:rsidRPr="004A5CB3" w:rsidRDefault="00355BD9" w:rsidP="002B609B">
            <w:pPr>
              <w:spacing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hideMark/>
          </w:tcPr>
          <w:p w14:paraId="39B762EC" w14:textId="746005D7" w:rsidR="007E1124" w:rsidRPr="004A5CB3" w:rsidRDefault="007E1124" w:rsidP="002B609B">
            <w:pPr>
              <w:spacing w:line="240" w:lineRule="auto"/>
              <w:rPr>
                <w:rFonts w:ascii="Times New Roman" w:eastAsia="Times New Roman" w:hAnsi="Times New Roman" w:cs="Times New Roman"/>
                <w:sz w:val="20"/>
                <w:szCs w:val="20"/>
                <w:lang w:eastAsia="en-GB"/>
              </w:rPr>
            </w:pPr>
          </w:p>
        </w:tc>
        <w:tc>
          <w:tcPr>
            <w:tcW w:w="1559" w:type="dxa"/>
            <w:tcBorders>
              <w:top w:val="nil"/>
              <w:left w:val="nil"/>
              <w:bottom w:val="nil"/>
              <w:right w:val="nil"/>
            </w:tcBorders>
            <w:shd w:val="clear" w:color="auto" w:fill="auto"/>
            <w:hideMark/>
          </w:tcPr>
          <w:p w14:paraId="4B5ABC71" w14:textId="77777777" w:rsidR="007E1124" w:rsidRPr="004A5CB3" w:rsidRDefault="007E1124" w:rsidP="002B609B">
            <w:pPr>
              <w:spacing w:line="240" w:lineRule="auto"/>
              <w:rPr>
                <w:rFonts w:ascii="Times New Roman" w:eastAsia="Times New Roman" w:hAnsi="Times New Roman" w:cs="Times New Roman"/>
                <w:sz w:val="20"/>
                <w:szCs w:val="20"/>
                <w:lang w:eastAsia="en-GB"/>
              </w:rPr>
            </w:pPr>
          </w:p>
        </w:tc>
        <w:tc>
          <w:tcPr>
            <w:tcW w:w="3119" w:type="dxa"/>
            <w:tcBorders>
              <w:top w:val="nil"/>
              <w:left w:val="nil"/>
              <w:bottom w:val="nil"/>
              <w:right w:val="nil"/>
            </w:tcBorders>
            <w:shd w:val="clear" w:color="auto" w:fill="auto"/>
            <w:hideMark/>
          </w:tcPr>
          <w:p w14:paraId="5CA29154" w14:textId="77777777" w:rsidR="007E1124" w:rsidRDefault="007E1124" w:rsidP="002B609B">
            <w:pPr>
              <w:spacing w:line="240" w:lineRule="auto"/>
              <w:rPr>
                <w:rFonts w:ascii="Times New Roman" w:eastAsia="Times New Roman" w:hAnsi="Times New Roman" w:cs="Times New Roman"/>
                <w:sz w:val="20"/>
                <w:szCs w:val="20"/>
                <w:lang w:eastAsia="en-GB"/>
              </w:rPr>
            </w:pPr>
          </w:p>
          <w:p w14:paraId="2E57A7CE" w14:textId="77777777" w:rsidR="00DC5B17" w:rsidRDefault="00DC5B17" w:rsidP="002B609B">
            <w:pPr>
              <w:spacing w:line="240" w:lineRule="auto"/>
              <w:rPr>
                <w:rFonts w:ascii="Times New Roman" w:eastAsia="Times New Roman" w:hAnsi="Times New Roman" w:cs="Times New Roman"/>
                <w:sz w:val="20"/>
                <w:szCs w:val="20"/>
                <w:lang w:eastAsia="en-GB"/>
              </w:rPr>
            </w:pPr>
          </w:p>
          <w:p w14:paraId="24D28AEF" w14:textId="77777777" w:rsidR="00DC5B17" w:rsidRDefault="00DC5B17" w:rsidP="002B609B">
            <w:pPr>
              <w:spacing w:line="240" w:lineRule="auto"/>
              <w:rPr>
                <w:rFonts w:ascii="Times New Roman" w:eastAsia="Times New Roman" w:hAnsi="Times New Roman" w:cs="Times New Roman"/>
                <w:sz w:val="20"/>
                <w:szCs w:val="20"/>
                <w:lang w:eastAsia="en-GB"/>
              </w:rPr>
            </w:pPr>
          </w:p>
          <w:p w14:paraId="008BD21D" w14:textId="77777777" w:rsidR="00DC5B17" w:rsidRDefault="00DC5B17" w:rsidP="002B609B">
            <w:pPr>
              <w:spacing w:line="240" w:lineRule="auto"/>
              <w:rPr>
                <w:rFonts w:ascii="Times New Roman" w:eastAsia="Times New Roman" w:hAnsi="Times New Roman" w:cs="Times New Roman"/>
                <w:sz w:val="20"/>
                <w:szCs w:val="20"/>
                <w:lang w:eastAsia="en-GB"/>
              </w:rPr>
            </w:pPr>
          </w:p>
          <w:p w14:paraId="4A9CA802" w14:textId="77777777" w:rsidR="00DC5B17" w:rsidRDefault="00DC5B17" w:rsidP="002B609B">
            <w:pPr>
              <w:spacing w:line="240" w:lineRule="auto"/>
              <w:rPr>
                <w:rFonts w:ascii="Times New Roman" w:eastAsia="Times New Roman" w:hAnsi="Times New Roman" w:cs="Times New Roman"/>
                <w:sz w:val="20"/>
                <w:szCs w:val="20"/>
                <w:lang w:eastAsia="en-GB"/>
              </w:rPr>
            </w:pPr>
          </w:p>
          <w:p w14:paraId="78E14372" w14:textId="77777777" w:rsidR="00DC5B17" w:rsidRDefault="00DC5B17" w:rsidP="002B609B">
            <w:pPr>
              <w:spacing w:line="240" w:lineRule="auto"/>
              <w:rPr>
                <w:rFonts w:ascii="Times New Roman" w:eastAsia="Times New Roman" w:hAnsi="Times New Roman" w:cs="Times New Roman"/>
                <w:sz w:val="20"/>
                <w:szCs w:val="20"/>
                <w:lang w:eastAsia="en-GB"/>
              </w:rPr>
            </w:pPr>
          </w:p>
          <w:p w14:paraId="1EA1D0E0" w14:textId="77777777" w:rsidR="00DC5B17" w:rsidRDefault="00DC5B17" w:rsidP="002B609B">
            <w:pPr>
              <w:spacing w:line="240" w:lineRule="auto"/>
              <w:rPr>
                <w:rFonts w:ascii="Times New Roman" w:eastAsia="Times New Roman" w:hAnsi="Times New Roman" w:cs="Times New Roman"/>
                <w:sz w:val="20"/>
                <w:szCs w:val="20"/>
                <w:lang w:eastAsia="en-GB"/>
              </w:rPr>
            </w:pPr>
          </w:p>
          <w:p w14:paraId="72FC2A8B" w14:textId="74E56007" w:rsidR="00DC5B17" w:rsidRPr="004A5CB3" w:rsidRDefault="00DC5B17" w:rsidP="002B609B">
            <w:pPr>
              <w:spacing w:line="240" w:lineRule="auto"/>
              <w:rPr>
                <w:rFonts w:ascii="Times New Roman" w:eastAsia="Times New Roman" w:hAnsi="Times New Roman" w:cs="Times New Roman"/>
                <w:sz w:val="20"/>
                <w:szCs w:val="20"/>
                <w:lang w:eastAsia="en-GB"/>
              </w:rPr>
            </w:pPr>
          </w:p>
        </w:tc>
      </w:tr>
      <w:tr w:rsidR="00DC5B17" w:rsidRPr="004A5CB3" w14:paraId="17E7A87A" w14:textId="77777777" w:rsidTr="00A54CEA">
        <w:trPr>
          <w:trHeight w:val="90"/>
        </w:trPr>
        <w:tc>
          <w:tcPr>
            <w:tcW w:w="16161" w:type="dxa"/>
            <w:gridSpan w:val="11"/>
            <w:tcBorders>
              <w:top w:val="nil"/>
              <w:left w:val="nil"/>
              <w:bottom w:val="nil"/>
              <w:right w:val="nil"/>
            </w:tcBorders>
            <w:shd w:val="clear" w:color="auto" w:fill="D9D9D9" w:themeFill="background1" w:themeFillShade="D9"/>
            <w:hideMark/>
          </w:tcPr>
          <w:p w14:paraId="6AAD5D78" w14:textId="6F55D82F" w:rsidR="00DC5B17" w:rsidRPr="004A5CB3" w:rsidRDefault="00DC5B17" w:rsidP="002B609B">
            <w:pPr>
              <w:spacing w:line="240" w:lineRule="auto"/>
              <w:rPr>
                <w:rFonts w:ascii="Times New Roman" w:eastAsia="Times New Roman" w:hAnsi="Times New Roman" w:cs="Times New Roman"/>
                <w:sz w:val="20"/>
                <w:szCs w:val="20"/>
                <w:lang w:eastAsia="en-GB"/>
              </w:rPr>
            </w:pPr>
            <w:r w:rsidRPr="004A5CB3">
              <w:rPr>
                <w:rFonts w:ascii="Calibri" w:eastAsia="Times New Roman" w:hAnsi="Calibri" w:cs="Calibri"/>
                <w:b/>
                <w:bCs/>
                <w:color w:val="000000"/>
                <w:sz w:val="18"/>
                <w:szCs w:val="18"/>
                <w:lang w:eastAsia="en-GB"/>
              </w:rPr>
              <w:t>Condition</w:t>
            </w:r>
            <w:r w:rsidRPr="00A54CEA">
              <w:rPr>
                <w:rFonts w:ascii="Calibri" w:eastAsia="Times New Roman" w:hAnsi="Calibri" w:cs="Calibri"/>
                <w:b/>
                <w:bCs/>
                <w:color w:val="000000"/>
                <w:sz w:val="18"/>
                <w:szCs w:val="18"/>
                <w:shd w:val="clear" w:color="auto" w:fill="D9D9D9" w:themeFill="background1" w:themeFillShade="D9"/>
                <w:lang w:eastAsia="en-GB"/>
              </w:rPr>
              <w:t>-specific</w:t>
            </w:r>
          </w:p>
        </w:tc>
      </w:tr>
      <w:tr w:rsidR="00F11368" w:rsidRPr="004A5CB3" w14:paraId="29F816FC" w14:textId="77777777" w:rsidTr="00F11368">
        <w:trPr>
          <w:trHeight w:val="1680"/>
        </w:trPr>
        <w:tc>
          <w:tcPr>
            <w:tcW w:w="1123" w:type="dxa"/>
            <w:tcBorders>
              <w:top w:val="nil"/>
              <w:left w:val="nil"/>
              <w:bottom w:val="nil"/>
              <w:right w:val="nil"/>
            </w:tcBorders>
            <w:shd w:val="clear" w:color="auto" w:fill="auto"/>
            <w:hideMark/>
          </w:tcPr>
          <w:p w14:paraId="2D3708AB"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Milton et al 2004</w:t>
            </w:r>
          </w:p>
        </w:tc>
        <w:tc>
          <w:tcPr>
            <w:tcW w:w="1133" w:type="dxa"/>
            <w:tcBorders>
              <w:top w:val="nil"/>
              <w:left w:val="nil"/>
              <w:bottom w:val="nil"/>
              <w:right w:val="nil"/>
            </w:tcBorders>
            <w:shd w:val="clear" w:color="auto" w:fill="auto"/>
            <w:hideMark/>
          </w:tcPr>
          <w:p w14:paraId="3354526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Asthma</w:t>
            </w:r>
          </w:p>
        </w:tc>
        <w:tc>
          <w:tcPr>
            <w:tcW w:w="1431" w:type="dxa"/>
            <w:tcBorders>
              <w:top w:val="nil"/>
              <w:left w:val="nil"/>
              <w:bottom w:val="nil"/>
              <w:right w:val="nil"/>
            </w:tcBorders>
            <w:shd w:val="clear" w:color="auto" w:fill="auto"/>
            <w:hideMark/>
          </w:tcPr>
          <w:p w14:paraId="44E906F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Academic attainment and school absence</w:t>
            </w:r>
          </w:p>
        </w:tc>
        <w:tc>
          <w:tcPr>
            <w:tcW w:w="992" w:type="dxa"/>
            <w:tcBorders>
              <w:top w:val="nil"/>
              <w:left w:val="nil"/>
              <w:bottom w:val="nil"/>
              <w:right w:val="nil"/>
            </w:tcBorders>
            <w:shd w:val="clear" w:color="auto" w:fill="auto"/>
            <w:hideMark/>
          </w:tcPr>
          <w:p w14:paraId="3ABC0BC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5B1C2B3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1975 to 2002</w:t>
            </w:r>
          </w:p>
        </w:tc>
        <w:tc>
          <w:tcPr>
            <w:tcW w:w="1843" w:type="dxa"/>
            <w:tcBorders>
              <w:top w:val="nil"/>
              <w:left w:val="nil"/>
              <w:bottom w:val="nil"/>
              <w:right w:val="nil"/>
            </w:tcBorders>
            <w:shd w:val="clear" w:color="auto" w:fill="auto"/>
            <w:hideMark/>
          </w:tcPr>
          <w:p w14:paraId="62B345C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Industrialised countries with participants aged less than 18 at time of asthma onset.</w:t>
            </w:r>
          </w:p>
        </w:tc>
        <w:tc>
          <w:tcPr>
            <w:tcW w:w="1417" w:type="dxa"/>
            <w:tcBorders>
              <w:top w:val="nil"/>
              <w:left w:val="nil"/>
              <w:bottom w:val="nil"/>
              <w:right w:val="nil"/>
            </w:tcBorders>
            <w:shd w:val="clear" w:color="auto" w:fill="auto"/>
            <w:hideMark/>
          </w:tcPr>
          <w:p w14:paraId="1288F136"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12/29</w:t>
            </w:r>
          </w:p>
        </w:tc>
        <w:tc>
          <w:tcPr>
            <w:tcW w:w="1418" w:type="dxa"/>
            <w:tcBorders>
              <w:top w:val="nil"/>
              <w:left w:val="nil"/>
              <w:bottom w:val="nil"/>
              <w:right w:val="nil"/>
            </w:tcBorders>
          </w:tcPr>
          <w:p w14:paraId="6CD2F79E" w14:textId="174A4773" w:rsidR="007E1124" w:rsidRPr="004A5CB3" w:rsidRDefault="00B437FB"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(7), UK (3), Netherlands (1), New Zealand (1)</w:t>
            </w:r>
          </w:p>
        </w:tc>
        <w:tc>
          <w:tcPr>
            <w:tcW w:w="1134" w:type="dxa"/>
            <w:tcBorders>
              <w:top w:val="nil"/>
              <w:left w:val="nil"/>
              <w:bottom w:val="nil"/>
              <w:right w:val="nil"/>
            </w:tcBorders>
            <w:shd w:val="clear" w:color="auto" w:fill="auto"/>
            <w:hideMark/>
          </w:tcPr>
          <w:p w14:paraId="2A9A5925" w14:textId="04B347B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50 to 13,509 (273)</w:t>
            </w:r>
          </w:p>
        </w:tc>
        <w:tc>
          <w:tcPr>
            <w:tcW w:w="1559" w:type="dxa"/>
            <w:tcBorders>
              <w:top w:val="nil"/>
              <w:left w:val="nil"/>
              <w:bottom w:val="nil"/>
              <w:right w:val="nil"/>
            </w:tcBorders>
            <w:shd w:val="clear" w:color="auto" w:fill="auto"/>
            <w:hideMark/>
          </w:tcPr>
          <w:p w14:paraId="7E5AA09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Asymptomatic controls or general population data</w:t>
            </w:r>
          </w:p>
        </w:tc>
        <w:tc>
          <w:tcPr>
            <w:tcW w:w="3119" w:type="dxa"/>
            <w:tcBorders>
              <w:top w:val="nil"/>
              <w:left w:val="nil"/>
              <w:bottom w:val="nil"/>
              <w:right w:val="nil"/>
            </w:tcBorders>
            <w:shd w:val="clear" w:color="auto" w:fill="auto"/>
            <w:hideMark/>
          </w:tcPr>
          <w:p w14:paraId="75CF3A2F"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Absence rates were higher among children with asthma compared to those without, however, there were no differences in attainment except in one small study (n=50) which found severe asthma was associated with lower reading and mathematics scores at baseline. The majority of research was cross-sectional or case-control.</w:t>
            </w:r>
          </w:p>
        </w:tc>
      </w:tr>
      <w:tr w:rsidR="00DC5B17" w:rsidRPr="004A5CB3" w14:paraId="320EE31E" w14:textId="77777777" w:rsidTr="00DC5B17">
        <w:trPr>
          <w:trHeight w:val="66"/>
        </w:trPr>
        <w:tc>
          <w:tcPr>
            <w:tcW w:w="1123" w:type="dxa"/>
            <w:tcBorders>
              <w:top w:val="nil"/>
              <w:left w:val="nil"/>
              <w:bottom w:val="nil"/>
              <w:right w:val="nil"/>
            </w:tcBorders>
            <w:shd w:val="clear" w:color="auto" w:fill="auto"/>
          </w:tcPr>
          <w:p w14:paraId="5F89B86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4173C10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10C1D8B5"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7A3481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4E112D89"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040CCDC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7A3FA33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7666215D"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471AF4A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7027AA7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3CC3793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35DE1773" w14:textId="77777777" w:rsidTr="00F11368">
        <w:trPr>
          <w:trHeight w:val="1200"/>
        </w:trPr>
        <w:tc>
          <w:tcPr>
            <w:tcW w:w="1123" w:type="dxa"/>
            <w:tcBorders>
              <w:top w:val="nil"/>
              <w:left w:val="nil"/>
              <w:bottom w:val="nil"/>
              <w:right w:val="nil"/>
            </w:tcBorders>
            <w:shd w:val="clear" w:color="auto" w:fill="auto"/>
            <w:hideMark/>
          </w:tcPr>
          <w:p w14:paraId="2D96896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Schneider 2020</w:t>
            </w:r>
          </w:p>
        </w:tc>
        <w:tc>
          <w:tcPr>
            <w:tcW w:w="1133" w:type="dxa"/>
            <w:tcBorders>
              <w:top w:val="nil"/>
              <w:left w:val="nil"/>
              <w:bottom w:val="nil"/>
              <w:right w:val="nil"/>
            </w:tcBorders>
            <w:shd w:val="clear" w:color="auto" w:fill="auto"/>
            <w:hideMark/>
          </w:tcPr>
          <w:p w14:paraId="032215A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Asthma</w:t>
            </w:r>
          </w:p>
        </w:tc>
        <w:tc>
          <w:tcPr>
            <w:tcW w:w="1431" w:type="dxa"/>
            <w:tcBorders>
              <w:top w:val="nil"/>
              <w:left w:val="nil"/>
              <w:bottom w:val="nil"/>
              <w:right w:val="nil"/>
            </w:tcBorders>
            <w:shd w:val="clear" w:color="auto" w:fill="auto"/>
            <w:hideMark/>
          </w:tcPr>
          <w:p w14:paraId="4DA65ED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Educational achievement</w:t>
            </w:r>
          </w:p>
        </w:tc>
        <w:tc>
          <w:tcPr>
            <w:tcW w:w="992" w:type="dxa"/>
            <w:tcBorders>
              <w:top w:val="nil"/>
              <w:left w:val="nil"/>
              <w:bottom w:val="nil"/>
              <w:right w:val="nil"/>
            </w:tcBorders>
            <w:shd w:val="clear" w:color="auto" w:fill="auto"/>
            <w:hideMark/>
          </w:tcPr>
          <w:p w14:paraId="02916BE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 (studies in North America only)</w:t>
            </w:r>
          </w:p>
        </w:tc>
        <w:tc>
          <w:tcPr>
            <w:tcW w:w="992" w:type="dxa"/>
            <w:tcBorders>
              <w:top w:val="nil"/>
              <w:left w:val="nil"/>
              <w:bottom w:val="nil"/>
              <w:right w:val="nil"/>
            </w:tcBorders>
            <w:shd w:val="clear" w:color="auto" w:fill="auto"/>
            <w:hideMark/>
          </w:tcPr>
          <w:p w14:paraId="1FE42DF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2000 to 2017</w:t>
            </w:r>
          </w:p>
        </w:tc>
        <w:tc>
          <w:tcPr>
            <w:tcW w:w="1843" w:type="dxa"/>
            <w:tcBorders>
              <w:top w:val="nil"/>
              <w:left w:val="nil"/>
              <w:bottom w:val="nil"/>
              <w:right w:val="nil"/>
            </w:tcBorders>
            <w:shd w:val="clear" w:color="auto" w:fill="auto"/>
            <w:hideMark/>
          </w:tcPr>
          <w:p w14:paraId="0FC4426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10-18 year olds with an outcome pertaining to academic achievement.</w:t>
            </w:r>
          </w:p>
        </w:tc>
        <w:tc>
          <w:tcPr>
            <w:tcW w:w="1417" w:type="dxa"/>
            <w:tcBorders>
              <w:top w:val="nil"/>
              <w:left w:val="nil"/>
              <w:bottom w:val="nil"/>
              <w:right w:val="nil"/>
            </w:tcBorders>
            <w:shd w:val="clear" w:color="auto" w:fill="auto"/>
            <w:hideMark/>
          </w:tcPr>
          <w:p w14:paraId="7734934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10/20</w:t>
            </w:r>
          </w:p>
        </w:tc>
        <w:tc>
          <w:tcPr>
            <w:tcW w:w="1418" w:type="dxa"/>
            <w:tcBorders>
              <w:top w:val="nil"/>
              <w:left w:val="nil"/>
              <w:bottom w:val="nil"/>
              <w:right w:val="nil"/>
            </w:tcBorders>
          </w:tcPr>
          <w:p w14:paraId="612CCFD5" w14:textId="55210B53" w:rsidR="007E1124" w:rsidRPr="004A5CB3" w:rsidRDefault="006D023E"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(9), Canada (1)</w:t>
            </w:r>
          </w:p>
        </w:tc>
        <w:tc>
          <w:tcPr>
            <w:tcW w:w="1134" w:type="dxa"/>
            <w:tcBorders>
              <w:top w:val="nil"/>
              <w:left w:val="nil"/>
              <w:bottom w:val="nil"/>
              <w:right w:val="nil"/>
            </w:tcBorders>
            <w:shd w:val="clear" w:color="auto" w:fill="auto"/>
            <w:hideMark/>
          </w:tcPr>
          <w:p w14:paraId="37030287" w14:textId="747254D1"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57 to 300,881 (5706)</w:t>
            </w:r>
          </w:p>
        </w:tc>
        <w:tc>
          <w:tcPr>
            <w:tcW w:w="1559" w:type="dxa"/>
            <w:tcBorders>
              <w:top w:val="nil"/>
              <w:left w:val="nil"/>
              <w:bottom w:val="nil"/>
              <w:right w:val="nil"/>
            </w:tcBorders>
            <w:shd w:val="clear" w:color="auto" w:fill="auto"/>
            <w:hideMark/>
          </w:tcPr>
          <w:p w14:paraId="0984D913"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Healthy controls</w:t>
            </w:r>
          </w:p>
        </w:tc>
        <w:tc>
          <w:tcPr>
            <w:tcW w:w="3119" w:type="dxa"/>
            <w:tcBorders>
              <w:top w:val="nil"/>
              <w:left w:val="nil"/>
              <w:bottom w:val="nil"/>
              <w:right w:val="nil"/>
            </w:tcBorders>
            <w:shd w:val="clear" w:color="auto" w:fill="auto"/>
            <w:hideMark/>
          </w:tcPr>
          <w:p w14:paraId="4888742F" w14:textId="6BD8CCA3" w:rsidR="006D023E"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Out of eight observational studies, 5 showed that students with asthma performed worse academically than controls. Of two RCTs, both showed improvements in grades following treatment.</w:t>
            </w:r>
          </w:p>
        </w:tc>
      </w:tr>
      <w:tr w:rsidR="00DC5B17" w:rsidRPr="004A5CB3" w14:paraId="07597F23" w14:textId="77777777" w:rsidTr="00DC5B17">
        <w:trPr>
          <w:trHeight w:val="66"/>
        </w:trPr>
        <w:tc>
          <w:tcPr>
            <w:tcW w:w="1123" w:type="dxa"/>
            <w:tcBorders>
              <w:top w:val="nil"/>
              <w:left w:val="nil"/>
              <w:bottom w:val="nil"/>
              <w:right w:val="nil"/>
            </w:tcBorders>
            <w:shd w:val="clear" w:color="auto" w:fill="auto"/>
          </w:tcPr>
          <w:p w14:paraId="1BFB577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145654F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4F06ED3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57C7FEA5"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2E80F6B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24852D69"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242BDCB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41BEAAC6"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4AAA4F69"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02B5550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018C886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3148FAB9" w14:textId="77777777" w:rsidTr="00F11368">
        <w:trPr>
          <w:trHeight w:val="2400"/>
        </w:trPr>
        <w:tc>
          <w:tcPr>
            <w:tcW w:w="1123" w:type="dxa"/>
            <w:tcBorders>
              <w:top w:val="nil"/>
              <w:left w:val="nil"/>
              <w:bottom w:val="nil"/>
              <w:right w:val="nil"/>
            </w:tcBorders>
            <w:shd w:val="clear" w:color="auto" w:fill="auto"/>
            <w:hideMark/>
          </w:tcPr>
          <w:p w14:paraId="2436719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Polderman et al 2010</w:t>
            </w:r>
          </w:p>
        </w:tc>
        <w:tc>
          <w:tcPr>
            <w:tcW w:w="1133" w:type="dxa"/>
            <w:tcBorders>
              <w:top w:val="nil"/>
              <w:left w:val="nil"/>
              <w:bottom w:val="nil"/>
              <w:right w:val="nil"/>
            </w:tcBorders>
            <w:shd w:val="clear" w:color="auto" w:fill="auto"/>
            <w:hideMark/>
          </w:tcPr>
          <w:p w14:paraId="57B08D63"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Attention problems including ADHD</w:t>
            </w:r>
          </w:p>
        </w:tc>
        <w:tc>
          <w:tcPr>
            <w:tcW w:w="1431" w:type="dxa"/>
            <w:tcBorders>
              <w:top w:val="nil"/>
              <w:left w:val="nil"/>
              <w:bottom w:val="nil"/>
              <w:right w:val="nil"/>
            </w:tcBorders>
            <w:shd w:val="clear" w:color="auto" w:fill="auto"/>
            <w:hideMark/>
          </w:tcPr>
          <w:p w14:paraId="2B2CFF8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Academic achievement (including grade retention, drop-out, years of schooling and standardised tests)</w:t>
            </w:r>
          </w:p>
        </w:tc>
        <w:tc>
          <w:tcPr>
            <w:tcW w:w="992" w:type="dxa"/>
            <w:tcBorders>
              <w:top w:val="nil"/>
              <w:left w:val="nil"/>
              <w:bottom w:val="nil"/>
              <w:right w:val="nil"/>
            </w:tcBorders>
            <w:shd w:val="clear" w:color="auto" w:fill="auto"/>
            <w:hideMark/>
          </w:tcPr>
          <w:p w14:paraId="7852F15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No limits</w:t>
            </w:r>
          </w:p>
        </w:tc>
        <w:tc>
          <w:tcPr>
            <w:tcW w:w="992" w:type="dxa"/>
            <w:tcBorders>
              <w:top w:val="nil"/>
              <w:left w:val="nil"/>
              <w:bottom w:val="nil"/>
              <w:right w:val="nil"/>
            </w:tcBorders>
            <w:shd w:val="clear" w:color="auto" w:fill="auto"/>
            <w:hideMark/>
          </w:tcPr>
          <w:p w14:paraId="2100C17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2009</w:t>
            </w:r>
          </w:p>
        </w:tc>
        <w:tc>
          <w:tcPr>
            <w:tcW w:w="1843" w:type="dxa"/>
            <w:tcBorders>
              <w:top w:val="nil"/>
              <w:left w:val="nil"/>
              <w:bottom w:val="nil"/>
              <w:right w:val="nil"/>
            </w:tcBorders>
            <w:shd w:val="clear" w:color="auto" w:fill="auto"/>
            <w:hideMark/>
          </w:tcPr>
          <w:p w14:paraId="350BA510" w14:textId="14FE0609"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Longitudinal studies of attention deficit, hyperactivity/impulsivity or attention problems with academic achievement as outcome measures and no medical manipulation or focus on comorbid conditions.</w:t>
            </w:r>
          </w:p>
        </w:tc>
        <w:tc>
          <w:tcPr>
            <w:tcW w:w="1417" w:type="dxa"/>
            <w:tcBorders>
              <w:top w:val="nil"/>
              <w:left w:val="nil"/>
              <w:bottom w:val="nil"/>
              <w:right w:val="nil"/>
            </w:tcBorders>
            <w:shd w:val="clear" w:color="auto" w:fill="auto"/>
            <w:hideMark/>
          </w:tcPr>
          <w:p w14:paraId="1AC829B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15/16 (one study focused on effort in school work and confidence in performance)</w:t>
            </w:r>
          </w:p>
        </w:tc>
        <w:tc>
          <w:tcPr>
            <w:tcW w:w="1418" w:type="dxa"/>
            <w:tcBorders>
              <w:top w:val="nil"/>
              <w:left w:val="nil"/>
              <w:bottom w:val="nil"/>
              <w:right w:val="nil"/>
            </w:tcBorders>
          </w:tcPr>
          <w:p w14:paraId="74A62AD6" w14:textId="1BD8947D" w:rsidR="007E1124" w:rsidRPr="004A5CB3" w:rsidRDefault="006D023E"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(11), UK (2), USA, UK &amp; Canada (1), USA &amp; Canada (1)</w:t>
            </w:r>
          </w:p>
        </w:tc>
        <w:tc>
          <w:tcPr>
            <w:tcW w:w="1134" w:type="dxa"/>
            <w:tcBorders>
              <w:top w:val="nil"/>
              <w:left w:val="nil"/>
              <w:bottom w:val="nil"/>
              <w:right w:val="nil"/>
            </w:tcBorders>
            <w:shd w:val="clear" w:color="auto" w:fill="auto"/>
            <w:hideMark/>
          </w:tcPr>
          <w:p w14:paraId="0BF3F45F" w14:textId="0F2E0C9A"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73 to 34,837 (301)</w:t>
            </w:r>
          </w:p>
        </w:tc>
        <w:tc>
          <w:tcPr>
            <w:tcW w:w="1559" w:type="dxa"/>
            <w:tcBorders>
              <w:top w:val="nil"/>
              <w:left w:val="nil"/>
              <w:bottom w:val="nil"/>
              <w:right w:val="nil"/>
            </w:tcBorders>
            <w:shd w:val="clear" w:color="auto" w:fill="auto"/>
            <w:hideMark/>
          </w:tcPr>
          <w:p w14:paraId="28F2932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Analyses were either case vs control or were of continuous measures in "normal" populations</w:t>
            </w:r>
          </w:p>
        </w:tc>
        <w:tc>
          <w:tcPr>
            <w:tcW w:w="3119" w:type="dxa"/>
            <w:tcBorders>
              <w:top w:val="nil"/>
              <w:left w:val="nil"/>
              <w:bottom w:val="nil"/>
              <w:right w:val="nil"/>
            </w:tcBorders>
            <w:shd w:val="clear" w:color="auto" w:fill="auto"/>
            <w:hideMark/>
          </w:tcPr>
          <w:p w14:paraId="7D048400" w14:textId="772F763C" w:rsidR="007D18B8"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There was strong evidence (i.e., from two studies with the lowest risk of bias) that inattentive symptoms were predictive of lower academic achievement. In these two studies, hyperactive symptoms were no longer associated with achievement after adjusting for IQ and SES. There was, however, evidence from other studies at higher risk of bias that hyperactive symptoms were also a predictor of lower achievements.</w:t>
            </w:r>
          </w:p>
        </w:tc>
      </w:tr>
      <w:tr w:rsidR="00F11368" w:rsidRPr="004A5CB3" w14:paraId="2AC27289" w14:textId="77777777" w:rsidTr="00F11368">
        <w:trPr>
          <w:trHeight w:val="1200"/>
        </w:trPr>
        <w:tc>
          <w:tcPr>
            <w:tcW w:w="1123" w:type="dxa"/>
            <w:tcBorders>
              <w:top w:val="nil"/>
              <w:left w:val="nil"/>
              <w:bottom w:val="nil"/>
              <w:right w:val="nil"/>
            </w:tcBorders>
            <w:shd w:val="clear" w:color="auto" w:fill="auto"/>
            <w:hideMark/>
          </w:tcPr>
          <w:p w14:paraId="57C75576"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Schulte et al 2019</w:t>
            </w:r>
          </w:p>
        </w:tc>
        <w:tc>
          <w:tcPr>
            <w:tcW w:w="1133" w:type="dxa"/>
            <w:tcBorders>
              <w:top w:val="nil"/>
              <w:left w:val="nil"/>
              <w:bottom w:val="nil"/>
              <w:right w:val="nil"/>
            </w:tcBorders>
            <w:shd w:val="clear" w:color="auto" w:fill="auto"/>
            <w:hideMark/>
          </w:tcPr>
          <w:p w14:paraId="152669EF" w14:textId="5DBE4332" w:rsidR="007E1124" w:rsidRPr="004A5CB3" w:rsidRDefault="007E1124"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Cancer: </w:t>
            </w:r>
            <w:r w:rsidRPr="004A5CB3">
              <w:rPr>
                <w:rFonts w:ascii="Calibri" w:eastAsia="Times New Roman" w:hAnsi="Calibri" w:cs="Calibri"/>
                <w:color w:val="000000"/>
                <w:sz w:val="18"/>
                <w:szCs w:val="18"/>
                <w:lang w:eastAsia="en-GB"/>
              </w:rPr>
              <w:t xml:space="preserve">Central nervous system tumour </w:t>
            </w:r>
            <w:r w:rsidRPr="004A5CB3">
              <w:rPr>
                <w:rFonts w:ascii="Calibri" w:eastAsia="Times New Roman" w:hAnsi="Calibri" w:cs="Calibri"/>
                <w:color w:val="000000"/>
                <w:sz w:val="18"/>
                <w:szCs w:val="18"/>
                <w:lang w:eastAsia="en-GB"/>
              </w:rPr>
              <w:lastRenderedPageBreak/>
              <w:t>survivors</w:t>
            </w:r>
          </w:p>
        </w:tc>
        <w:tc>
          <w:tcPr>
            <w:tcW w:w="1431" w:type="dxa"/>
            <w:tcBorders>
              <w:top w:val="nil"/>
              <w:left w:val="nil"/>
              <w:bottom w:val="nil"/>
              <w:right w:val="nil"/>
            </w:tcBorders>
            <w:shd w:val="clear" w:color="auto" w:fill="auto"/>
            <w:hideMark/>
          </w:tcPr>
          <w:p w14:paraId="7DBAB60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 xml:space="preserve">Social attainment (including not graduating/completing </w:t>
            </w:r>
            <w:r w:rsidRPr="004A5CB3">
              <w:rPr>
                <w:rFonts w:ascii="Calibri" w:eastAsia="Times New Roman" w:hAnsi="Calibri" w:cs="Calibri"/>
                <w:color w:val="000000"/>
                <w:sz w:val="18"/>
                <w:szCs w:val="18"/>
                <w:lang w:eastAsia="en-GB"/>
              </w:rPr>
              <w:lastRenderedPageBreak/>
              <w:t>compulsory education)</w:t>
            </w:r>
          </w:p>
        </w:tc>
        <w:tc>
          <w:tcPr>
            <w:tcW w:w="992" w:type="dxa"/>
            <w:tcBorders>
              <w:top w:val="nil"/>
              <w:left w:val="nil"/>
              <w:bottom w:val="nil"/>
              <w:right w:val="nil"/>
            </w:tcBorders>
            <w:shd w:val="clear" w:color="auto" w:fill="auto"/>
            <w:hideMark/>
          </w:tcPr>
          <w:p w14:paraId="7EE66AA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English</w:t>
            </w:r>
          </w:p>
        </w:tc>
        <w:tc>
          <w:tcPr>
            <w:tcW w:w="992" w:type="dxa"/>
            <w:tcBorders>
              <w:top w:val="nil"/>
              <w:left w:val="nil"/>
              <w:bottom w:val="nil"/>
              <w:right w:val="nil"/>
            </w:tcBorders>
            <w:shd w:val="clear" w:color="auto" w:fill="auto"/>
            <w:hideMark/>
          </w:tcPr>
          <w:p w14:paraId="6896A4B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2011 to 2018</w:t>
            </w:r>
          </w:p>
        </w:tc>
        <w:tc>
          <w:tcPr>
            <w:tcW w:w="1843" w:type="dxa"/>
            <w:tcBorders>
              <w:top w:val="nil"/>
              <w:left w:val="nil"/>
              <w:bottom w:val="nil"/>
              <w:right w:val="nil"/>
            </w:tcBorders>
            <w:shd w:val="clear" w:color="auto" w:fill="auto"/>
            <w:hideMark/>
          </w:tcPr>
          <w:p w14:paraId="763AF4A5"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Diagnosed with CNS tumour &lt;21 yrs of age and describing outcomes at least 5 years post-diagnosis </w:t>
            </w:r>
            <w:r w:rsidRPr="004A5CB3">
              <w:rPr>
                <w:rFonts w:ascii="Calibri" w:eastAsia="Times New Roman" w:hAnsi="Calibri" w:cs="Calibri"/>
                <w:color w:val="000000"/>
                <w:sz w:val="18"/>
                <w:szCs w:val="18"/>
                <w:lang w:eastAsia="en-GB"/>
              </w:rPr>
              <w:lastRenderedPageBreak/>
              <w:t>or 2 years post-treatment.</w:t>
            </w:r>
          </w:p>
        </w:tc>
        <w:tc>
          <w:tcPr>
            <w:tcW w:w="1417" w:type="dxa"/>
            <w:tcBorders>
              <w:top w:val="nil"/>
              <w:left w:val="nil"/>
              <w:bottom w:val="nil"/>
              <w:right w:val="nil"/>
            </w:tcBorders>
            <w:shd w:val="clear" w:color="auto" w:fill="auto"/>
            <w:hideMark/>
          </w:tcPr>
          <w:p w14:paraId="4EC8662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4/45 included in meta-analysis</w:t>
            </w:r>
          </w:p>
        </w:tc>
        <w:tc>
          <w:tcPr>
            <w:tcW w:w="1418" w:type="dxa"/>
            <w:tcBorders>
              <w:top w:val="nil"/>
              <w:left w:val="nil"/>
              <w:bottom w:val="nil"/>
              <w:right w:val="nil"/>
            </w:tcBorders>
          </w:tcPr>
          <w:p w14:paraId="433C0BEC" w14:textId="4098B31A" w:rsidR="007E1124" w:rsidRPr="004A5CB3" w:rsidRDefault="00A62935"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Switzerland (1), Sweden (1), Finland (1), Norway (1)</w:t>
            </w:r>
          </w:p>
        </w:tc>
        <w:tc>
          <w:tcPr>
            <w:tcW w:w="1134" w:type="dxa"/>
            <w:tcBorders>
              <w:top w:val="nil"/>
              <w:left w:val="nil"/>
              <w:bottom w:val="nil"/>
              <w:right w:val="nil"/>
            </w:tcBorders>
            <w:shd w:val="clear" w:color="auto" w:fill="auto"/>
            <w:hideMark/>
          </w:tcPr>
          <w:p w14:paraId="7904156C" w14:textId="25C64B1B"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1,523 to 121,530 (5,085)</w:t>
            </w:r>
          </w:p>
        </w:tc>
        <w:tc>
          <w:tcPr>
            <w:tcW w:w="1559" w:type="dxa"/>
            <w:tcBorders>
              <w:top w:val="nil"/>
              <w:left w:val="nil"/>
              <w:bottom w:val="nil"/>
              <w:right w:val="nil"/>
            </w:tcBorders>
            <w:shd w:val="clear" w:color="auto" w:fill="auto"/>
            <w:hideMark/>
          </w:tcPr>
          <w:p w14:paraId="2CB6CAF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Healthy controls or population norms (controls only in meta-analysis)</w:t>
            </w:r>
          </w:p>
        </w:tc>
        <w:tc>
          <w:tcPr>
            <w:tcW w:w="3119" w:type="dxa"/>
            <w:tcBorders>
              <w:top w:val="nil"/>
              <w:left w:val="nil"/>
              <w:bottom w:val="nil"/>
              <w:right w:val="nil"/>
            </w:tcBorders>
            <w:shd w:val="clear" w:color="auto" w:fill="auto"/>
            <w:hideMark/>
          </w:tcPr>
          <w:p w14:paraId="7B9553F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Survivors of CNS cancers were more likely to have not graduated or only complete compulsory schooling: pooled OR: 1.87 (95% CI 1.66, 2.12).</w:t>
            </w:r>
          </w:p>
        </w:tc>
      </w:tr>
      <w:tr w:rsidR="00DC5B17" w:rsidRPr="004A5CB3" w14:paraId="32C973EC" w14:textId="77777777" w:rsidTr="00DC5B17">
        <w:trPr>
          <w:trHeight w:val="66"/>
        </w:trPr>
        <w:tc>
          <w:tcPr>
            <w:tcW w:w="1123" w:type="dxa"/>
            <w:tcBorders>
              <w:top w:val="nil"/>
              <w:left w:val="nil"/>
              <w:bottom w:val="nil"/>
              <w:right w:val="nil"/>
            </w:tcBorders>
            <w:shd w:val="clear" w:color="auto" w:fill="auto"/>
          </w:tcPr>
          <w:p w14:paraId="05CEFF3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71209A91"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0AD6AD7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68CA0473"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2919958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558A4F8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3619048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78D02BEC"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6531FE5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49F7F28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4820F0FA"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57568FF8" w14:textId="77777777" w:rsidTr="00F11368">
        <w:trPr>
          <w:trHeight w:val="1200"/>
        </w:trPr>
        <w:tc>
          <w:tcPr>
            <w:tcW w:w="1123" w:type="dxa"/>
            <w:tcBorders>
              <w:top w:val="nil"/>
              <w:left w:val="nil"/>
              <w:bottom w:val="nil"/>
              <w:right w:val="nil"/>
            </w:tcBorders>
            <w:shd w:val="clear" w:color="auto" w:fill="auto"/>
          </w:tcPr>
          <w:p w14:paraId="29DB60C0" w14:textId="06A03501"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Langevald et al 2002</w:t>
            </w:r>
          </w:p>
        </w:tc>
        <w:tc>
          <w:tcPr>
            <w:tcW w:w="1133" w:type="dxa"/>
            <w:tcBorders>
              <w:top w:val="nil"/>
              <w:left w:val="nil"/>
              <w:bottom w:val="nil"/>
              <w:right w:val="nil"/>
            </w:tcBorders>
            <w:shd w:val="clear" w:color="auto" w:fill="auto"/>
          </w:tcPr>
          <w:p w14:paraId="601B72ED" w14:textId="5DEEF320" w:rsidR="007E1124" w:rsidRDefault="007E1124" w:rsidP="008B7D33">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Cancer: </w:t>
            </w:r>
            <w:r w:rsidRPr="004A5CB3">
              <w:rPr>
                <w:rFonts w:ascii="Calibri" w:eastAsia="Times New Roman" w:hAnsi="Calibri" w:cs="Calibri"/>
                <w:color w:val="000000"/>
                <w:sz w:val="18"/>
                <w:szCs w:val="18"/>
                <w:lang w:eastAsia="en-GB"/>
              </w:rPr>
              <w:t>Survivors of childhood cancer</w:t>
            </w:r>
          </w:p>
        </w:tc>
        <w:tc>
          <w:tcPr>
            <w:tcW w:w="1431" w:type="dxa"/>
            <w:tcBorders>
              <w:top w:val="nil"/>
              <w:left w:val="nil"/>
              <w:bottom w:val="nil"/>
              <w:right w:val="nil"/>
            </w:tcBorders>
            <w:shd w:val="clear" w:color="auto" w:fill="auto"/>
          </w:tcPr>
          <w:p w14:paraId="1814CB63" w14:textId="5C7161DB"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Quality of life (various dimensions including education)</w:t>
            </w:r>
          </w:p>
        </w:tc>
        <w:tc>
          <w:tcPr>
            <w:tcW w:w="992" w:type="dxa"/>
            <w:tcBorders>
              <w:top w:val="nil"/>
              <w:left w:val="nil"/>
              <w:bottom w:val="nil"/>
              <w:right w:val="nil"/>
            </w:tcBorders>
            <w:shd w:val="clear" w:color="auto" w:fill="auto"/>
          </w:tcPr>
          <w:p w14:paraId="70CB4DE8" w14:textId="04C3E9D3"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tcPr>
          <w:p w14:paraId="4278BF48" w14:textId="6AEE0044"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2001</w:t>
            </w:r>
          </w:p>
        </w:tc>
        <w:tc>
          <w:tcPr>
            <w:tcW w:w="1843" w:type="dxa"/>
            <w:tcBorders>
              <w:top w:val="nil"/>
              <w:left w:val="nil"/>
              <w:bottom w:val="nil"/>
              <w:right w:val="nil"/>
            </w:tcBorders>
            <w:shd w:val="clear" w:color="auto" w:fill="auto"/>
          </w:tcPr>
          <w:p w14:paraId="2D4F0CB1" w14:textId="478D2EE2"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Studies with a matched control group or comparison with measurement norms. Participants must have had at least 5 years' survival from completion of therapy.</w:t>
            </w:r>
          </w:p>
        </w:tc>
        <w:tc>
          <w:tcPr>
            <w:tcW w:w="1417" w:type="dxa"/>
            <w:tcBorders>
              <w:top w:val="nil"/>
              <w:left w:val="nil"/>
              <w:bottom w:val="nil"/>
              <w:right w:val="nil"/>
            </w:tcBorders>
            <w:shd w:val="clear" w:color="auto" w:fill="auto"/>
          </w:tcPr>
          <w:p w14:paraId="4CA6AC7B" w14:textId="0E4C6973"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13/30</w:t>
            </w:r>
          </w:p>
        </w:tc>
        <w:tc>
          <w:tcPr>
            <w:tcW w:w="1418" w:type="dxa"/>
            <w:tcBorders>
              <w:top w:val="nil"/>
              <w:left w:val="nil"/>
              <w:bottom w:val="nil"/>
              <w:right w:val="nil"/>
            </w:tcBorders>
          </w:tcPr>
          <w:p w14:paraId="7631614A" w14:textId="72D45A7D" w:rsidR="007E1124" w:rsidRPr="004A5CB3" w:rsidRDefault="007D18B8" w:rsidP="008B7D33">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USA (7), Austria (1), Finland (1), Israel (1), </w:t>
            </w:r>
            <w:r w:rsidR="00921B8C">
              <w:rPr>
                <w:rFonts w:ascii="Calibri" w:eastAsia="Times New Roman" w:hAnsi="Calibri" w:cs="Calibri"/>
                <w:color w:val="000000"/>
                <w:sz w:val="18"/>
                <w:szCs w:val="18"/>
                <w:lang w:eastAsia="en-GB"/>
              </w:rPr>
              <w:t>Netherlands</w:t>
            </w:r>
            <w:r>
              <w:rPr>
                <w:rFonts w:ascii="Calibri" w:eastAsia="Times New Roman" w:hAnsi="Calibri" w:cs="Calibri"/>
                <w:color w:val="000000"/>
                <w:sz w:val="18"/>
                <w:szCs w:val="18"/>
                <w:lang w:eastAsia="en-GB"/>
              </w:rPr>
              <w:t xml:space="preserve"> (1), Norway (1), UK (1)</w:t>
            </w:r>
          </w:p>
        </w:tc>
        <w:tc>
          <w:tcPr>
            <w:tcW w:w="1134" w:type="dxa"/>
            <w:tcBorders>
              <w:top w:val="nil"/>
              <w:left w:val="nil"/>
              <w:bottom w:val="nil"/>
              <w:right w:val="nil"/>
            </w:tcBorders>
            <w:shd w:val="clear" w:color="auto" w:fill="auto"/>
          </w:tcPr>
          <w:p w14:paraId="3133BDC8" w14:textId="71A230A7"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40 to 5,544 (184)</w:t>
            </w:r>
          </w:p>
        </w:tc>
        <w:tc>
          <w:tcPr>
            <w:tcW w:w="1559" w:type="dxa"/>
            <w:tcBorders>
              <w:top w:val="nil"/>
              <w:left w:val="nil"/>
              <w:bottom w:val="nil"/>
              <w:right w:val="nil"/>
            </w:tcBorders>
            <w:shd w:val="clear" w:color="auto" w:fill="auto"/>
          </w:tcPr>
          <w:p w14:paraId="290465FE" w14:textId="604FFAA8"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Matched controls or population norms</w:t>
            </w:r>
          </w:p>
        </w:tc>
        <w:tc>
          <w:tcPr>
            <w:tcW w:w="3119" w:type="dxa"/>
            <w:tcBorders>
              <w:top w:val="nil"/>
              <w:left w:val="nil"/>
              <w:bottom w:val="nil"/>
              <w:right w:val="nil"/>
            </w:tcBorders>
            <w:shd w:val="clear" w:color="auto" w:fill="auto"/>
          </w:tcPr>
          <w:p w14:paraId="28C98DED" w14:textId="72D7C0B9" w:rsidR="00591380"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Most studies (all retrospective self-reports) found no differences in educational attainment with the exception of two studies on CNS tumours and two on ALL, which showed lower levels of education/poorer performance in survivors compared to controls (though in one study of ALL, this only applied when the cancer was diagnosed before 7 years).</w:t>
            </w:r>
          </w:p>
        </w:tc>
      </w:tr>
      <w:tr w:rsidR="00DC5B17" w:rsidRPr="004A5CB3" w14:paraId="18ABC00B" w14:textId="77777777" w:rsidTr="00DC5B17">
        <w:trPr>
          <w:trHeight w:val="66"/>
        </w:trPr>
        <w:tc>
          <w:tcPr>
            <w:tcW w:w="1123" w:type="dxa"/>
            <w:tcBorders>
              <w:top w:val="nil"/>
              <w:left w:val="nil"/>
              <w:bottom w:val="nil"/>
              <w:right w:val="nil"/>
            </w:tcBorders>
            <w:shd w:val="clear" w:color="auto" w:fill="auto"/>
          </w:tcPr>
          <w:p w14:paraId="195FE683"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0F1AF0C8" w14:textId="77777777" w:rsidR="00DC5B17" w:rsidRDefault="00DC5B17" w:rsidP="008B7D33">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1793DD2F"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1E991437"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1A94809"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063D7B1B"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7FA87BC5"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7DA120E9" w14:textId="77777777" w:rsidR="00DC5B17" w:rsidRDefault="00DC5B17" w:rsidP="008B7D33">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29787DA9"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0E798F58"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687CD95D"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r>
      <w:tr w:rsidR="00F11368" w:rsidRPr="004A5CB3" w14:paraId="5A71F1BD" w14:textId="77777777" w:rsidTr="00F11368">
        <w:trPr>
          <w:trHeight w:val="1200"/>
        </w:trPr>
        <w:tc>
          <w:tcPr>
            <w:tcW w:w="1123" w:type="dxa"/>
            <w:tcBorders>
              <w:top w:val="nil"/>
              <w:left w:val="nil"/>
              <w:bottom w:val="nil"/>
              <w:right w:val="nil"/>
            </w:tcBorders>
            <w:shd w:val="clear" w:color="auto" w:fill="auto"/>
          </w:tcPr>
          <w:p w14:paraId="2F3E7808" w14:textId="4DE38D50"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Molcho et al 2019</w:t>
            </w:r>
          </w:p>
        </w:tc>
        <w:tc>
          <w:tcPr>
            <w:tcW w:w="1133" w:type="dxa"/>
            <w:tcBorders>
              <w:top w:val="nil"/>
              <w:left w:val="nil"/>
              <w:bottom w:val="nil"/>
              <w:right w:val="nil"/>
            </w:tcBorders>
            <w:shd w:val="clear" w:color="auto" w:fill="auto"/>
          </w:tcPr>
          <w:p w14:paraId="0A8F9517" w14:textId="32F205DE" w:rsidR="007E1124" w:rsidRDefault="007E1124" w:rsidP="008B7D33">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Cancer: </w:t>
            </w:r>
            <w:r w:rsidRPr="004A5CB3">
              <w:rPr>
                <w:rFonts w:ascii="Calibri" w:eastAsia="Times New Roman" w:hAnsi="Calibri" w:cs="Calibri"/>
                <w:color w:val="000000"/>
                <w:sz w:val="18"/>
                <w:szCs w:val="18"/>
                <w:lang w:eastAsia="en-GB"/>
              </w:rPr>
              <w:t>Survivors of childhood cancer</w:t>
            </w:r>
          </w:p>
        </w:tc>
        <w:tc>
          <w:tcPr>
            <w:tcW w:w="1431" w:type="dxa"/>
            <w:tcBorders>
              <w:top w:val="nil"/>
              <w:left w:val="nil"/>
              <w:bottom w:val="nil"/>
              <w:right w:val="nil"/>
            </w:tcBorders>
            <w:shd w:val="clear" w:color="auto" w:fill="auto"/>
          </w:tcPr>
          <w:p w14:paraId="41574017" w14:textId="7BF86B61"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Academic attainment</w:t>
            </w:r>
          </w:p>
        </w:tc>
        <w:tc>
          <w:tcPr>
            <w:tcW w:w="992" w:type="dxa"/>
            <w:tcBorders>
              <w:top w:val="nil"/>
              <w:left w:val="nil"/>
              <w:bottom w:val="nil"/>
              <w:right w:val="nil"/>
            </w:tcBorders>
            <w:shd w:val="clear" w:color="auto" w:fill="auto"/>
          </w:tcPr>
          <w:p w14:paraId="4B4276B1" w14:textId="043C73AF"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tcPr>
          <w:p w14:paraId="4FD030F4" w14:textId="1E2EB567"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2005 to 2018</w:t>
            </w:r>
          </w:p>
        </w:tc>
        <w:tc>
          <w:tcPr>
            <w:tcW w:w="1843" w:type="dxa"/>
            <w:tcBorders>
              <w:top w:val="nil"/>
              <w:left w:val="nil"/>
              <w:bottom w:val="nil"/>
              <w:right w:val="nil"/>
            </w:tcBorders>
            <w:shd w:val="clear" w:color="auto" w:fill="auto"/>
          </w:tcPr>
          <w:p w14:paraId="00F2D384" w14:textId="00F1E612"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Studies of child onset cancer (to age 18) and educational attainment (graduation of primary, secondary or tertiary education). High income countries.</w:t>
            </w:r>
          </w:p>
        </w:tc>
        <w:tc>
          <w:tcPr>
            <w:tcW w:w="1417" w:type="dxa"/>
            <w:tcBorders>
              <w:top w:val="nil"/>
              <w:left w:val="nil"/>
              <w:bottom w:val="nil"/>
              <w:right w:val="nil"/>
            </w:tcBorders>
            <w:shd w:val="clear" w:color="auto" w:fill="auto"/>
          </w:tcPr>
          <w:p w14:paraId="7EA91E61" w14:textId="5B13F61D"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14/14</w:t>
            </w:r>
          </w:p>
        </w:tc>
        <w:tc>
          <w:tcPr>
            <w:tcW w:w="1418" w:type="dxa"/>
            <w:tcBorders>
              <w:top w:val="nil"/>
              <w:left w:val="nil"/>
              <w:bottom w:val="nil"/>
              <w:right w:val="nil"/>
            </w:tcBorders>
          </w:tcPr>
          <w:p w14:paraId="239A4466" w14:textId="571AAD6F" w:rsidR="007E1124" w:rsidRPr="004A5CB3" w:rsidRDefault="00020522" w:rsidP="008B7D33">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Sweden (3), </w:t>
            </w:r>
            <w:r w:rsidR="00921B8C">
              <w:rPr>
                <w:rFonts w:ascii="Calibri" w:eastAsia="Times New Roman" w:hAnsi="Calibri" w:cs="Calibri"/>
                <w:color w:val="000000"/>
                <w:sz w:val="18"/>
                <w:szCs w:val="18"/>
                <w:lang w:eastAsia="en-GB"/>
              </w:rPr>
              <w:t>Germany</w:t>
            </w:r>
            <w:r>
              <w:rPr>
                <w:rFonts w:ascii="Calibri" w:eastAsia="Times New Roman" w:hAnsi="Calibri" w:cs="Calibri"/>
                <w:color w:val="000000"/>
                <w:sz w:val="18"/>
                <w:szCs w:val="18"/>
                <w:lang w:eastAsia="en-GB"/>
              </w:rPr>
              <w:t xml:space="preserve"> (2), Netherlands (2), USA (2), France (1), Norway (1), Scandinavia (1), Swit</w:t>
            </w:r>
            <w:r w:rsidR="00623314">
              <w:rPr>
                <w:rFonts w:ascii="Calibri" w:eastAsia="Times New Roman" w:hAnsi="Calibri" w:cs="Calibri"/>
                <w:color w:val="000000"/>
                <w:sz w:val="18"/>
                <w:szCs w:val="18"/>
                <w:lang w:eastAsia="en-GB"/>
              </w:rPr>
              <w:t>z</w:t>
            </w:r>
            <w:r>
              <w:rPr>
                <w:rFonts w:ascii="Calibri" w:eastAsia="Times New Roman" w:hAnsi="Calibri" w:cs="Calibri"/>
                <w:color w:val="000000"/>
                <w:sz w:val="18"/>
                <w:szCs w:val="18"/>
                <w:lang w:eastAsia="en-GB"/>
              </w:rPr>
              <w:t>erland (1), Turkey (1)</w:t>
            </w:r>
          </w:p>
        </w:tc>
        <w:tc>
          <w:tcPr>
            <w:tcW w:w="1134" w:type="dxa"/>
            <w:tcBorders>
              <w:top w:val="nil"/>
              <w:left w:val="nil"/>
              <w:bottom w:val="nil"/>
              <w:right w:val="nil"/>
            </w:tcBorders>
            <w:shd w:val="clear" w:color="auto" w:fill="auto"/>
          </w:tcPr>
          <w:p w14:paraId="38FF6E9E" w14:textId="5F6E4001"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201 to 1,459,262 (201)</w:t>
            </w:r>
          </w:p>
        </w:tc>
        <w:tc>
          <w:tcPr>
            <w:tcW w:w="1559" w:type="dxa"/>
            <w:tcBorders>
              <w:top w:val="nil"/>
              <w:left w:val="nil"/>
              <w:bottom w:val="nil"/>
              <w:right w:val="nil"/>
            </w:tcBorders>
            <w:shd w:val="clear" w:color="auto" w:fill="auto"/>
          </w:tcPr>
          <w:p w14:paraId="3A4380AF" w14:textId="4655B86B"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Non-cancer control group or external population comparison</w:t>
            </w:r>
          </w:p>
        </w:tc>
        <w:tc>
          <w:tcPr>
            <w:tcW w:w="3119" w:type="dxa"/>
            <w:tcBorders>
              <w:top w:val="nil"/>
              <w:left w:val="nil"/>
              <w:bottom w:val="nil"/>
              <w:right w:val="nil"/>
            </w:tcBorders>
            <w:shd w:val="clear" w:color="auto" w:fill="auto"/>
          </w:tcPr>
          <w:p w14:paraId="4AAC98E2" w14:textId="252B2EAA"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Overall, four studies reported higher attainment in cancer survivors; six reported no differences; four reported lower attainment. Only two studies were rated as high quality and ten were considered adequate. Mixed findings may therefore be a result of too few high-quality studies. Four studies of CNS tumours consistently found poorer attainment in survivors. Results for haematological cancers were mixed.</w:t>
            </w:r>
          </w:p>
        </w:tc>
      </w:tr>
      <w:tr w:rsidR="00F11368" w:rsidRPr="004A5CB3" w14:paraId="0596E501" w14:textId="77777777" w:rsidTr="00F11368">
        <w:trPr>
          <w:trHeight w:val="1200"/>
        </w:trPr>
        <w:tc>
          <w:tcPr>
            <w:tcW w:w="1123" w:type="dxa"/>
            <w:tcBorders>
              <w:top w:val="nil"/>
              <w:left w:val="nil"/>
              <w:bottom w:val="nil"/>
              <w:right w:val="nil"/>
            </w:tcBorders>
            <w:shd w:val="clear" w:color="auto" w:fill="auto"/>
          </w:tcPr>
          <w:p w14:paraId="4ACB0B9C" w14:textId="06F8F992"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Saatci et al 2020</w:t>
            </w:r>
          </w:p>
        </w:tc>
        <w:tc>
          <w:tcPr>
            <w:tcW w:w="1133" w:type="dxa"/>
            <w:tcBorders>
              <w:top w:val="nil"/>
              <w:left w:val="nil"/>
              <w:bottom w:val="nil"/>
              <w:right w:val="nil"/>
            </w:tcBorders>
            <w:shd w:val="clear" w:color="auto" w:fill="auto"/>
          </w:tcPr>
          <w:p w14:paraId="6A894306" w14:textId="60034919" w:rsidR="007E1124" w:rsidRDefault="007E1124" w:rsidP="008B7D33">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Cancer: </w:t>
            </w:r>
            <w:r w:rsidRPr="004A5CB3">
              <w:rPr>
                <w:rFonts w:ascii="Calibri" w:eastAsia="Times New Roman" w:hAnsi="Calibri" w:cs="Calibri"/>
                <w:color w:val="000000"/>
                <w:sz w:val="18"/>
                <w:szCs w:val="18"/>
                <w:lang w:eastAsia="en-GB"/>
              </w:rPr>
              <w:t>Survivors of childhood cancer</w:t>
            </w:r>
          </w:p>
        </w:tc>
        <w:tc>
          <w:tcPr>
            <w:tcW w:w="1431" w:type="dxa"/>
            <w:tcBorders>
              <w:top w:val="nil"/>
              <w:left w:val="nil"/>
              <w:bottom w:val="nil"/>
              <w:right w:val="nil"/>
            </w:tcBorders>
            <w:shd w:val="clear" w:color="auto" w:fill="auto"/>
          </w:tcPr>
          <w:p w14:paraId="2EDD37D7" w14:textId="2982D86B"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Educational attainment</w:t>
            </w:r>
          </w:p>
        </w:tc>
        <w:tc>
          <w:tcPr>
            <w:tcW w:w="992" w:type="dxa"/>
            <w:tcBorders>
              <w:top w:val="nil"/>
              <w:left w:val="nil"/>
              <w:bottom w:val="nil"/>
              <w:right w:val="nil"/>
            </w:tcBorders>
            <w:shd w:val="clear" w:color="auto" w:fill="auto"/>
          </w:tcPr>
          <w:p w14:paraId="77B3F3D7" w14:textId="1BB55445"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No limits</w:t>
            </w:r>
            <w:r w:rsidRPr="004A5CB3">
              <w:rPr>
                <w:rFonts w:ascii="Calibri" w:eastAsia="Times New Roman" w:hAnsi="Calibri" w:cs="Calibri"/>
                <w:sz w:val="18"/>
                <w:szCs w:val="18"/>
                <w:lang w:eastAsia="en-GB"/>
              </w:rPr>
              <w:t xml:space="preserve"> </w:t>
            </w:r>
          </w:p>
        </w:tc>
        <w:tc>
          <w:tcPr>
            <w:tcW w:w="992" w:type="dxa"/>
            <w:tcBorders>
              <w:top w:val="nil"/>
              <w:left w:val="nil"/>
              <w:bottom w:val="nil"/>
              <w:right w:val="nil"/>
            </w:tcBorders>
            <w:shd w:val="clear" w:color="auto" w:fill="auto"/>
          </w:tcPr>
          <w:p w14:paraId="4D9E7CE9" w14:textId="166E94EA"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2018</w:t>
            </w:r>
          </w:p>
        </w:tc>
        <w:tc>
          <w:tcPr>
            <w:tcW w:w="1843" w:type="dxa"/>
            <w:tcBorders>
              <w:top w:val="nil"/>
              <w:left w:val="nil"/>
              <w:bottom w:val="nil"/>
              <w:right w:val="nil"/>
            </w:tcBorders>
            <w:shd w:val="clear" w:color="auto" w:fill="auto"/>
          </w:tcPr>
          <w:p w14:paraId="542ACF95" w14:textId="06B58CFF"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Survivors of childhood cancer (remission at least 2 years) after diagnosis, comparative study, reporting an education attainment outcome (completion of compulsory schooling; non-mandatory education; higher education)</w:t>
            </w:r>
          </w:p>
        </w:tc>
        <w:tc>
          <w:tcPr>
            <w:tcW w:w="1417" w:type="dxa"/>
            <w:tcBorders>
              <w:top w:val="nil"/>
              <w:left w:val="nil"/>
              <w:bottom w:val="nil"/>
              <w:right w:val="nil"/>
            </w:tcBorders>
            <w:shd w:val="clear" w:color="auto" w:fill="auto"/>
          </w:tcPr>
          <w:p w14:paraId="096A7846" w14:textId="3FF53FB8"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12 examining compulsory schooling out of 26</w:t>
            </w:r>
          </w:p>
        </w:tc>
        <w:tc>
          <w:tcPr>
            <w:tcW w:w="1418" w:type="dxa"/>
            <w:tcBorders>
              <w:top w:val="nil"/>
              <w:left w:val="nil"/>
              <w:bottom w:val="nil"/>
              <w:right w:val="nil"/>
            </w:tcBorders>
          </w:tcPr>
          <w:p w14:paraId="358A8394" w14:textId="345BE617" w:rsidR="007E1124" w:rsidRPr="004A5CB3" w:rsidRDefault="00191B2A" w:rsidP="008B7D33">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UK (2), USA (2), Sweden (1), Switzerland (1), Italy (1), USA &amp; Canada (1), Netherlands (1), Finland (1), Norway (1)</w:t>
            </w:r>
          </w:p>
        </w:tc>
        <w:tc>
          <w:tcPr>
            <w:tcW w:w="1134" w:type="dxa"/>
            <w:tcBorders>
              <w:top w:val="nil"/>
              <w:left w:val="nil"/>
              <w:bottom w:val="nil"/>
              <w:right w:val="nil"/>
            </w:tcBorders>
            <w:shd w:val="clear" w:color="auto" w:fill="auto"/>
          </w:tcPr>
          <w:p w14:paraId="5494D38B" w14:textId="703ED551"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to 74 to 1,457,805 (982)</w:t>
            </w:r>
          </w:p>
        </w:tc>
        <w:tc>
          <w:tcPr>
            <w:tcW w:w="1559" w:type="dxa"/>
            <w:tcBorders>
              <w:top w:val="nil"/>
              <w:left w:val="nil"/>
              <w:bottom w:val="nil"/>
              <w:right w:val="nil"/>
            </w:tcBorders>
            <w:shd w:val="clear" w:color="auto" w:fill="auto"/>
          </w:tcPr>
          <w:p w14:paraId="6C846B96" w14:textId="3E381D8B"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Matched controls, siblings or population controls</w:t>
            </w:r>
          </w:p>
        </w:tc>
        <w:tc>
          <w:tcPr>
            <w:tcW w:w="3119" w:type="dxa"/>
            <w:tcBorders>
              <w:top w:val="nil"/>
              <w:left w:val="nil"/>
              <w:bottom w:val="nil"/>
              <w:right w:val="nil"/>
            </w:tcBorders>
            <w:shd w:val="clear" w:color="auto" w:fill="auto"/>
          </w:tcPr>
          <w:p w14:paraId="2F204F81" w14:textId="48B57586"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The pooled OR for only completing secondary education by survivors of childhood cancer vs controls was 1.36 (1.28, 1.43). When examining only CNS tumour survivors, the pooled OR was higher: 1.77 (1.46 to 2.15). When examining survivors with CNS-mediated therapy (e.g., CNS tumour and leukaemia), the pooled OR was similar to the main analysis: 1.38 (1.29, 1.48). However, even among survivors with no CNS involvement, odds of completing compulsory education only remained higher: pooled OR 1.19 (1.00, 1.42).</w:t>
            </w:r>
          </w:p>
        </w:tc>
      </w:tr>
      <w:tr w:rsidR="00DC5B17" w:rsidRPr="004A5CB3" w14:paraId="7D3C953D" w14:textId="77777777" w:rsidTr="00DC5B17">
        <w:trPr>
          <w:trHeight w:val="66"/>
        </w:trPr>
        <w:tc>
          <w:tcPr>
            <w:tcW w:w="1123" w:type="dxa"/>
            <w:tcBorders>
              <w:top w:val="nil"/>
              <w:left w:val="nil"/>
              <w:bottom w:val="nil"/>
              <w:right w:val="nil"/>
            </w:tcBorders>
            <w:shd w:val="clear" w:color="auto" w:fill="auto"/>
          </w:tcPr>
          <w:p w14:paraId="4714E129"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070ECCAC" w14:textId="77777777" w:rsidR="00DC5B17" w:rsidRDefault="00DC5B17" w:rsidP="008B7D33">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5DCE8FBD"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586D3AC6"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1749418"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20625894"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77ECE2FB"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55CCA062" w14:textId="77777777" w:rsidR="00DC5B17" w:rsidRDefault="00DC5B17" w:rsidP="008B7D33">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2631AA57"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5A60A42B"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4886FA49"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r>
      <w:tr w:rsidR="00F11368" w:rsidRPr="004A5CB3" w14:paraId="20291C79" w14:textId="77777777" w:rsidTr="00F11368">
        <w:trPr>
          <w:trHeight w:val="2400"/>
        </w:trPr>
        <w:tc>
          <w:tcPr>
            <w:tcW w:w="1123" w:type="dxa"/>
            <w:tcBorders>
              <w:top w:val="nil"/>
              <w:left w:val="nil"/>
              <w:bottom w:val="nil"/>
              <w:right w:val="nil"/>
            </w:tcBorders>
            <w:shd w:val="clear" w:color="auto" w:fill="auto"/>
            <w:hideMark/>
          </w:tcPr>
          <w:p w14:paraId="00B0C2EC"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Chen et al 2018</w:t>
            </w:r>
          </w:p>
        </w:tc>
        <w:tc>
          <w:tcPr>
            <w:tcW w:w="1133" w:type="dxa"/>
            <w:tcBorders>
              <w:top w:val="nil"/>
              <w:left w:val="nil"/>
              <w:bottom w:val="nil"/>
              <w:right w:val="nil"/>
            </w:tcBorders>
            <w:shd w:val="clear" w:color="auto" w:fill="auto"/>
            <w:hideMark/>
          </w:tcPr>
          <w:p w14:paraId="1832805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Chronic kidney disease</w:t>
            </w:r>
          </w:p>
        </w:tc>
        <w:tc>
          <w:tcPr>
            <w:tcW w:w="1431" w:type="dxa"/>
            <w:tcBorders>
              <w:top w:val="nil"/>
              <w:left w:val="nil"/>
              <w:bottom w:val="nil"/>
              <w:right w:val="nil"/>
            </w:tcBorders>
            <w:shd w:val="clear" w:color="auto" w:fill="auto"/>
            <w:hideMark/>
          </w:tcPr>
          <w:p w14:paraId="64729B0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Neurocognitive or academic outcomes</w:t>
            </w:r>
          </w:p>
        </w:tc>
        <w:tc>
          <w:tcPr>
            <w:tcW w:w="992" w:type="dxa"/>
            <w:tcBorders>
              <w:top w:val="nil"/>
              <w:left w:val="nil"/>
              <w:bottom w:val="nil"/>
              <w:right w:val="nil"/>
            </w:tcBorders>
            <w:shd w:val="clear" w:color="auto" w:fill="auto"/>
            <w:hideMark/>
          </w:tcPr>
          <w:p w14:paraId="1BB2C9A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No limits</w:t>
            </w:r>
          </w:p>
        </w:tc>
        <w:tc>
          <w:tcPr>
            <w:tcW w:w="992" w:type="dxa"/>
            <w:tcBorders>
              <w:top w:val="nil"/>
              <w:left w:val="nil"/>
              <w:bottom w:val="nil"/>
              <w:right w:val="nil"/>
            </w:tcBorders>
            <w:shd w:val="clear" w:color="auto" w:fill="auto"/>
            <w:hideMark/>
          </w:tcPr>
          <w:p w14:paraId="34EDF25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2016</w:t>
            </w:r>
          </w:p>
        </w:tc>
        <w:tc>
          <w:tcPr>
            <w:tcW w:w="1843" w:type="dxa"/>
            <w:tcBorders>
              <w:top w:val="nil"/>
              <w:left w:val="nil"/>
              <w:bottom w:val="nil"/>
              <w:right w:val="nil"/>
            </w:tcBorders>
            <w:shd w:val="clear" w:color="auto" w:fill="auto"/>
            <w:hideMark/>
          </w:tcPr>
          <w:p w14:paraId="2777C19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Prospective cohorts and cross-sectional designs in children and adolescents (aged &lt;21 yr). </w:t>
            </w:r>
          </w:p>
        </w:tc>
        <w:tc>
          <w:tcPr>
            <w:tcW w:w="1417" w:type="dxa"/>
            <w:tcBorders>
              <w:top w:val="nil"/>
              <w:left w:val="nil"/>
              <w:bottom w:val="nil"/>
              <w:right w:val="nil"/>
            </w:tcBorders>
            <w:shd w:val="clear" w:color="auto" w:fill="auto"/>
            <w:hideMark/>
          </w:tcPr>
          <w:p w14:paraId="38497AB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10/34</w:t>
            </w:r>
          </w:p>
        </w:tc>
        <w:tc>
          <w:tcPr>
            <w:tcW w:w="1418" w:type="dxa"/>
            <w:tcBorders>
              <w:top w:val="nil"/>
              <w:left w:val="nil"/>
              <w:bottom w:val="nil"/>
              <w:right w:val="nil"/>
            </w:tcBorders>
          </w:tcPr>
          <w:p w14:paraId="34C9A1B0" w14:textId="64A26BA3" w:rsidR="007E1124" w:rsidRPr="004A5CB3" w:rsidRDefault="00740CB7"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(8), Canada (2)</w:t>
            </w:r>
          </w:p>
        </w:tc>
        <w:tc>
          <w:tcPr>
            <w:tcW w:w="1134" w:type="dxa"/>
            <w:tcBorders>
              <w:top w:val="nil"/>
              <w:left w:val="nil"/>
              <w:bottom w:val="nil"/>
              <w:right w:val="nil"/>
            </w:tcBorders>
            <w:shd w:val="clear" w:color="auto" w:fill="auto"/>
            <w:hideMark/>
          </w:tcPr>
          <w:p w14:paraId="75F6A529" w14:textId="1DE6A80C"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21 to 368 (41)</w:t>
            </w:r>
          </w:p>
        </w:tc>
        <w:tc>
          <w:tcPr>
            <w:tcW w:w="1559" w:type="dxa"/>
            <w:tcBorders>
              <w:top w:val="nil"/>
              <w:left w:val="nil"/>
              <w:bottom w:val="nil"/>
              <w:right w:val="nil"/>
            </w:tcBorders>
            <w:shd w:val="clear" w:color="auto" w:fill="auto"/>
            <w:hideMark/>
          </w:tcPr>
          <w:p w14:paraId="122B0371" w14:textId="57CC9F2B"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Either healthy controls or between different stages (e.g., on dialysis vs received transplant) or with population norms</w:t>
            </w:r>
            <w:r w:rsidR="00DC5B17">
              <w:rPr>
                <w:rFonts w:ascii="Calibri" w:eastAsia="Times New Roman" w:hAnsi="Calibri" w:cs="Calibri"/>
                <w:color w:val="000000"/>
                <w:sz w:val="18"/>
                <w:szCs w:val="18"/>
                <w:lang w:eastAsia="en-GB"/>
              </w:rPr>
              <w:t>.</w:t>
            </w:r>
          </w:p>
        </w:tc>
        <w:tc>
          <w:tcPr>
            <w:tcW w:w="3119" w:type="dxa"/>
            <w:tcBorders>
              <w:top w:val="nil"/>
              <w:left w:val="nil"/>
              <w:bottom w:val="nil"/>
              <w:right w:val="nil"/>
            </w:tcBorders>
            <w:shd w:val="clear" w:color="auto" w:fill="auto"/>
            <w:hideMark/>
          </w:tcPr>
          <w:p w14:paraId="172FCF1C" w14:textId="157C81B1"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Children with chronic kidney disease performed worse than those without, especially those on dialysis, at clinically meaningful levels.</w:t>
            </w:r>
          </w:p>
        </w:tc>
      </w:tr>
      <w:tr w:rsidR="00DC5B17" w:rsidRPr="004A5CB3" w14:paraId="3265F281" w14:textId="77777777" w:rsidTr="00DC5B17">
        <w:trPr>
          <w:trHeight w:val="66"/>
        </w:trPr>
        <w:tc>
          <w:tcPr>
            <w:tcW w:w="1123" w:type="dxa"/>
            <w:tcBorders>
              <w:top w:val="nil"/>
              <w:left w:val="nil"/>
              <w:bottom w:val="nil"/>
              <w:right w:val="nil"/>
            </w:tcBorders>
            <w:shd w:val="clear" w:color="auto" w:fill="auto"/>
          </w:tcPr>
          <w:p w14:paraId="39F10BE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6F6339C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4CAD1183"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2685B6A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2BD7D0F"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6A73987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6FACFC59"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5A59CA7B"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41B9BD1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0D98884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2FB0F2F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576BFF56" w14:textId="77777777" w:rsidTr="00F11368">
        <w:trPr>
          <w:trHeight w:val="2400"/>
        </w:trPr>
        <w:tc>
          <w:tcPr>
            <w:tcW w:w="1123" w:type="dxa"/>
            <w:tcBorders>
              <w:top w:val="nil"/>
              <w:left w:val="nil"/>
              <w:bottom w:val="nil"/>
              <w:right w:val="nil"/>
            </w:tcBorders>
            <w:shd w:val="clear" w:color="auto" w:fill="auto"/>
          </w:tcPr>
          <w:p w14:paraId="2D2FB835" w14:textId="7C3525C9"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Alsaggaf &amp; Coyne 2020</w:t>
            </w:r>
          </w:p>
        </w:tc>
        <w:tc>
          <w:tcPr>
            <w:tcW w:w="1133" w:type="dxa"/>
            <w:tcBorders>
              <w:top w:val="nil"/>
              <w:left w:val="nil"/>
              <w:bottom w:val="nil"/>
              <w:right w:val="nil"/>
            </w:tcBorders>
            <w:shd w:val="clear" w:color="auto" w:fill="auto"/>
          </w:tcPr>
          <w:p w14:paraId="1ABA9FA6" w14:textId="1DF786EF"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Chronic pain</w:t>
            </w:r>
          </w:p>
        </w:tc>
        <w:tc>
          <w:tcPr>
            <w:tcW w:w="1431" w:type="dxa"/>
            <w:tcBorders>
              <w:top w:val="nil"/>
              <w:left w:val="nil"/>
              <w:bottom w:val="nil"/>
              <w:right w:val="nil"/>
            </w:tcBorders>
            <w:shd w:val="clear" w:color="auto" w:fill="auto"/>
          </w:tcPr>
          <w:p w14:paraId="048B6758" w14:textId="3C003C7E"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School functioning (attendance, attainment, competence, physical activities, social relationships) and school personnel responses to managing pain in schools.</w:t>
            </w:r>
          </w:p>
        </w:tc>
        <w:tc>
          <w:tcPr>
            <w:tcW w:w="992" w:type="dxa"/>
            <w:tcBorders>
              <w:top w:val="nil"/>
              <w:left w:val="nil"/>
              <w:bottom w:val="nil"/>
              <w:right w:val="nil"/>
            </w:tcBorders>
            <w:shd w:val="clear" w:color="auto" w:fill="auto"/>
          </w:tcPr>
          <w:p w14:paraId="73084BBF" w14:textId="701D740E"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tcPr>
          <w:p w14:paraId="204EC1BE" w14:textId="34FA2576"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2018</w:t>
            </w:r>
          </w:p>
        </w:tc>
        <w:tc>
          <w:tcPr>
            <w:tcW w:w="1843" w:type="dxa"/>
            <w:tcBorders>
              <w:top w:val="nil"/>
              <w:left w:val="nil"/>
              <w:bottom w:val="nil"/>
              <w:right w:val="nil"/>
            </w:tcBorders>
            <w:shd w:val="clear" w:color="auto" w:fill="auto"/>
          </w:tcPr>
          <w:p w14:paraId="086B6A79" w14:textId="7B7BFAC0"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Studies were either of adolescents aged 12-19 years "medically diagnosed" with chronic pain or parents of adolescents "struggling with chronic pain" or school staff. All quantitative or qualitative designs were eligible.</w:t>
            </w:r>
          </w:p>
        </w:tc>
        <w:tc>
          <w:tcPr>
            <w:tcW w:w="1417" w:type="dxa"/>
            <w:tcBorders>
              <w:top w:val="nil"/>
              <w:left w:val="nil"/>
              <w:bottom w:val="nil"/>
              <w:right w:val="nil"/>
            </w:tcBorders>
            <w:shd w:val="clear" w:color="auto" w:fill="auto"/>
          </w:tcPr>
          <w:p w14:paraId="1BE04C45" w14:textId="5E4FA49D"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2/14</w:t>
            </w:r>
          </w:p>
        </w:tc>
        <w:tc>
          <w:tcPr>
            <w:tcW w:w="1418" w:type="dxa"/>
            <w:tcBorders>
              <w:top w:val="nil"/>
              <w:left w:val="nil"/>
              <w:bottom w:val="nil"/>
              <w:right w:val="nil"/>
            </w:tcBorders>
          </w:tcPr>
          <w:p w14:paraId="34E7E62D" w14:textId="54413854" w:rsidR="007E1124" w:rsidRPr="004A5CB3" w:rsidRDefault="009310D6" w:rsidP="008B7D33">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(1), UK (1)</w:t>
            </w:r>
          </w:p>
        </w:tc>
        <w:tc>
          <w:tcPr>
            <w:tcW w:w="1134" w:type="dxa"/>
            <w:tcBorders>
              <w:top w:val="nil"/>
              <w:left w:val="nil"/>
              <w:bottom w:val="nil"/>
              <w:right w:val="nil"/>
            </w:tcBorders>
            <w:shd w:val="clear" w:color="auto" w:fill="auto"/>
          </w:tcPr>
          <w:p w14:paraId="06DAC245" w14:textId="364CA1CC"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10 and 220</w:t>
            </w:r>
          </w:p>
        </w:tc>
        <w:tc>
          <w:tcPr>
            <w:tcW w:w="1559" w:type="dxa"/>
            <w:tcBorders>
              <w:top w:val="nil"/>
              <w:left w:val="nil"/>
              <w:bottom w:val="nil"/>
              <w:right w:val="nil"/>
            </w:tcBorders>
            <w:shd w:val="clear" w:color="auto" w:fill="auto"/>
          </w:tcPr>
          <w:p w14:paraId="115B8452" w14:textId="1509E6FA"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None</w:t>
            </w:r>
          </w:p>
        </w:tc>
        <w:tc>
          <w:tcPr>
            <w:tcW w:w="3119" w:type="dxa"/>
            <w:tcBorders>
              <w:top w:val="nil"/>
              <w:left w:val="nil"/>
              <w:bottom w:val="nil"/>
              <w:right w:val="nil"/>
            </w:tcBorders>
            <w:shd w:val="clear" w:color="auto" w:fill="auto"/>
          </w:tcPr>
          <w:p w14:paraId="7EEFFA8D" w14:textId="37EEC5A2"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In one study (USA, n=220), parents reported grades before and after pain onset and parents and adolescents gave subjective reports of the impact of pain on academic performance using a 10cm visual analogue scale. Half of parents reported no change in grades and 44% reported a decline. Adolescents and parents reported moderate pain interference with performance. In the other (UK, n=10), 4/10 participants reported having repeated a school year.</w:t>
            </w:r>
          </w:p>
        </w:tc>
      </w:tr>
      <w:tr w:rsidR="00DC5B17" w:rsidRPr="004A5CB3" w14:paraId="1D5C6498" w14:textId="77777777" w:rsidTr="00DC5B17">
        <w:trPr>
          <w:trHeight w:val="66"/>
        </w:trPr>
        <w:tc>
          <w:tcPr>
            <w:tcW w:w="1123" w:type="dxa"/>
            <w:tcBorders>
              <w:top w:val="nil"/>
              <w:left w:val="nil"/>
              <w:bottom w:val="nil"/>
              <w:right w:val="nil"/>
            </w:tcBorders>
            <w:shd w:val="clear" w:color="auto" w:fill="auto"/>
          </w:tcPr>
          <w:p w14:paraId="78310A6A"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0C6985FD"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4745E997"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601F25E9"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25FE569B"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294D2E8F"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10FFEAE9"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44E3A0A5" w14:textId="77777777" w:rsidR="00DC5B17" w:rsidRDefault="00DC5B17" w:rsidP="008B7D33">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6B96B607"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0FD20D74"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085AC5A1"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r>
      <w:tr w:rsidR="00F11368" w:rsidRPr="004A5CB3" w14:paraId="706A4E47" w14:textId="77777777" w:rsidTr="00F11368">
        <w:trPr>
          <w:trHeight w:val="2400"/>
        </w:trPr>
        <w:tc>
          <w:tcPr>
            <w:tcW w:w="1123" w:type="dxa"/>
            <w:tcBorders>
              <w:top w:val="nil"/>
              <w:left w:val="nil"/>
              <w:bottom w:val="nil"/>
              <w:right w:val="nil"/>
            </w:tcBorders>
            <w:shd w:val="clear" w:color="auto" w:fill="auto"/>
          </w:tcPr>
          <w:p w14:paraId="0355289D" w14:textId="5E20B642"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Ragnarsson et al 2020</w:t>
            </w:r>
          </w:p>
        </w:tc>
        <w:tc>
          <w:tcPr>
            <w:tcW w:w="1133" w:type="dxa"/>
            <w:tcBorders>
              <w:top w:val="nil"/>
              <w:left w:val="nil"/>
              <w:bottom w:val="nil"/>
              <w:right w:val="nil"/>
            </w:tcBorders>
            <w:shd w:val="clear" w:color="auto" w:fill="auto"/>
          </w:tcPr>
          <w:p w14:paraId="7503B40C" w14:textId="27FCFD16"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Chronic pain</w:t>
            </w:r>
          </w:p>
        </w:tc>
        <w:tc>
          <w:tcPr>
            <w:tcW w:w="1431" w:type="dxa"/>
            <w:tcBorders>
              <w:top w:val="nil"/>
              <w:left w:val="nil"/>
              <w:bottom w:val="nil"/>
              <w:right w:val="nil"/>
            </w:tcBorders>
            <w:shd w:val="clear" w:color="auto" w:fill="auto"/>
          </w:tcPr>
          <w:p w14:paraId="2A1F263A" w14:textId="2F85F92E"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Academic achievement</w:t>
            </w:r>
          </w:p>
        </w:tc>
        <w:tc>
          <w:tcPr>
            <w:tcW w:w="992" w:type="dxa"/>
            <w:tcBorders>
              <w:top w:val="nil"/>
              <w:left w:val="nil"/>
              <w:bottom w:val="nil"/>
              <w:right w:val="nil"/>
            </w:tcBorders>
            <w:shd w:val="clear" w:color="auto" w:fill="auto"/>
          </w:tcPr>
          <w:p w14:paraId="080A3ED7" w14:textId="41B5186D"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 or Swedish</w:t>
            </w:r>
          </w:p>
        </w:tc>
        <w:tc>
          <w:tcPr>
            <w:tcW w:w="992" w:type="dxa"/>
            <w:tcBorders>
              <w:top w:val="nil"/>
              <w:left w:val="nil"/>
              <w:bottom w:val="nil"/>
              <w:right w:val="nil"/>
            </w:tcBorders>
            <w:shd w:val="clear" w:color="auto" w:fill="auto"/>
          </w:tcPr>
          <w:p w14:paraId="0C196153" w14:textId="5B76E8B6"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1990 to 2018</w:t>
            </w:r>
          </w:p>
        </w:tc>
        <w:tc>
          <w:tcPr>
            <w:tcW w:w="1843" w:type="dxa"/>
            <w:tcBorders>
              <w:top w:val="nil"/>
              <w:left w:val="nil"/>
              <w:bottom w:val="nil"/>
              <w:right w:val="nil"/>
            </w:tcBorders>
            <w:shd w:val="clear" w:color="auto" w:fill="auto"/>
          </w:tcPr>
          <w:p w14:paraId="44B76EDD" w14:textId="7BCA6328"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Recurrent pain (pain of at least 3 months' duration) and educational achievement. Studies must have had a recurrent pain-free control group.</w:t>
            </w:r>
          </w:p>
        </w:tc>
        <w:tc>
          <w:tcPr>
            <w:tcW w:w="1417" w:type="dxa"/>
            <w:tcBorders>
              <w:top w:val="nil"/>
              <w:left w:val="nil"/>
              <w:bottom w:val="nil"/>
              <w:right w:val="nil"/>
            </w:tcBorders>
            <w:shd w:val="clear" w:color="auto" w:fill="auto"/>
          </w:tcPr>
          <w:p w14:paraId="4C24F996" w14:textId="1E4AFBF4"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21/21</w:t>
            </w:r>
          </w:p>
        </w:tc>
        <w:tc>
          <w:tcPr>
            <w:tcW w:w="1418" w:type="dxa"/>
            <w:tcBorders>
              <w:top w:val="nil"/>
              <w:left w:val="nil"/>
              <w:bottom w:val="nil"/>
              <w:right w:val="nil"/>
            </w:tcBorders>
          </w:tcPr>
          <w:p w14:paraId="33058CB7" w14:textId="7E323A0C" w:rsidR="007E1124" w:rsidRPr="004A5CB3" w:rsidRDefault="009310D6" w:rsidP="008B7D33">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USA (4), Malaysia (2), Brazil (2), Turkey (2), Finland &amp; Sweden (1), New Zealand (1), Finland (1), Switzerland (1), Sri Lanka (1), Canada (1), </w:t>
            </w:r>
            <w:r w:rsidR="00921B8C">
              <w:rPr>
                <w:rFonts w:ascii="Calibri" w:eastAsia="Times New Roman" w:hAnsi="Calibri" w:cs="Calibri"/>
                <w:color w:val="000000"/>
                <w:sz w:val="18"/>
                <w:szCs w:val="18"/>
                <w:lang w:eastAsia="en-GB"/>
              </w:rPr>
              <w:t>Belgium</w:t>
            </w:r>
            <w:r>
              <w:rPr>
                <w:rFonts w:ascii="Calibri" w:eastAsia="Times New Roman" w:hAnsi="Calibri" w:cs="Calibri"/>
                <w:color w:val="000000"/>
                <w:sz w:val="18"/>
                <w:szCs w:val="18"/>
                <w:lang w:eastAsia="en-GB"/>
              </w:rPr>
              <w:t xml:space="preserve"> (1), Greece (1), USA &amp; Canada (1), Italy (1), Kuwait (1)</w:t>
            </w:r>
          </w:p>
        </w:tc>
        <w:tc>
          <w:tcPr>
            <w:tcW w:w="1134" w:type="dxa"/>
            <w:tcBorders>
              <w:top w:val="nil"/>
              <w:left w:val="nil"/>
              <w:bottom w:val="nil"/>
              <w:right w:val="nil"/>
            </w:tcBorders>
            <w:shd w:val="clear" w:color="auto" w:fill="auto"/>
          </w:tcPr>
          <w:p w14:paraId="4187DF83" w14:textId="3F7628BC"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57 to 21,065 (971)</w:t>
            </w:r>
          </w:p>
        </w:tc>
        <w:tc>
          <w:tcPr>
            <w:tcW w:w="1559" w:type="dxa"/>
            <w:tcBorders>
              <w:top w:val="nil"/>
              <w:left w:val="nil"/>
              <w:bottom w:val="nil"/>
              <w:right w:val="nil"/>
            </w:tcBorders>
            <w:shd w:val="clear" w:color="auto" w:fill="auto"/>
          </w:tcPr>
          <w:p w14:paraId="14966D46" w14:textId="3A395E26"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 control group without recurrent pain</w:t>
            </w:r>
          </w:p>
        </w:tc>
        <w:tc>
          <w:tcPr>
            <w:tcW w:w="3119" w:type="dxa"/>
            <w:tcBorders>
              <w:top w:val="nil"/>
              <w:left w:val="nil"/>
              <w:bottom w:val="nil"/>
              <w:right w:val="nil"/>
            </w:tcBorders>
            <w:shd w:val="clear" w:color="auto" w:fill="auto"/>
          </w:tcPr>
          <w:p w14:paraId="69EAD13F" w14:textId="7D5B0821" w:rsidR="007E1124" w:rsidRPr="004A5CB3" w:rsidRDefault="007E1124" w:rsidP="008B7D33">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In the majority of studies, recurrent pain (studies examined headache/migraine, back </w:t>
            </w:r>
            <w:r>
              <w:rPr>
                <w:rFonts w:ascii="Calibri" w:eastAsia="Times New Roman" w:hAnsi="Calibri" w:cs="Calibri"/>
                <w:color w:val="000000"/>
                <w:sz w:val="18"/>
                <w:szCs w:val="18"/>
                <w:lang w:eastAsia="en-GB"/>
              </w:rPr>
              <w:t>p</w:t>
            </w:r>
            <w:r w:rsidRPr="004A5CB3">
              <w:rPr>
                <w:rFonts w:ascii="Calibri" w:eastAsia="Times New Roman" w:hAnsi="Calibri" w:cs="Calibri"/>
                <w:color w:val="000000"/>
                <w:sz w:val="18"/>
                <w:szCs w:val="18"/>
                <w:lang w:eastAsia="en-GB"/>
              </w:rPr>
              <w:t>ain, abdominal pain and/or musculoskeletal pain) was associated with poorer achievement, objectively measured variously as grade point average, standardised test scores or failing to obtain graduation certificates from elementary school. Effect sizes were generally small (odds ratios &lt;2 or Cohen's d &lt;0.5) and study quality was assessed by the authors as being low or very low overall.</w:t>
            </w:r>
          </w:p>
        </w:tc>
      </w:tr>
      <w:tr w:rsidR="00DC5B17" w:rsidRPr="004A5CB3" w14:paraId="10B5E576" w14:textId="77777777" w:rsidTr="00DC5B17">
        <w:trPr>
          <w:trHeight w:val="66"/>
        </w:trPr>
        <w:tc>
          <w:tcPr>
            <w:tcW w:w="1123" w:type="dxa"/>
            <w:tcBorders>
              <w:top w:val="nil"/>
              <w:left w:val="nil"/>
              <w:bottom w:val="nil"/>
              <w:right w:val="nil"/>
            </w:tcBorders>
            <w:shd w:val="clear" w:color="auto" w:fill="auto"/>
          </w:tcPr>
          <w:p w14:paraId="6D9C2308"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19F8D9C7"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7AC7621C"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4E0BBC90"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334DCBD6"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4A919D52"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4F4D1EB1"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5C9F4637" w14:textId="77777777" w:rsidR="00DC5B17" w:rsidRDefault="00DC5B17" w:rsidP="008B7D33">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6555849E"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1CCD9D08"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170E0A82" w14:textId="77777777" w:rsidR="00DC5B17" w:rsidRPr="004A5CB3" w:rsidRDefault="00DC5B17" w:rsidP="008B7D33">
            <w:pPr>
              <w:spacing w:line="240" w:lineRule="auto"/>
              <w:rPr>
                <w:rFonts w:ascii="Calibri" w:eastAsia="Times New Roman" w:hAnsi="Calibri" w:cs="Calibri"/>
                <w:color w:val="000000"/>
                <w:sz w:val="18"/>
                <w:szCs w:val="18"/>
                <w:lang w:eastAsia="en-GB"/>
              </w:rPr>
            </w:pPr>
          </w:p>
        </w:tc>
      </w:tr>
      <w:tr w:rsidR="00F11368" w:rsidRPr="004A5CB3" w14:paraId="68454885" w14:textId="77777777" w:rsidTr="00F11368">
        <w:trPr>
          <w:trHeight w:val="5040"/>
        </w:trPr>
        <w:tc>
          <w:tcPr>
            <w:tcW w:w="1123" w:type="dxa"/>
            <w:tcBorders>
              <w:top w:val="nil"/>
              <w:left w:val="nil"/>
              <w:bottom w:val="nil"/>
              <w:right w:val="nil"/>
            </w:tcBorders>
            <w:shd w:val="clear" w:color="auto" w:fill="auto"/>
            <w:hideMark/>
          </w:tcPr>
          <w:p w14:paraId="6436036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Cocomello et al 2021</w:t>
            </w:r>
          </w:p>
        </w:tc>
        <w:tc>
          <w:tcPr>
            <w:tcW w:w="1133" w:type="dxa"/>
            <w:tcBorders>
              <w:top w:val="nil"/>
              <w:left w:val="nil"/>
              <w:bottom w:val="nil"/>
              <w:right w:val="nil"/>
            </w:tcBorders>
            <w:shd w:val="clear" w:color="auto" w:fill="auto"/>
            <w:hideMark/>
          </w:tcPr>
          <w:p w14:paraId="072C8DA3"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Congenital heart disease</w:t>
            </w:r>
          </w:p>
        </w:tc>
        <w:tc>
          <w:tcPr>
            <w:tcW w:w="1431" w:type="dxa"/>
            <w:tcBorders>
              <w:top w:val="nil"/>
              <w:left w:val="nil"/>
              <w:bottom w:val="nil"/>
              <w:right w:val="nil"/>
            </w:tcBorders>
            <w:shd w:val="clear" w:color="auto" w:fill="auto"/>
            <w:hideMark/>
          </w:tcPr>
          <w:p w14:paraId="5342612F"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Educational outcomes by adulthood (including completing secondary education)</w:t>
            </w:r>
          </w:p>
        </w:tc>
        <w:tc>
          <w:tcPr>
            <w:tcW w:w="992" w:type="dxa"/>
            <w:tcBorders>
              <w:top w:val="nil"/>
              <w:left w:val="nil"/>
              <w:bottom w:val="nil"/>
              <w:right w:val="nil"/>
            </w:tcBorders>
            <w:shd w:val="clear" w:color="auto" w:fill="auto"/>
            <w:hideMark/>
          </w:tcPr>
          <w:p w14:paraId="3497200B"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No limits</w:t>
            </w:r>
          </w:p>
        </w:tc>
        <w:tc>
          <w:tcPr>
            <w:tcW w:w="992" w:type="dxa"/>
            <w:tcBorders>
              <w:top w:val="nil"/>
              <w:left w:val="nil"/>
              <w:bottom w:val="nil"/>
              <w:right w:val="nil"/>
            </w:tcBorders>
            <w:shd w:val="clear" w:color="auto" w:fill="auto"/>
            <w:hideMark/>
          </w:tcPr>
          <w:p w14:paraId="24B502E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None</w:t>
            </w:r>
          </w:p>
        </w:tc>
        <w:tc>
          <w:tcPr>
            <w:tcW w:w="1843" w:type="dxa"/>
            <w:tcBorders>
              <w:top w:val="nil"/>
              <w:left w:val="nil"/>
              <w:bottom w:val="nil"/>
              <w:right w:val="nil"/>
            </w:tcBorders>
            <w:shd w:val="clear" w:color="auto" w:fill="auto"/>
            <w:hideMark/>
          </w:tcPr>
          <w:p w14:paraId="4F3D9855" w14:textId="0F1BF61B" w:rsidR="00F751B8"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For the first aim of assessing the association between CHD and attainment, any study with a comparator group of non-CHD patients from the same population as patients with CHD was included. For a second aim of estimating the proportions of patients with CHD who subsequently achieve certain educational levels, studies also included if there was control group and comparisons were made with population norms. Study must have reported the rate, odds or % of educational level even if this was not the study's primary aim.</w:t>
            </w:r>
          </w:p>
        </w:tc>
        <w:tc>
          <w:tcPr>
            <w:tcW w:w="1417" w:type="dxa"/>
            <w:tcBorders>
              <w:top w:val="nil"/>
              <w:left w:val="nil"/>
              <w:bottom w:val="nil"/>
              <w:right w:val="nil"/>
            </w:tcBorders>
            <w:shd w:val="clear" w:color="auto" w:fill="auto"/>
            <w:hideMark/>
          </w:tcPr>
          <w:p w14:paraId="0909E01B"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31 with data on secondary education (+/- comparison group) and 10 with data on secondary education and a comparison group included in meta-analysis. Out of a total of 42 studies.</w:t>
            </w:r>
          </w:p>
        </w:tc>
        <w:tc>
          <w:tcPr>
            <w:tcW w:w="1418" w:type="dxa"/>
            <w:tcBorders>
              <w:top w:val="nil"/>
              <w:left w:val="nil"/>
              <w:bottom w:val="nil"/>
              <w:right w:val="nil"/>
            </w:tcBorders>
          </w:tcPr>
          <w:p w14:paraId="0B04216F" w14:textId="7FCAB739" w:rsidR="007E1124" w:rsidRPr="004A5CB3" w:rsidRDefault="000D5551"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(7), Denmark (4), Switzerland (2), Germany (2), Netherlands (2), France (2), Sweden (2), Norway (1), Finland (1), South Korea (1), Belgium (1), Spain (1), International (high income) (1), Chile (1), Turkey (1), Iran (1), Malta (1)</w:t>
            </w:r>
          </w:p>
        </w:tc>
        <w:tc>
          <w:tcPr>
            <w:tcW w:w="1134" w:type="dxa"/>
            <w:tcBorders>
              <w:top w:val="nil"/>
              <w:left w:val="nil"/>
              <w:bottom w:val="nil"/>
              <w:right w:val="nil"/>
            </w:tcBorders>
            <w:shd w:val="clear" w:color="auto" w:fill="auto"/>
            <w:hideMark/>
          </w:tcPr>
          <w:p w14:paraId="5AE71C83" w14:textId="76F408D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Of the 31: 25 to 75,824 (252). Of the 10 included in meta-analysis: 248 to 68,805 (4,363).</w:t>
            </w:r>
          </w:p>
        </w:tc>
        <w:tc>
          <w:tcPr>
            <w:tcW w:w="1559" w:type="dxa"/>
            <w:tcBorders>
              <w:top w:val="nil"/>
              <w:left w:val="nil"/>
              <w:bottom w:val="nil"/>
              <w:right w:val="nil"/>
            </w:tcBorders>
            <w:shd w:val="clear" w:color="auto" w:fill="auto"/>
            <w:hideMark/>
          </w:tcPr>
          <w:p w14:paraId="6F3DA9F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10 studies in the meta-analysis had a comparison group of non-CHD patients drawn from the same population as CHD patients</w:t>
            </w:r>
          </w:p>
        </w:tc>
        <w:tc>
          <w:tcPr>
            <w:tcW w:w="3119" w:type="dxa"/>
            <w:tcBorders>
              <w:top w:val="nil"/>
              <w:left w:val="nil"/>
              <w:bottom w:val="nil"/>
              <w:right w:val="nil"/>
            </w:tcBorders>
            <w:shd w:val="clear" w:color="auto" w:fill="auto"/>
            <w:hideMark/>
          </w:tcPr>
          <w:p w14:paraId="2BAEB43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The weighted proportion of patients completing secondary education across all 32 studies was 84% (95% CI 76%, 90%). This compares to population norms of 70% to 91% depending on country. In pooled meta-analysis, the odds of not completing secondary education in patients with CHD vs those without were 1.33 times higher (95% CI 1.09, 1.61; prediction interval 0.75, 2.33).</w:t>
            </w:r>
          </w:p>
        </w:tc>
      </w:tr>
      <w:tr w:rsidR="00DC5B17" w:rsidRPr="004A5CB3" w14:paraId="6B16F11D" w14:textId="77777777" w:rsidTr="00DC5B17">
        <w:trPr>
          <w:trHeight w:val="68"/>
        </w:trPr>
        <w:tc>
          <w:tcPr>
            <w:tcW w:w="1123" w:type="dxa"/>
            <w:tcBorders>
              <w:top w:val="nil"/>
              <w:left w:val="nil"/>
              <w:bottom w:val="nil"/>
              <w:right w:val="nil"/>
            </w:tcBorders>
            <w:shd w:val="clear" w:color="auto" w:fill="auto"/>
          </w:tcPr>
          <w:p w14:paraId="6073398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3F720DD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1588B96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393CAFC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682F601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7C856E06"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25DAD41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57065BA1"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29F605F5"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5E4F530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243046C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2A77BDA3" w14:textId="77777777" w:rsidTr="00F11368">
        <w:trPr>
          <w:trHeight w:val="5760"/>
        </w:trPr>
        <w:tc>
          <w:tcPr>
            <w:tcW w:w="1123" w:type="dxa"/>
            <w:tcBorders>
              <w:top w:val="nil"/>
              <w:left w:val="nil"/>
              <w:bottom w:val="nil"/>
              <w:right w:val="nil"/>
            </w:tcBorders>
            <w:shd w:val="clear" w:color="auto" w:fill="auto"/>
            <w:hideMark/>
          </w:tcPr>
          <w:p w14:paraId="44FC17A5"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Clayborne et al 2019</w:t>
            </w:r>
          </w:p>
        </w:tc>
        <w:tc>
          <w:tcPr>
            <w:tcW w:w="1133" w:type="dxa"/>
            <w:tcBorders>
              <w:top w:val="nil"/>
              <w:left w:val="nil"/>
              <w:bottom w:val="nil"/>
              <w:right w:val="nil"/>
            </w:tcBorders>
            <w:shd w:val="clear" w:color="auto" w:fill="auto"/>
            <w:hideMark/>
          </w:tcPr>
          <w:p w14:paraId="1623DC0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Depression</w:t>
            </w:r>
          </w:p>
        </w:tc>
        <w:tc>
          <w:tcPr>
            <w:tcW w:w="1431" w:type="dxa"/>
            <w:tcBorders>
              <w:top w:val="nil"/>
              <w:left w:val="nil"/>
              <w:bottom w:val="nil"/>
              <w:right w:val="nil"/>
            </w:tcBorders>
            <w:shd w:val="clear" w:color="auto" w:fill="auto"/>
            <w:hideMark/>
          </w:tcPr>
          <w:p w14:paraId="78BDA0A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Psychosocial outcomes (educational attainment--whether completed secondary education, income, employment, pregnancy/ parenthood, marital and relationship status, social support and loneliness)</w:t>
            </w:r>
          </w:p>
        </w:tc>
        <w:tc>
          <w:tcPr>
            <w:tcW w:w="992" w:type="dxa"/>
            <w:tcBorders>
              <w:top w:val="nil"/>
              <w:left w:val="nil"/>
              <w:bottom w:val="nil"/>
              <w:right w:val="nil"/>
            </w:tcBorders>
            <w:shd w:val="clear" w:color="auto" w:fill="auto"/>
            <w:hideMark/>
          </w:tcPr>
          <w:p w14:paraId="1DC9473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4DBED2E4" w14:textId="50DAF9D1"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1980 (when the DSM-III definition of major depressive disorder was introduced) to 2017</w:t>
            </w:r>
          </w:p>
        </w:tc>
        <w:tc>
          <w:tcPr>
            <w:tcW w:w="1843" w:type="dxa"/>
            <w:tcBorders>
              <w:top w:val="nil"/>
              <w:left w:val="nil"/>
              <w:bottom w:val="nil"/>
              <w:right w:val="nil"/>
            </w:tcBorders>
            <w:shd w:val="clear" w:color="auto" w:fill="auto"/>
            <w:hideMark/>
          </w:tcPr>
          <w:p w14:paraId="2CAD459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Prospective cohorts and case-control studies of depression in adolescence (10-19 yrs) and outcomes measured in adulthood with a minimum of 12 months between exposure measurement and outcome.</w:t>
            </w:r>
          </w:p>
        </w:tc>
        <w:tc>
          <w:tcPr>
            <w:tcW w:w="1417" w:type="dxa"/>
            <w:tcBorders>
              <w:top w:val="nil"/>
              <w:left w:val="nil"/>
              <w:bottom w:val="nil"/>
              <w:right w:val="nil"/>
            </w:tcBorders>
            <w:shd w:val="clear" w:color="auto" w:fill="auto"/>
            <w:hideMark/>
          </w:tcPr>
          <w:p w14:paraId="0E53F77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14/31</w:t>
            </w:r>
          </w:p>
        </w:tc>
        <w:tc>
          <w:tcPr>
            <w:tcW w:w="1418" w:type="dxa"/>
            <w:tcBorders>
              <w:top w:val="nil"/>
              <w:left w:val="nil"/>
              <w:bottom w:val="nil"/>
              <w:right w:val="nil"/>
            </w:tcBorders>
          </w:tcPr>
          <w:p w14:paraId="24033201" w14:textId="57241D4F" w:rsidR="007E1124" w:rsidRPr="004A5CB3" w:rsidRDefault="00155A55"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(9), Canada (3), New Zealand (2)</w:t>
            </w:r>
          </w:p>
        </w:tc>
        <w:tc>
          <w:tcPr>
            <w:tcW w:w="1134" w:type="dxa"/>
            <w:tcBorders>
              <w:top w:val="nil"/>
              <w:left w:val="nil"/>
              <w:bottom w:val="nil"/>
              <w:right w:val="nil"/>
            </w:tcBorders>
            <w:shd w:val="clear" w:color="auto" w:fill="auto"/>
            <w:hideMark/>
          </w:tcPr>
          <w:p w14:paraId="4648835E" w14:textId="38836695"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63 to 14,232 (531)</w:t>
            </w:r>
          </w:p>
        </w:tc>
        <w:tc>
          <w:tcPr>
            <w:tcW w:w="1559" w:type="dxa"/>
            <w:tcBorders>
              <w:top w:val="nil"/>
              <w:left w:val="nil"/>
              <w:bottom w:val="nil"/>
              <w:right w:val="nil"/>
            </w:tcBorders>
            <w:shd w:val="clear" w:color="auto" w:fill="auto"/>
            <w:hideMark/>
          </w:tcPr>
          <w:p w14:paraId="66E4746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Individuals with depression aged 10-19 (diagnosed as major depressive disorder according to DSM or ICD or the following via self-report or diagnostic interviews:  depressive disorder, major depressive disorder, major depression or clinically significant depressive symptoms) </w:t>
            </w:r>
            <w:r w:rsidRPr="004A5CB3">
              <w:rPr>
                <w:rFonts w:ascii="Calibri" w:eastAsia="Times New Roman" w:hAnsi="Calibri" w:cs="Calibri"/>
                <w:i/>
                <w:iCs/>
                <w:color w:val="000000"/>
                <w:sz w:val="18"/>
                <w:szCs w:val="18"/>
                <w:lang w:eastAsia="en-GB"/>
              </w:rPr>
              <w:t>vs</w:t>
            </w:r>
            <w:r w:rsidRPr="004A5CB3">
              <w:rPr>
                <w:rFonts w:ascii="Calibri" w:eastAsia="Times New Roman" w:hAnsi="Calibri" w:cs="Calibri"/>
                <w:color w:val="000000"/>
                <w:sz w:val="18"/>
                <w:szCs w:val="18"/>
                <w:lang w:eastAsia="en-GB"/>
              </w:rPr>
              <w:t xml:space="preserve"> individuals without</w:t>
            </w:r>
          </w:p>
        </w:tc>
        <w:tc>
          <w:tcPr>
            <w:tcW w:w="3119" w:type="dxa"/>
            <w:tcBorders>
              <w:top w:val="nil"/>
              <w:left w:val="nil"/>
              <w:bottom w:val="nil"/>
              <w:right w:val="nil"/>
            </w:tcBorders>
            <w:shd w:val="clear" w:color="auto" w:fill="auto"/>
            <w:hideMark/>
          </w:tcPr>
          <w:p w14:paraId="655289A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Odds ratio (95% CI) for not completing secondary school in those with </w:t>
            </w:r>
            <w:r w:rsidRPr="004A5CB3">
              <w:rPr>
                <w:rFonts w:ascii="Calibri" w:eastAsia="Times New Roman" w:hAnsi="Calibri" w:cs="Calibri"/>
                <w:i/>
                <w:iCs/>
                <w:color w:val="000000"/>
                <w:sz w:val="18"/>
                <w:szCs w:val="18"/>
                <w:lang w:eastAsia="en-GB"/>
              </w:rPr>
              <w:t>vs</w:t>
            </w:r>
            <w:r w:rsidRPr="004A5CB3">
              <w:rPr>
                <w:rFonts w:ascii="Calibri" w:eastAsia="Times New Roman" w:hAnsi="Calibri" w:cs="Calibri"/>
                <w:color w:val="000000"/>
                <w:sz w:val="18"/>
                <w:szCs w:val="18"/>
                <w:lang w:eastAsia="en-GB"/>
              </w:rPr>
              <w:t xml:space="preserve"> those without depression: 1.97 (1.73, 2.24). When excluding studies that did not adjust for covariates: 1.42 (0.91, 2.20). When excluding lower quality studies: 1.68 (1.12, 2.52).</w:t>
            </w:r>
          </w:p>
        </w:tc>
      </w:tr>
      <w:tr w:rsidR="00DC5B17" w:rsidRPr="004A5CB3" w14:paraId="448E923F" w14:textId="77777777" w:rsidTr="00DC5B17">
        <w:trPr>
          <w:trHeight w:val="68"/>
        </w:trPr>
        <w:tc>
          <w:tcPr>
            <w:tcW w:w="1123" w:type="dxa"/>
            <w:tcBorders>
              <w:top w:val="nil"/>
              <w:left w:val="nil"/>
              <w:bottom w:val="nil"/>
              <w:right w:val="nil"/>
            </w:tcBorders>
            <w:shd w:val="clear" w:color="auto" w:fill="auto"/>
          </w:tcPr>
          <w:p w14:paraId="7EB7878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61D7395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18C046E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236BF20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F3059D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7CF39DD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28FC24C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6C1C3CCF"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1255D2D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0185CBC9"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04E79D6A"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3F63ADB5" w14:textId="77777777" w:rsidTr="00F11368">
        <w:trPr>
          <w:trHeight w:val="3360"/>
        </w:trPr>
        <w:tc>
          <w:tcPr>
            <w:tcW w:w="1123" w:type="dxa"/>
            <w:tcBorders>
              <w:top w:val="nil"/>
              <w:left w:val="nil"/>
              <w:bottom w:val="nil"/>
              <w:right w:val="nil"/>
            </w:tcBorders>
            <w:shd w:val="clear" w:color="auto" w:fill="auto"/>
            <w:hideMark/>
          </w:tcPr>
          <w:p w14:paraId="4EB2D44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Wickersham et al 2021</w:t>
            </w:r>
          </w:p>
        </w:tc>
        <w:tc>
          <w:tcPr>
            <w:tcW w:w="1133" w:type="dxa"/>
            <w:tcBorders>
              <w:top w:val="nil"/>
              <w:left w:val="nil"/>
              <w:bottom w:val="nil"/>
              <w:right w:val="nil"/>
            </w:tcBorders>
            <w:shd w:val="clear" w:color="auto" w:fill="auto"/>
            <w:hideMark/>
          </w:tcPr>
          <w:p w14:paraId="3D85AAB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Depression</w:t>
            </w:r>
          </w:p>
        </w:tc>
        <w:tc>
          <w:tcPr>
            <w:tcW w:w="1431" w:type="dxa"/>
            <w:tcBorders>
              <w:top w:val="nil"/>
              <w:left w:val="nil"/>
              <w:bottom w:val="nil"/>
              <w:right w:val="nil"/>
            </w:tcBorders>
            <w:shd w:val="clear" w:color="auto" w:fill="auto"/>
            <w:hideMark/>
          </w:tcPr>
          <w:p w14:paraId="4BF3E86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Educational attainment</w:t>
            </w:r>
          </w:p>
        </w:tc>
        <w:tc>
          <w:tcPr>
            <w:tcW w:w="992" w:type="dxa"/>
            <w:tcBorders>
              <w:top w:val="nil"/>
              <w:left w:val="nil"/>
              <w:bottom w:val="nil"/>
              <w:right w:val="nil"/>
            </w:tcBorders>
            <w:shd w:val="clear" w:color="auto" w:fill="auto"/>
            <w:hideMark/>
          </w:tcPr>
          <w:p w14:paraId="6728A0A5"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1CA7CE3C"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2018</w:t>
            </w:r>
          </w:p>
        </w:tc>
        <w:tc>
          <w:tcPr>
            <w:tcW w:w="1843" w:type="dxa"/>
            <w:tcBorders>
              <w:top w:val="nil"/>
              <w:left w:val="nil"/>
              <w:bottom w:val="nil"/>
              <w:right w:val="nil"/>
            </w:tcBorders>
            <w:shd w:val="clear" w:color="auto" w:fill="auto"/>
            <w:hideMark/>
          </w:tcPr>
          <w:p w14:paraId="6C9F83AC" w14:textId="047D57DF"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Studies of a diagnosis of depression or depression symptoms measured using a standardised diagnostic measure or named instrument and educational attainment measured using academic or administrative records. Studies had to be longitudinal in design, of 4-18 year</w:t>
            </w:r>
            <w:r>
              <w:rPr>
                <w:rFonts w:ascii="Calibri" w:eastAsia="Times New Roman" w:hAnsi="Calibri" w:cs="Calibri"/>
                <w:color w:val="000000"/>
                <w:sz w:val="18"/>
                <w:szCs w:val="18"/>
                <w:lang w:eastAsia="en-GB"/>
              </w:rPr>
              <w:t>-</w:t>
            </w:r>
            <w:r w:rsidRPr="004A5CB3">
              <w:rPr>
                <w:rFonts w:ascii="Calibri" w:eastAsia="Times New Roman" w:hAnsi="Calibri" w:cs="Calibri"/>
                <w:color w:val="000000"/>
                <w:sz w:val="18"/>
                <w:szCs w:val="18"/>
                <w:lang w:eastAsia="en-GB"/>
              </w:rPr>
              <w:t>olds in counties with compulsory education.</w:t>
            </w:r>
          </w:p>
        </w:tc>
        <w:tc>
          <w:tcPr>
            <w:tcW w:w="1417" w:type="dxa"/>
            <w:tcBorders>
              <w:top w:val="nil"/>
              <w:left w:val="nil"/>
              <w:bottom w:val="nil"/>
              <w:right w:val="nil"/>
            </w:tcBorders>
            <w:shd w:val="clear" w:color="auto" w:fill="auto"/>
            <w:hideMark/>
          </w:tcPr>
          <w:p w14:paraId="3E8B604F"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31/31 (of which, 22 were included in meta-analysis)</w:t>
            </w:r>
          </w:p>
        </w:tc>
        <w:tc>
          <w:tcPr>
            <w:tcW w:w="1418" w:type="dxa"/>
            <w:tcBorders>
              <w:top w:val="nil"/>
              <w:left w:val="nil"/>
              <w:bottom w:val="nil"/>
              <w:right w:val="nil"/>
            </w:tcBorders>
          </w:tcPr>
          <w:p w14:paraId="4B17B722" w14:textId="7CD6EE8B" w:rsidR="007E1124" w:rsidRPr="004A5CB3" w:rsidRDefault="00FD1DFA"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(16), China (6), UK (5), Sweden (1), Canada (1), Australia (1), France (1)</w:t>
            </w:r>
          </w:p>
        </w:tc>
        <w:tc>
          <w:tcPr>
            <w:tcW w:w="1134" w:type="dxa"/>
            <w:tcBorders>
              <w:top w:val="nil"/>
              <w:left w:val="nil"/>
              <w:bottom w:val="nil"/>
              <w:right w:val="nil"/>
            </w:tcBorders>
            <w:shd w:val="clear" w:color="auto" w:fill="auto"/>
            <w:hideMark/>
          </w:tcPr>
          <w:p w14:paraId="03FA963D" w14:textId="29A21BF8"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Of all 31 studies: 129 to 7,276 (498). Of 22 in meta-analysis: 129 to 7,276 (372)</w:t>
            </w:r>
          </w:p>
        </w:tc>
        <w:tc>
          <w:tcPr>
            <w:tcW w:w="1559" w:type="dxa"/>
            <w:tcBorders>
              <w:top w:val="nil"/>
              <w:left w:val="nil"/>
              <w:bottom w:val="nil"/>
              <w:right w:val="nil"/>
            </w:tcBorders>
            <w:shd w:val="clear" w:color="auto" w:fill="auto"/>
            <w:hideMark/>
          </w:tcPr>
          <w:p w14:paraId="3F6245F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Healthy controls</w:t>
            </w:r>
          </w:p>
        </w:tc>
        <w:tc>
          <w:tcPr>
            <w:tcW w:w="3119" w:type="dxa"/>
            <w:tcBorders>
              <w:top w:val="nil"/>
              <w:left w:val="nil"/>
              <w:bottom w:val="nil"/>
              <w:right w:val="nil"/>
            </w:tcBorders>
            <w:shd w:val="clear" w:color="auto" w:fill="auto"/>
            <w:hideMark/>
          </w:tcPr>
          <w:p w14:paraId="38235AEB" w14:textId="2C8D5CB4" w:rsidR="00954660"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In meta-analysis, depression was slightly negatively associated with poorer attainment with a pooled Fisher z of -0.19 (95% CI: -0.22, -0.16), equivalent to a pooled correlation coefficient of -0.19, indicating that depression symptoms accounted for 3.6% of the variance in attainment. In 15 of these studies, results remained statistically significant after adjusting for confounders. Eight of 12 studies that adjusted for attainment at an earlier time point also remained significant, indicating lower likelihood of reverse causation. Analyses of effect modification by gender and ethnicity were inconclusive.</w:t>
            </w:r>
          </w:p>
        </w:tc>
      </w:tr>
      <w:tr w:rsidR="00DC5B17" w:rsidRPr="004A5CB3" w14:paraId="7C00BC86" w14:textId="77777777" w:rsidTr="00DC5B17">
        <w:trPr>
          <w:trHeight w:val="68"/>
        </w:trPr>
        <w:tc>
          <w:tcPr>
            <w:tcW w:w="1123" w:type="dxa"/>
            <w:tcBorders>
              <w:top w:val="nil"/>
              <w:left w:val="nil"/>
              <w:bottom w:val="nil"/>
              <w:right w:val="nil"/>
            </w:tcBorders>
            <w:shd w:val="clear" w:color="auto" w:fill="auto"/>
          </w:tcPr>
          <w:p w14:paraId="685B09D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07968103"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33E0112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35FDEBF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695144E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6DCE4A2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1DFED4D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54390C4F"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2B9A0D5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4FFF7A6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1706D40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049C61A1" w14:textId="77777777" w:rsidTr="00F11368">
        <w:trPr>
          <w:trHeight w:val="66"/>
        </w:trPr>
        <w:tc>
          <w:tcPr>
            <w:tcW w:w="1123" w:type="dxa"/>
            <w:tcBorders>
              <w:top w:val="nil"/>
              <w:left w:val="nil"/>
              <w:bottom w:val="nil"/>
              <w:right w:val="nil"/>
            </w:tcBorders>
            <w:shd w:val="clear" w:color="auto" w:fill="auto"/>
            <w:hideMark/>
          </w:tcPr>
          <w:p w14:paraId="6E0BC56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Puka et al 2019</w:t>
            </w:r>
          </w:p>
        </w:tc>
        <w:tc>
          <w:tcPr>
            <w:tcW w:w="1133" w:type="dxa"/>
            <w:tcBorders>
              <w:top w:val="nil"/>
              <w:left w:val="nil"/>
              <w:bottom w:val="nil"/>
              <w:right w:val="nil"/>
            </w:tcBorders>
            <w:shd w:val="clear" w:color="auto" w:fill="auto"/>
            <w:hideMark/>
          </w:tcPr>
          <w:p w14:paraId="54A0F9A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Epilepsy</w:t>
            </w:r>
          </w:p>
        </w:tc>
        <w:tc>
          <w:tcPr>
            <w:tcW w:w="1431" w:type="dxa"/>
            <w:tcBorders>
              <w:top w:val="nil"/>
              <w:left w:val="nil"/>
              <w:bottom w:val="nil"/>
              <w:right w:val="nil"/>
            </w:tcBorders>
            <w:shd w:val="clear" w:color="auto" w:fill="auto"/>
            <w:hideMark/>
          </w:tcPr>
          <w:p w14:paraId="3E96519C"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Educational attainment, defined by completion of secondary, post-secondary or higher education (other adult outcomes were also studied)</w:t>
            </w:r>
          </w:p>
        </w:tc>
        <w:tc>
          <w:tcPr>
            <w:tcW w:w="992" w:type="dxa"/>
            <w:tcBorders>
              <w:top w:val="nil"/>
              <w:left w:val="nil"/>
              <w:bottom w:val="nil"/>
              <w:right w:val="nil"/>
            </w:tcBorders>
            <w:shd w:val="clear" w:color="auto" w:fill="auto"/>
            <w:hideMark/>
          </w:tcPr>
          <w:p w14:paraId="27C5B4A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66AF27A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1987 to 2018</w:t>
            </w:r>
          </w:p>
        </w:tc>
        <w:tc>
          <w:tcPr>
            <w:tcW w:w="1843" w:type="dxa"/>
            <w:tcBorders>
              <w:top w:val="nil"/>
              <w:left w:val="nil"/>
              <w:bottom w:val="nil"/>
              <w:right w:val="nil"/>
            </w:tcBorders>
            <w:shd w:val="clear" w:color="auto" w:fill="auto"/>
            <w:hideMark/>
          </w:tcPr>
          <w:p w14:paraId="68902C9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Childhood-onset epilepsy and a later outcome.</w:t>
            </w:r>
          </w:p>
        </w:tc>
        <w:tc>
          <w:tcPr>
            <w:tcW w:w="1417" w:type="dxa"/>
            <w:tcBorders>
              <w:top w:val="nil"/>
              <w:left w:val="nil"/>
              <w:bottom w:val="nil"/>
              <w:right w:val="nil"/>
            </w:tcBorders>
            <w:shd w:val="clear" w:color="auto" w:fill="auto"/>
            <w:hideMark/>
          </w:tcPr>
          <w:p w14:paraId="7E0BACA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18/45 on completion of secondary education</w:t>
            </w:r>
          </w:p>
        </w:tc>
        <w:tc>
          <w:tcPr>
            <w:tcW w:w="1418" w:type="dxa"/>
            <w:tcBorders>
              <w:top w:val="nil"/>
              <w:left w:val="nil"/>
              <w:bottom w:val="nil"/>
              <w:right w:val="nil"/>
            </w:tcBorders>
          </w:tcPr>
          <w:p w14:paraId="1D892818" w14:textId="10B31B95" w:rsidR="007E1124" w:rsidRPr="004A5CB3" w:rsidRDefault="00954660"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Canada (4), Finland (3), USA (2), Germany (2), Norway (1), UK (1), </w:t>
            </w:r>
            <w:r w:rsidR="00921B8C">
              <w:rPr>
                <w:rFonts w:ascii="Calibri" w:eastAsia="Times New Roman" w:hAnsi="Calibri" w:cs="Calibri"/>
                <w:color w:val="000000"/>
                <w:sz w:val="18"/>
                <w:szCs w:val="18"/>
                <w:lang w:eastAsia="en-GB"/>
              </w:rPr>
              <w:t>Sweden</w:t>
            </w:r>
            <w:r>
              <w:rPr>
                <w:rFonts w:ascii="Calibri" w:eastAsia="Times New Roman" w:hAnsi="Calibri" w:cs="Calibri"/>
                <w:color w:val="000000"/>
                <w:sz w:val="18"/>
                <w:szCs w:val="18"/>
                <w:lang w:eastAsia="en-GB"/>
              </w:rPr>
              <w:t xml:space="preserve"> (1), Australia (1), Denmark (1), Netherlands (1), Japan (1)</w:t>
            </w:r>
          </w:p>
        </w:tc>
        <w:tc>
          <w:tcPr>
            <w:tcW w:w="1134" w:type="dxa"/>
            <w:tcBorders>
              <w:top w:val="nil"/>
              <w:left w:val="nil"/>
              <w:bottom w:val="nil"/>
              <w:right w:val="nil"/>
            </w:tcBorders>
            <w:shd w:val="clear" w:color="auto" w:fill="auto"/>
            <w:hideMark/>
          </w:tcPr>
          <w:p w14:paraId="20EAFF39" w14:textId="67D97C79"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16 to 11,400 (77)</w:t>
            </w:r>
          </w:p>
        </w:tc>
        <w:tc>
          <w:tcPr>
            <w:tcW w:w="1559" w:type="dxa"/>
            <w:tcBorders>
              <w:top w:val="nil"/>
              <w:left w:val="nil"/>
              <w:bottom w:val="nil"/>
              <w:right w:val="nil"/>
            </w:tcBorders>
            <w:shd w:val="clear" w:color="auto" w:fill="auto"/>
            <w:hideMark/>
          </w:tcPr>
          <w:p w14:paraId="724DFA0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Studies either had healthy controls, comparisons with population norms or no control/ comparisons</w:t>
            </w:r>
          </w:p>
        </w:tc>
        <w:tc>
          <w:tcPr>
            <w:tcW w:w="3119" w:type="dxa"/>
            <w:tcBorders>
              <w:top w:val="nil"/>
              <w:left w:val="nil"/>
              <w:bottom w:val="nil"/>
              <w:right w:val="nil"/>
            </w:tcBorders>
            <w:shd w:val="clear" w:color="auto" w:fill="auto"/>
            <w:hideMark/>
          </w:tcPr>
          <w:p w14:paraId="347EEED0" w14:textId="434D526C" w:rsidR="007D40B2"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Overall, 73% (95% CI 64%, 82%) of children with epilepsy completed secondary school. Win 10 studies with comparison groups, children with epilepsy did worse in 7 studies and the same in 3. When examining by prognosis, 39% (8%, 76%) of children with epilepsy completed secondary schooling (4 studies; worse than controls in all 3 studies with control groups). Among those with good prognosis, 77% (63%, 88%) completed secondary schooling (9 studies; worse in 2 studies with control groups but the same in 3 studies). 98% (86%, 100%) of children who had resective surgery in </w:t>
            </w:r>
            <w:r w:rsidRPr="004A5CB3">
              <w:rPr>
                <w:rFonts w:ascii="Calibri" w:eastAsia="Times New Roman" w:hAnsi="Calibri" w:cs="Calibri"/>
                <w:color w:val="000000"/>
                <w:sz w:val="18"/>
                <w:szCs w:val="18"/>
                <w:lang w:eastAsia="en-GB"/>
              </w:rPr>
              <w:lastRenderedPageBreak/>
              <w:t>childhood completed secondary schooling (3 studies, no comparison groups).</w:t>
            </w:r>
          </w:p>
        </w:tc>
      </w:tr>
      <w:tr w:rsidR="00DC5B17" w:rsidRPr="004A5CB3" w14:paraId="7B60FB15" w14:textId="77777777" w:rsidTr="00F11368">
        <w:trPr>
          <w:trHeight w:val="66"/>
        </w:trPr>
        <w:tc>
          <w:tcPr>
            <w:tcW w:w="1123" w:type="dxa"/>
            <w:tcBorders>
              <w:top w:val="nil"/>
              <w:left w:val="nil"/>
              <w:bottom w:val="nil"/>
              <w:right w:val="nil"/>
            </w:tcBorders>
            <w:shd w:val="clear" w:color="auto" w:fill="auto"/>
          </w:tcPr>
          <w:p w14:paraId="4F631B1A"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281399C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12FE246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3AC77276"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107EFA0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724B8EC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57B04745"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20AB1515"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5E54998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6E91994A"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62B2AB4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25CA7F0C" w14:textId="77777777" w:rsidTr="00F11368">
        <w:trPr>
          <w:trHeight w:val="2640"/>
        </w:trPr>
        <w:tc>
          <w:tcPr>
            <w:tcW w:w="1123" w:type="dxa"/>
            <w:tcBorders>
              <w:top w:val="nil"/>
              <w:left w:val="nil"/>
              <w:bottom w:val="nil"/>
              <w:right w:val="nil"/>
            </w:tcBorders>
            <w:shd w:val="clear" w:color="auto" w:fill="auto"/>
            <w:hideMark/>
          </w:tcPr>
          <w:p w14:paraId="7E5A1C93"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Wo et al 2017</w:t>
            </w:r>
          </w:p>
        </w:tc>
        <w:tc>
          <w:tcPr>
            <w:tcW w:w="1133" w:type="dxa"/>
            <w:tcBorders>
              <w:top w:val="nil"/>
              <w:left w:val="nil"/>
              <w:bottom w:val="nil"/>
              <w:right w:val="nil"/>
            </w:tcBorders>
            <w:shd w:val="clear" w:color="auto" w:fill="auto"/>
            <w:hideMark/>
          </w:tcPr>
          <w:p w14:paraId="6207315B"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Epilepsy</w:t>
            </w:r>
          </w:p>
        </w:tc>
        <w:tc>
          <w:tcPr>
            <w:tcW w:w="1431" w:type="dxa"/>
            <w:tcBorders>
              <w:top w:val="nil"/>
              <w:left w:val="nil"/>
              <w:bottom w:val="nil"/>
              <w:right w:val="nil"/>
            </w:tcBorders>
            <w:shd w:val="clear" w:color="auto" w:fill="auto"/>
            <w:hideMark/>
          </w:tcPr>
          <w:p w14:paraId="48FD56EF"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Academic achievement measured by standardised, objective measures.</w:t>
            </w:r>
          </w:p>
        </w:tc>
        <w:tc>
          <w:tcPr>
            <w:tcW w:w="992" w:type="dxa"/>
            <w:tcBorders>
              <w:top w:val="nil"/>
              <w:left w:val="nil"/>
              <w:bottom w:val="nil"/>
              <w:right w:val="nil"/>
            </w:tcBorders>
            <w:shd w:val="clear" w:color="auto" w:fill="auto"/>
            <w:hideMark/>
          </w:tcPr>
          <w:p w14:paraId="39FCF7B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38B8597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2015</w:t>
            </w:r>
          </w:p>
        </w:tc>
        <w:tc>
          <w:tcPr>
            <w:tcW w:w="1843" w:type="dxa"/>
            <w:tcBorders>
              <w:top w:val="nil"/>
              <w:left w:val="nil"/>
              <w:bottom w:val="nil"/>
              <w:right w:val="nil"/>
            </w:tcBorders>
            <w:shd w:val="clear" w:color="auto" w:fill="auto"/>
            <w:hideMark/>
          </w:tcPr>
          <w:p w14:paraId="134BE060" w14:textId="612066DB" w:rsidR="004F5FB9"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Cross-sectional and longitudinal studies with children aged 5-18 years of IQ &gt;= 70, attending regular school with or without a control group. Studies were excluded if they were of children with comorbidities such as autism, intellectual disability or learning difficulties.</w:t>
            </w:r>
          </w:p>
        </w:tc>
        <w:tc>
          <w:tcPr>
            <w:tcW w:w="1417" w:type="dxa"/>
            <w:tcBorders>
              <w:top w:val="nil"/>
              <w:left w:val="nil"/>
              <w:bottom w:val="nil"/>
              <w:right w:val="nil"/>
            </w:tcBorders>
            <w:shd w:val="clear" w:color="auto" w:fill="auto"/>
            <w:hideMark/>
          </w:tcPr>
          <w:p w14:paraId="60EB8FA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20/20</w:t>
            </w:r>
          </w:p>
        </w:tc>
        <w:tc>
          <w:tcPr>
            <w:tcW w:w="1418" w:type="dxa"/>
            <w:tcBorders>
              <w:top w:val="nil"/>
              <w:left w:val="nil"/>
              <w:bottom w:val="nil"/>
              <w:right w:val="nil"/>
            </w:tcBorders>
          </w:tcPr>
          <w:p w14:paraId="26ED8EEC" w14:textId="77F551A7" w:rsidR="007E1124" w:rsidRPr="004A5CB3" w:rsidRDefault="008435C8"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USA (13), Netherlands (3), Brazil (2), Jamaica (1), Turkey (1) </w:t>
            </w:r>
          </w:p>
        </w:tc>
        <w:tc>
          <w:tcPr>
            <w:tcW w:w="1134" w:type="dxa"/>
            <w:tcBorders>
              <w:top w:val="nil"/>
              <w:left w:val="nil"/>
              <w:bottom w:val="nil"/>
              <w:right w:val="nil"/>
            </w:tcBorders>
            <w:shd w:val="clear" w:color="auto" w:fill="auto"/>
            <w:hideMark/>
          </w:tcPr>
          <w:p w14:paraId="47F3C0A8" w14:textId="31D3D70B"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42 to 225 (83)</w:t>
            </w:r>
          </w:p>
        </w:tc>
        <w:tc>
          <w:tcPr>
            <w:tcW w:w="1559" w:type="dxa"/>
            <w:tcBorders>
              <w:top w:val="nil"/>
              <w:left w:val="nil"/>
              <w:bottom w:val="nil"/>
              <w:right w:val="nil"/>
            </w:tcBorders>
            <w:shd w:val="clear" w:color="auto" w:fill="auto"/>
            <w:hideMark/>
          </w:tcPr>
          <w:p w14:paraId="6D32BA9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Control groups or comparisons with population norms</w:t>
            </w:r>
          </w:p>
        </w:tc>
        <w:tc>
          <w:tcPr>
            <w:tcW w:w="3119" w:type="dxa"/>
            <w:tcBorders>
              <w:top w:val="nil"/>
              <w:left w:val="nil"/>
              <w:bottom w:val="nil"/>
              <w:right w:val="nil"/>
            </w:tcBorders>
            <w:shd w:val="clear" w:color="auto" w:fill="auto"/>
            <w:hideMark/>
          </w:tcPr>
          <w:p w14:paraId="4E2CBFE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Fourteen of 20 studies reported that children with epilepsy had lower achievement than controls/population norms whereas the remaining studies did not. There was heterogeneity in study design (e.g., instruments used, timing of measurements) which make comparisons difficult.</w:t>
            </w:r>
          </w:p>
        </w:tc>
      </w:tr>
      <w:tr w:rsidR="00DC5B17" w:rsidRPr="004A5CB3" w14:paraId="484383B4" w14:textId="77777777" w:rsidTr="00DC5B17">
        <w:trPr>
          <w:trHeight w:val="68"/>
        </w:trPr>
        <w:tc>
          <w:tcPr>
            <w:tcW w:w="1123" w:type="dxa"/>
            <w:tcBorders>
              <w:top w:val="nil"/>
              <w:left w:val="nil"/>
              <w:bottom w:val="nil"/>
              <w:right w:val="nil"/>
            </w:tcBorders>
            <w:shd w:val="clear" w:color="auto" w:fill="auto"/>
          </w:tcPr>
          <w:p w14:paraId="1F642E0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614731D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0350CB46"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4D92E3B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1735DE0A"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0893DCD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2B8C926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4AD85E64"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69AA034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3A4CE30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32AD954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39E1EB0E" w14:textId="77777777" w:rsidTr="00F11368">
        <w:trPr>
          <w:trHeight w:val="2640"/>
        </w:trPr>
        <w:tc>
          <w:tcPr>
            <w:tcW w:w="1123" w:type="dxa"/>
            <w:tcBorders>
              <w:top w:val="nil"/>
              <w:left w:val="nil"/>
              <w:bottom w:val="nil"/>
              <w:right w:val="nil"/>
            </w:tcBorders>
            <w:shd w:val="clear" w:color="auto" w:fill="auto"/>
          </w:tcPr>
          <w:p w14:paraId="6478B47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Lah et al 2017</w:t>
            </w:r>
          </w:p>
        </w:tc>
        <w:tc>
          <w:tcPr>
            <w:tcW w:w="1133" w:type="dxa"/>
            <w:tcBorders>
              <w:top w:val="nil"/>
              <w:left w:val="nil"/>
              <w:bottom w:val="nil"/>
              <w:right w:val="nil"/>
            </w:tcBorders>
            <w:shd w:val="clear" w:color="auto" w:fill="auto"/>
          </w:tcPr>
          <w:p w14:paraId="05AF3F0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w:t>
            </w:r>
            <w:r w:rsidRPr="004A5CB3">
              <w:rPr>
                <w:rFonts w:ascii="Calibri" w:eastAsia="Times New Roman" w:hAnsi="Calibri" w:cs="Calibri"/>
                <w:color w:val="000000"/>
                <w:sz w:val="18"/>
                <w:szCs w:val="18"/>
                <w:lang w:eastAsia="en-GB"/>
              </w:rPr>
              <w:t>pilepsy</w:t>
            </w:r>
            <w:r>
              <w:rPr>
                <w:rFonts w:ascii="Calibri" w:eastAsia="Times New Roman" w:hAnsi="Calibri" w:cs="Calibri"/>
                <w:color w:val="000000"/>
                <w:sz w:val="18"/>
                <w:szCs w:val="18"/>
                <w:lang w:eastAsia="en-GB"/>
              </w:rPr>
              <w:t xml:space="preserve"> (temporal lobe)</w:t>
            </w:r>
          </w:p>
        </w:tc>
        <w:tc>
          <w:tcPr>
            <w:tcW w:w="1431" w:type="dxa"/>
            <w:tcBorders>
              <w:top w:val="nil"/>
              <w:left w:val="nil"/>
              <w:bottom w:val="nil"/>
              <w:right w:val="nil"/>
            </w:tcBorders>
            <w:shd w:val="clear" w:color="auto" w:fill="auto"/>
          </w:tcPr>
          <w:p w14:paraId="2F11993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Reading ability</w:t>
            </w:r>
          </w:p>
        </w:tc>
        <w:tc>
          <w:tcPr>
            <w:tcW w:w="992" w:type="dxa"/>
            <w:tcBorders>
              <w:top w:val="nil"/>
              <w:left w:val="nil"/>
              <w:bottom w:val="nil"/>
              <w:right w:val="nil"/>
            </w:tcBorders>
            <w:shd w:val="clear" w:color="auto" w:fill="auto"/>
          </w:tcPr>
          <w:p w14:paraId="512F396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tcPr>
          <w:p w14:paraId="1BBB0D2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2016</w:t>
            </w:r>
          </w:p>
        </w:tc>
        <w:tc>
          <w:tcPr>
            <w:tcW w:w="1843" w:type="dxa"/>
            <w:tcBorders>
              <w:top w:val="nil"/>
              <w:left w:val="nil"/>
              <w:bottom w:val="nil"/>
              <w:right w:val="nil"/>
            </w:tcBorders>
            <w:shd w:val="clear" w:color="auto" w:fill="auto"/>
          </w:tcPr>
          <w:p w14:paraId="71F3482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Empirical research examining reading ability in children with temporal lobe epilepsy either on a standardised test or by comparing children with TLE vs a control group.</w:t>
            </w:r>
          </w:p>
        </w:tc>
        <w:tc>
          <w:tcPr>
            <w:tcW w:w="1417" w:type="dxa"/>
            <w:tcBorders>
              <w:top w:val="nil"/>
              <w:left w:val="nil"/>
              <w:bottom w:val="nil"/>
              <w:right w:val="nil"/>
            </w:tcBorders>
            <w:shd w:val="clear" w:color="auto" w:fill="auto"/>
          </w:tcPr>
          <w:p w14:paraId="1D23337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6/6</w:t>
            </w:r>
          </w:p>
        </w:tc>
        <w:tc>
          <w:tcPr>
            <w:tcW w:w="1418" w:type="dxa"/>
            <w:tcBorders>
              <w:top w:val="nil"/>
              <w:left w:val="nil"/>
              <w:bottom w:val="nil"/>
              <w:right w:val="nil"/>
            </w:tcBorders>
          </w:tcPr>
          <w:p w14:paraId="07A15849" w14:textId="2EC5E5D4" w:rsidR="007E1124" w:rsidRPr="004A5CB3" w:rsidRDefault="004F5FB9"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Canada (5), France (1)</w:t>
            </w:r>
          </w:p>
        </w:tc>
        <w:tc>
          <w:tcPr>
            <w:tcW w:w="1134" w:type="dxa"/>
            <w:tcBorders>
              <w:top w:val="nil"/>
              <w:left w:val="nil"/>
              <w:bottom w:val="nil"/>
              <w:right w:val="nil"/>
            </w:tcBorders>
            <w:shd w:val="clear" w:color="auto" w:fill="auto"/>
          </w:tcPr>
          <w:p w14:paraId="6A794FE3" w14:textId="0290C9FB"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 to 60 (37)</w:t>
            </w:r>
          </w:p>
        </w:tc>
        <w:tc>
          <w:tcPr>
            <w:tcW w:w="1559" w:type="dxa"/>
            <w:tcBorders>
              <w:top w:val="nil"/>
              <w:left w:val="nil"/>
              <w:bottom w:val="nil"/>
              <w:right w:val="nil"/>
            </w:tcBorders>
            <w:shd w:val="clear" w:color="auto" w:fill="auto"/>
          </w:tcPr>
          <w:p w14:paraId="4AFAAF8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Either normative data (5 studies) or control group (1 study)</w:t>
            </w:r>
          </w:p>
        </w:tc>
        <w:tc>
          <w:tcPr>
            <w:tcW w:w="3119" w:type="dxa"/>
            <w:tcBorders>
              <w:top w:val="nil"/>
              <w:left w:val="nil"/>
              <w:bottom w:val="nil"/>
              <w:right w:val="nil"/>
            </w:tcBorders>
            <w:shd w:val="clear" w:color="auto" w:fill="auto"/>
          </w:tcPr>
          <w:p w14:paraId="0E2B9AE5" w14:textId="593F34D0"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There was evidence from two studies that children with temporal lobe epilepsy have lower reading accuracy and comprehension, though in one study this was restricted to left TLE post-surgery. Reading accuracy was not lower than controls in the one study with a control group</w:t>
            </w:r>
            <w:r>
              <w:rPr>
                <w:rFonts w:ascii="Calibri" w:eastAsia="Times New Roman" w:hAnsi="Calibri" w:cs="Calibri"/>
                <w:color w:val="000000"/>
                <w:sz w:val="18"/>
                <w:szCs w:val="18"/>
                <w:lang w:eastAsia="en-GB"/>
              </w:rPr>
              <w:t>.</w:t>
            </w:r>
          </w:p>
        </w:tc>
      </w:tr>
      <w:tr w:rsidR="00DC5B17" w:rsidRPr="004A5CB3" w14:paraId="3D9DD361" w14:textId="77777777" w:rsidTr="00DC5B17">
        <w:trPr>
          <w:trHeight w:val="66"/>
        </w:trPr>
        <w:tc>
          <w:tcPr>
            <w:tcW w:w="1123" w:type="dxa"/>
            <w:tcBorders>
              <w:top w:val="nil"/>
              <w:left w:val="nil"/>
              <w:bottom w:val="nil"/>
              <w:right w:val="nil"/>
            </w:tcBorders>
            <w:shd w:val="clear" w:color="auto" w:fill="auto"/>
          </w:tcPr>
          <w:p w14:paraId="04161E0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5F89B99E"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41A2D783"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1F3292C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234F1F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74339A9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7ABEC1CF"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031E2780"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36DE125F"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00739B3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6E152E4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362CC1CC" w14:textId="77777777" w:rsidTr="00F11368">
        <w:trPr>
          <w:trHeight w:val="2160"/>
        </w:trPr>
        <w:tc>
          <w:tcPr>
            <w:tcW w:w="1123" w:type="dxa"/>
            <w:tcBorders>
              <w:top w:val="nil"/>
              <w:left w:val="nil"/>
              <w:bottom w:val="nil"/>
              <w:right w:val="nil"/>
            </w:tcBorders>
            <w:shd w:val="clear" w:color="auto" w:fill="auto"/>
            <w:hideMark/>
          </w:tcPr>
          <w:p w14:paraId="2B0343D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Caird et al 2013</w:t>
            </w:r>
          </w:p>
        </w:tc>
        <w:tc>
          <w:tcPr>
            <w:tcW w:w="1133" w:type="dxa"/>
            <w:tcBorders>
              <w:top w:val="nil"/>
              <w:left w:val="nil"/>
              <w:bottom w:val="nil"/>
              <w:right w:val="nil"/>
            </w:tcBorders>
            <w:shd w:val="clear" w:color="auto" w:fill="auto"/>
            <w:hideMark/>
          </w:tcPr>
          <w:p w14:paraId="374E5B15"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Obesity</w:t>
            </w:r>
          </w:p>
        </w:tc>
        <w:tc>
          <w:tcPr>
            <w:tcW w:w="1431" w:type="dxa"/>
            <w:tcBorders>
              <w:top w:val="nil"/>
              <w:left w:val="nil"/>
              <w:bottom w:val="nil"/>
              <w:right w:val="nil"/>
            </w:tcBorders>
            <w:shd w:val="clear" w:color="auto" w:fill="auto"/>
            <w:hideMark/>
          </w:tcPr>
          <w:p w14:paraId="54091583"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Attainment (e.g., grade point average)</w:t>
            </w:r>
          </w:p>
        </w:tc>
        <w:tc>
          <w:tcPr>
            <w:tcW w:w="992" w:type="dxa"/>
            <w:tcBorders>
              <w:top w:val="nil"/>
              <w:left w:val="nil"/>
              <w:bottom w:val="nil"/>
              <w:right w:val="nil"/>
            </w:tcBorders>
            <w:shd w:val="clear" w:color="auto" w:fill="auto"/>
            <w:hideMark/>
          </w:tcPr>
          <w:p w14:paraId="7B8B171B"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220262D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1997 to 2008</w:t>
            </w:r>
          </w:p>
        </w:tc>
        <w:tc>
          <w:tcPr>
            <w:tcW w:w="1843" w:type="dxa"/>
            <w:tcBorders>
              <w:top w:val="nil"/>
              <w:left w:val="nil"/>
              <w:bottom w:val="nil"/>
              <w:right w:val="nil"/>
            </w:tcBorders>
            <w:shd w:val="clear" w:color="auto" w:fill="auto"/>
            <w:hideMark/>
          </w:tcPr>
          <w:p w14:paraId="5095B71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 xml:space="preserve">Children aged 6-16 in high income countries. Quantitative only. </w:t>
            </w:r>
          </w:p>
        </w:tc>
        <w:tc>
          <w:tcPr>
            <w:tcW w:w="1417" w:type="dxa"/>
            <w:tcBorders>
              <w:top w:val="nil"/>
              <w:left w:val="nil"/>
              <w:bottom w:val="nil"/>
              <w:right w:val="nil"/>
            </w:tcBorders>
            <w:shd w:val="clear" w:color="auto" w:fill="auto"/>
            <w:hideMark/>
          </w:tcPr>
          <w:p w14:paraId="1A9D5B3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29/29</w:t>
            </w:r>
          </w:p>
        </w:tc>
        <w:tc>
          <w:tcPr>
            <w:tcW w:w="1418" w:type="dxa"/>
            <w:tcBorders>
              <w:top w:val="nil"/>
              <w:left w:val="nil"/>
              <w:bottom w:val="nil"/>
              <w:right w:val="nil"/>
            </w:tcBorders>
          </w:tcPr>
          <w:p w14:paraId="397624BC" w14:textId="023C22CC" w:rsidR="007E1124" w:rsidRPr="004A5CB3" w:rsidRDefault="009B7F07"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(23), UK (2), South Korea (1), Finland (1), Canada (1), Iceland (1)</w:t>
            </w:r>
          </w:p>
        </w:tc>
        <w:tc>
          <w:tcPr>
            <w:tcW w:w="1134" w:type="dxa"/>
            <w:tcBorders>
              <w:top w:val="nil"/>
              <w:left w:val="nil"/>
              <w:bottom w:val="nil"/>
              <w:right w:val="nil"/>
            </w:tcBorders>
            <w:shd w:val="clear" w:color="auto" w:fill="auto"/>
            <w:hideMark/>
          </w:tcPr>
          <w:p w14:paraId="21C17532" w14:textId="53C4A18B"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259 to 60,252 (3,500)</w:t>
            </w:r>
          </w:p>
        </w:tc>
        <w:tc>
          <w:tcPr>
            <w:tcW w:w="1559" w:type="dxa"/>
            <w:tcBorders>
              <w:top w:val="nil"/>
              <w:left w:val="nil"/>
              <w:bottom w:val="nil"/>
              <w:right w:val="nil"/>
            </w:tcBorders>
            <w:shd w:val="clear" w:color="auto" w:fill="auto"/>
            <w:hideMark/>
          </w:tcPr>
          <w:p w14:paraId="15B9D0B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Comparisons were between children with higher/lower BMI or between those with and without obesity or overweight.</w:t>
            </w:r>
          </w:p>
        </w:tc>
        <w:tc>
          <w:tcPr>
            <w:tcW w:w="3119" w:type="dxa"/>
            <w:tcBorders>
              <w:top w:val="nil"/>
              <w:left w:val="nil"/>
              <w:bottom w:val="nil"/>
              <w:right w:val="nil"/>
            </w:tcBorders>
            <w:shd w:val="clear" w:color="auto" w:fill="auto"/>
            <w:hideMark/>
          </w:tcPr>
          <w:p w14:paraId="1487BB65" w14:textId="6756551A" w:rsidR="00CF7D58"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Most studies reported a very small correlation between higher BMI/overweight/obesity and lower attainment. In many instances, adjusting for factors such as socioeconomic position accounted for the association. The authors conclude that, if there is a causal link between obesity and attainment, it is not likely of clinical significance. Some studies reported higher attainment in those with overweight/obesity.</w:t>
            </w:r>
          </w:p>
        </w:tc>
      </w:tr>
      <w:tr w:rsidR="00DC5B17" w:rsidRPr="004A5CB3" w14:paraId="0037169B" w14:textId="77777777" w:rsidTr="00DC5B17">
        <w:trPr>
          <w:trHeight w:val="66"/>
        </w:trPr>
        <w:tc>
          <w:tcPr>
            <w:tcW w:w="1123" w:type="dxa"/>
            <w:tcBorders>
              <w:top w:val="nil"/>
              <w:left w:val="nil"/>
              <w:bottom w:val="nil"/>
              <w:right w:val="nil"/>
            </w:tcBorders>
            <w:shd w:val="clear" w:color="auto" w:fill="auto"/>
          </w:tcPr>
          <w:p w14:paraId="681E70A3"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72D4182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4DB02C9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7AABB089"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27A0788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523B7C5F"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4F1F395A"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7BE820A9"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1339F3F9"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3151659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1AB3D675"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1D127B07" w14:textId="77777777" w:rsidTr="00F11368">
        <w:trPr>
          <w:trHeight w:val="2400"/>
        </w:trPr>
        <w:tc>
          <w:tcPr>
            <w:tcW w:w="1123" w:type="dxa"/>
            <w:tcBorders>
              <w:top w:val="nil"/>
              <w:left w:val="nil"/>
              <w:bottom w:val="nil"/>
              <w:right w:val="nil"/>
            </w:tcBorders>
            <w:shd w:val="clear" w:color="auto" w:fill="auto"/>
            <w:hideMark/>
          </w:tcPr>
          <w:p w14:paraId="6E137A1C"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Martin et al 2017</w:t>
            </w:r>
          </w:p>
        </w:tc>
        <w:tc>
          <w:tcPr>
            <w:tcW w:w="1133" w:type="dxa"/>
            <w:tcBorders>
              <w:top w:val="nil"/>
              <w:left w:val="nil"/>
              <w:bottom w:val="nil"/>
              <w:right w:val="nil"/>
            </w:tcBorders>
            <w:shd w:val="clear" w:color="auto" w:fill="auto"/>
            <w:hideMark/>
          </w:tcPr>
          <w:p w14:paraId="7C407D8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Obesity</w:t>
            </w:r>
          </w:p>
        </w:tc>
        <w:tc>
          <w:tcPr>
            <w:tcW w:w="1431" w:type="dxa"/>
            <w:tcBorders>
              <w:top w:val="nil"/>
              <w:left w:val="nil"/>
              <w:bottom w:val="nil"/>
              <w:right w:val="nil"/>
            </w:tcBorders>
            <w:shd w:val="clear" w:color="auto" w:fill="auto"/>
            <w:hideMark/>
          </w:tcPr>
          <w:p w14:paraId="511D945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Achievement (standardised test scores, teacher- or self-reported grades or average attainment during compulsory education)</w:t>
            </w:r>
          </w:p>
        </w:tc>
        <w:tc>
          <w:tcPr>
            <w:tcW w:w="992" w:type="dxa"/>
            <w:tcBorders>
              <w:top w:val="nil"/>
              <w:left w:val="nil"/>
              <w:bottom w:val="nil"/>
              <w:right w:val="nil"/>
            </w:tcBorders>
            <w:shd w:val="clear" w:color="auto" w:fill="auto"/>
            <w:hideMark/>
          </w:tcPr>
          <w:p w14:paraId="76CFB845"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19DD2EE6"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2017</w:t>
            </w:r>
          </w:p>
        </w:tc>
        <w:tc>
          <w:tcPr>
            <w:tcW w:w="1843" w:type="dxa"/>
            <w:tcBorders>
              <w:top w:val="nil"/>
              <w:left w:val="nil"/>
              <w:bottom w:val="nil"/>
              <w:right w:val="nil"/>
            </w:tcBorders>
            <w:shd w:val="clear" w:color="auto" w:fill="auto"/>
            <w:hideMark/>
          </w:tcPr>
          <w:p w14:paraId="555CDC8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Longitudinal studies of children aged 3-18 years with measured or self-reported weight, body fat or waist circumference (or BMI-derived status such as obese).</w:t>
            </w:r>
          </w:p>
        </w:tc>
        <w:tc>
          <w:tcPr>
            <w:tcW w:w="1417" w:type="dxa"/>
            <w:tcBorders>
              <w:top w:val="nil"/>
              <w:left w:val="nil"/>
              <w:bottom w:val="nil"/>
              <w:right w:val="nil"/>
            </w:tcBorders>
            <w:shd w:val="clear" w:color="auto" w:fill="auto"/>
            <w:hideMark/>
          </w:tcPr>
          <w:p w14:paraId="66854956"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31/31 (reported in 30 articles)</w:t>
            </w:r>
          </w:p>
        </w:tc>
        <w:tc>
          <w:tcPr>
            <w:tcW w:w="1418" w:type="dxa"/>
            <w:tcBorders>
              <w:top w:val="nil"/>
              <w:left w:val="nil"/>
              <w:bottom w:val="nil"/>
              <w:right w:val="nil"/>
            </w:tcBorders>
          </w:tcPr>
          <w:p w14:paraId="3EC6C9D5" w14:textId="26CFE5F9" w:rsidR="007E1124" w:rsidRPr="004A5CB3" w:rsidRDefault="002A3B4D"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USA (17), Taiwan (2), Australia (2), Canada (2), UK (2), Netherlands (2), </w:t>
            </w:r>
            <w:r w:rsidR="00921B8C">
              <w:rPr>
                <w:rFonts w:ascii="Calibri" w:eastAsia="Times New Roman" w:hAnsi="Calibri" w:cs="Calibri"/>
                <w:color w:val="000000"/>
                <w:sz w:val="18"/>
                <w:szCs w:val="18"/>
                <w:lang w:eastAsia="en-GB"/>
              </w:rPr>
              <w:t>Germany</w:t>
            </w:r>
            <w:r>
              <w:rPr>
                <w:rFonts w:ascii="Calibri" w:eastAsia="Times New Roman" w:hAnsi="Calibri" w:cs="Calibri"/>
                <w:color w:val="000000"/>
                <w:sz w:val="18"/>
                <w:szCs w:val="18"/>
                <w:lang w:eastAsia="en-GB"/>
              </w:rPr>
              <w:t xml:space="preserve"> (1), Thailand (1), Peru (1)</w:t>
            </w:r>
          </w:p>
        </w:tc>
        <w:tc>
          <w:tcPr>
            <w:tcW w:w="1134" w:type="dxa"/>
            <w:tcBorders>
              <w:top w:val="nil"/>
              <w:left w:val="nil"/>
              <w:bottom w:val="nil"/>
              <w:right w:val="nil"/>
            </w:tcBorders>
            <w:shd w:val="clear" w:color="auto" w:fill="auto"/>
            <w:hideMark/>
          </w:tcPr>
          <w:p w14:paraId="225B52B8" w14:textId="046C0349"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405 to 21,260 (3,362)</w:t>
            </w:r>
          </w:p>
        </w:tc>
        <w:tc>
          <w:tcPr>
            <w:tcW w:w="1559" w:type="dxa"/>
            <w:tcBorders>
              <w:top w:val="nil"/>
              <w:left w:val="nil"/>
              <w:bottom w:val="nil"/>
              <w:right w:val="nil"/>
            </w:tcBorders>
            <w:shd w:val="clear" w:color="auto" w:fill="auto"/>
            <w:hideMark/>
          </w:tcPr>
          <w:p w14:paraId="2481149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Comparisons were with children not overweight/obese or by continuous measures of percentage body fat, BMI z scores or BMI</w:t>
            </w:r>
          </w:p>
        </w:tc>
        <w:tc>
          <w:tcPr>
            <w:tcW w:w="3119" w:type="dxa"/>
            <w:tcBorders>
              <w:top w:val="nil"/>
              <w:left w:val="nil"/>
              <w:bottom w:val="nil"/>
              <w:right w:val="nil"/>
            </w:tcBorders>
            <w:shd w:val="clear" w:color="auto" w:fill="auto"/>
            <w:hideMark/>
          </w:tcPr>
          <w:p w14:paraId="06FFC41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Obesity was negatively associated with maths achievement among adolescent girls, mediated partly by psychosocial experiences such as bullying and cognitive abilities involving executive functions. There was no clear evidence for other subjects. There was generally no association between obesity and achievement in younger children.</w:t>
            </w:r>
          </w:p>
        </w:tc>
      </w:tr>
      <w:tr w:rsidR="00DC5B17" w:rsidRPr="004A5CB3" w14:paraId="256CD845" w14:textId="77777777" w:rsidTr="00DC5B17">
        <w:trPr>
          <w:trHeight w:val="68"/>
        </w:trPr>
        <w:tc>
          <w:tcPr>
            <w:tcW w:w="1123" w:type="dxa"/>
            <w:tcBorders>
              <w:top w:val="nil"/>
              <w:left w:val="nil"/>
              <w:bottom w:val="nil"/>
              <w:right w:val="nil"/>
            </w:tcBorders>
            <w:shd w:val="clear" w:color="auto" w:fill="auto"/>
          </w:tcPr>
          <w:p w14:paraId="2F7B0F95"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1F11A49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02E3159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5CBEE25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21FE2A2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2EA4F9E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0A131E6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1A824450"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1283845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5A779CF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39CDC0D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67DD45FE" w14:textId="77777777" w:rsidTr="00F11368">
        <w:trPr>
          <w:trHeight w:val="3600"/>
        </w:trPr>
        <w:tc>
          <w:tcPr>
            <w:tcW w:w="1123" w:type="dxa"/>
            <w:tcBorders>
              <w:top w:val="nil"/>
              <w:left w:val="nil"/>
              <w:bottom w:val="nil"/>
              <w:right w:val="nil"/>
            </w:tcBorders>
            <w:shd w:val="clear" w:color="auto" w:fill="auto"/>
            <w:hideMark/>
          </w:tcPr>
          <w:p w14:paraId="690678C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Santana et al 2017</w:t>
            </w:r>
          </w:p>
        </w:tc>
        <w:tc>
          <w:tcPr>
            <w:tcW w:w="1133" w:type="dxa"/>
            <w:tcBorders>
              <w:top w:val="nil"/>
              <w:left w:val="nil"/>
              <w:bottom w:val="nil"/>
              <w:right w:val="nil"/>
            </w:tcBorders>
            <w:shd w:val="clear" w:color="auto" w:fill="auto"/>
            <w:hideMark/>
          </w:tcPr>
          <w:p w14:paraId="385393A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Obesity</w:t>
            </w:r>
          </w:p>
        </w:tc>
        <w:tc>
          <w:tcPr>
            <w:tcW w:w="1431" w:type="dxa"/>
            <w:tcBorders>
              <w:top w:val="nil"/>
              <w:left w:val="nil"/>
              <w:bottom w:val="nil"/>
              <w:right w:val="nil"/>
            </w:tcBorders>
            <w:shd w:val="clear" w:color="auto" w:fill="auto"/>
            <w:hideMark/>
          </w:tcPr>
          <w:p w14:paraId="79552E95"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Academic performance</w:t>
            </w:r>
          </w:p>
        </w:tc>
        <w:tc>
          <w:tcPr>
            <w:tcW w:w="992" w:type="dxa"/>
            <w:tcBorders>
              <w:top w:val="nil"/>
              <w:left w:val="nil"/>
              <w:bottom w:val="nil"/>
              <w:right w:val="nil"/>
            </w:tcBorders>
            <w:shd w:val="clear" w:color="auto" w:fill="auto"/>
            <w:hideMark/>
          </w:tcPr>
          <w:p w14:paraId="53E9090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2E0D52E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Database inception to 2016</w:t>
            </w:r>
          </w:p>
        </w:tc>
        <w:tc>
          <w:tcPr>
            <w:tcW w:w="1843" w:type="dxa"/>
            <w:tcBorders>
              <w:top w:val="nil"/>
              <w:left w:val="nil"/>
              <w:bottom w:val="nil"/>
              <w:right w:val="nil"/>
            </w:tcBorders>
            <w:shd w:val="clear" w:color="auto" w:fill="auto"/>
            <w:hideMark/>
          </w:tcPr>
          <w:p w14:paraId="50322236"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Cross-sectional and longitudinal studies in students &lt;20 years of age examining obesity and an objective measure of academic performance</w:t>
            </w:r>
          </w:p>
        </w:tc>
        <w:tc>
          <w:tcPr>
            <w:tcW w:w="1417" w:type="dxa"/>
            <w:tcBorders>
              <w:top w:val="nil"/>
              <w:left w:val="nil"/>
              <w:bottom w:val="nil"/>
              <w:right w:val="nil"/>
            </w:tcBorders>
            <w:shd w:val="clear" w:color="auto" w:fill="auto"/>
            <w:hideMark/>
          </w:tcPr>
          <w:p w14:paraId="2E57579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34/34</w:t>
            </w:r>
          </w:p>
        </w:tc>
        <w:tc>
          <w:tcPr>
            <w:tcW w:w="1418" w:type="dxa"/>
            <w:tcBorders>
              <w:top w:val="nil"/>
              <w:left w:val="nil"/>
              <w:bottom w:val="nil"/>
              <w:right w:val="nil"/>
            </w:tcBorders>
          </w:tcPr>
          <w:p w14:paraId="21A28871" w14:textId="3CE23AEA" w:rsidR="007E1124" w:rsidRPr="004A5CB3" w:rsidRDefault="00BF7023"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USA (16), Netherlands (2), Colombia (2), Canada (2), Portugal (1), </w:t>
            </w:r>
            <w:r w:rsidR="00921B8C">
              <w:rPr>
                <w:rFonts w:ascii="Calibri" w:eastAsia="Times New Roman" w:hAnsi="Calibri" w:cs="Calibri"/>
                <w:color w:val="000000"/>
                <w:sz w:val="18"/>
                <w:szCs w:val="18"/>
                <w:lang w:eastAsia="en-GB"/>
              </w:rPr>
              <w:t>Finland</w:t>
            </w:r>
            <w:r>
              <w:rPr>
                <w:rFonts w:ascii="Calibri" w:eastAsia="Times New Roman" w:hAnsi="Calibri" w:cs="Calibri"/>
                <w:color w:val="000000"/>
                <w:sz w:val="18"/>
                <w:szCs w:val="18"/>
                <w:lang w:eastAsia="en-GB"/>
              </w:rPr>
              <w:t xml:space="preserve"> (1), Taiwan (1), Iran (1), Denmark (2), Italy (1), Spain (1), Chile (1), UK (1), Korea (1), Kuwait (1), Japan (1)</w:t>
            </w:r>
          </w:p>
        </w:tc>
        <w:tc>
          <w:tcPr>
            <w:tcW w:w="1134" w:type="dxa"/>
            <w:tcBorders>
              <w:top w:val="nil"/>
              <w:left w:val="nil"/>
              <w:bottom w:val="nil"/>
              <w:right w:val="nil"/>
            </w:tcBorders>
            <w:shd w:val="clear" w:color="auto" w:fill="auto"/>
            <w:hideMark/>
          </w:tcPr>
          <w:p w14:paraId="67C84439" w14:textId="6B39C0B3"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37 to 18,746 (1808)</w:t>
            </w:r>
          </w:p>
        </w:tc>
        <w:tc>
          <w:tcPr>
            <w:tcW w:w="1559" w:type="dxa"/>
            <w:tcBorders>
              <w:top w:val="nil"/>
              <w:left w:val="nil"/>
              <w:bottom w:val="nil"/>
              <w:right w:val="nil"/>
            </w:tcBorders>
            <w:shd w:val="clear" w:color="auto" w:fill="auto"/>
            <w:hideMark/>
          </w:tcPr>
          <w:p w14:paraId="08EE2F0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Comparisons with healthy weight peers or gradations in BMI</w:t>
            </w:r>
          </w:p>
        </w:tc>
        <w:tc>
          <w:tcPr>
            <w:tcW w:w="3119" w:type="dxa"/>
            <w:tcBorders>
              <w:top w:val="nil"/>
              <w:left w:val="nil"/>
              <w:bottom w:val="nil"/>
              <w:right w:val="nil"/>
            </w:tcBorders>
            <w:shd w:val="clear" w:color="auto" w:fill="auto"/>
            <w:hideMark/>
          </w:tcPr>
          <w:p w14:paraId="348EDDBC" w14:textId="5BB19DD1" w:rsidR="00775E0E"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11/23 cross-sectional and 4/11 longitudinal studies reported an association between obesity and academic performance. However, none of the four cross-sectional studies of low risk of bias reported an association after adjusting for confounders and only 8/16 medium risk cross-sectional studies did so. Of the four longitudinal studies with low risk of bias, two reported an association such that those who were or became obese had lower performance than healthy-weight peers. In one of these studies, the association was only observed in girls. Only one medium-risk longitudinal study reported an association. The level of evidence is therefore uncertain.</w:t>
            </w:r>
          </w:p>
        </w:tc>
      </w:tr>
      <w:tr w:rsidR="00DC5B17" w:rsidRPr="004A5CB3" w14:paraId="461926E2" w14:textId="77777777" w:rsidTr="00DC5B17">
        <w:trPr>
          <w:trHeight w:val="68"/>
        </w:trPr>
        <w:tc>
          <w:tcPr>
            <w:tcW w:w="1123" w:type="dxa"/>
            <w:tcBorders>
              <w:top w:val="nil"/>
              <w:left w:val="nil"/>
              <w:bottom w:val="nil"/>
              <w:right w:val="nil"/>
            </w:tcBorders>
            <w:shd w:val="clear" w:color="auto" w:fill="auto"/>
          </w:tcPr>
          <w:p w14:paraId="6D6B1E2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nil"/>
              <w:right w:val="nil"/>
            </w:tcBorders>
            <w:shd w:val="clear" w:color="auto" w:fill="auto"/>
          </w:tcPr>
          <w:p w14:paraId="4171A34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nil"/>
              <w:right w:val="nil"/>
            </w:tcBorders>
            <w:shd w:val="clear" w:color="auto" w:fill="auto"/>
          </w:tcPr>
          <w:p w14:paraId="3F91A93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5216902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nil"/>
              <w:right w:val="nil"/>
            </w:tcBorders>
            <w:shd w:val="clear" w:color="auto" w:fill="auto"/>
          </w:tcPr>
          <w:p w14:paraId="46A61AB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nil"/>
              <w:right w:val="nil"/>
            </w:tcBorders>
            <w:shd w:val="clear" w:color="auto" w:fill="auto"/>
          </w:tcPr>
          <w:p w14:paraId="6D5AB3F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nil"/>
              <w:right w:val="nil"/>
            </w:tcBorders>
            <w:shd w:val="clear" w:color="auto" w:fill="auto"/>
          </w:tcPr>
          <w:p w14:paraId="4BB614D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nil"/>
              <w:right w:val="nil"/>
            </w:tcBorders>
          </w:tcPr>
          <w:p w14:paraId="234B6D47"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bottom w:val="nil"/>
              <w:right w:val="nil"/>
            </w:tcBorders>
            <w:shd w:val="clear" w:color="auto" w:fill="auto"/>
          </w:tcPr>
          <w:p w14:paraId="1FAC1476"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bottom w:val="nil"/>
              <w:right w:val="nil"/>
            </w:tcBorders>
            <w:shd w:val="clear" w:color="auto" w:fill="auto"/>
          </w:tcPr>
          <w:p w14:paraId="2799BA4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nil"/>
              <w:right w:val="nil"/>
            </w:tcBorders>
            <w:shd w:val="clear" w:color="auto" w:fill="auto"/>
          </w:tcPr>
          <w:p w14:paraId="4F8BED3D"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6742C58C" w14:textId="77777777" w:rsidTr="00F11368">
        <w:trPr>
          <w:trHeight w:val="2640"/>
        </w:trPr>
        <w:tc>
          <w:tcPr>
            <w:tcW w:w="1123" w:type="dxa"/>
            <w:tcBorders>
              <w:top w:val="nil"/>
              <w:left w:val="nil"/>
              <w:bottom w:val="nil"/>
              <w:right w:val="nil"/>
            </w:tcBorders>
            <w:shd w:val="clear" w:color="auto" w:fill="auto"/>
            <w:hideMark/>
          </w:tcPr>
          <w:p w14:paraId="2ED3132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Segal et al 2021</w:t>
            </w:r>
          </w:p>
        </w:tc>
        <w:tc>
          <w:tcPr>
            <w:tcW w:w="1133" w:type="dxa"/>
            <w:tcBorders>
              <w:top w:val="nil"/>
              <w:left w:val="nil"/>
              <w:bottom w:val="nil"/>
              <w:right w:val="nil"/>
            </w:tcBorders>
            <w:shd w:val="clear" w:color="auto" w:fill="auto"/>
            <w:hideMark/>
          </w:tcPr>
          <w:p w14:paraId="72930FB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Obesity</w:t>
            </w:r>
          </w:p>
        </w:tc>
        <w:tc>
          <w:tcPr>
            <w:tcW w:w="1431" w:type="dxa"/>
            <w:tcBorders>
              <w:top w:val="nil"/>
              <w:left w:val="nil"/>
              <w:bottom w:val="nil"/>
              <w:right w:val="nil"/>
            </w:tcBorders>
            <w:shd w:val="clear" w:color="auto" w:fill="auto"/>
            <w:hideMark/>
          </w:tcPr>
          <w:p w14:paraId="0ECDE68D"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Human capital (including educational attainment measured either using standardised tests, grade point average or educational attainment)</w:t>
            </w:r>
          </w:p>
        </w:tc>
        <w:tc>
          <w:tcPr>
            <w:tcW w:w="992" w:type="dxa"/>
            <w:tcBorders>
              <w:top w:val="nil"/>
              <w:left w:val="nil"/>
              <w:bottom w:val="nil"/>
              <w:right w:val="nil"/>
            </w:tcBorders>
            <w:shd w:val="clear" w:color="auto" w:fill="auto"/>
            <w:hideMark/>
          </w:tcPr>
          <w:p w14:paraId="0C125C6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376FC99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1980 to 2019</w:t>
            </w:r>
          </w:p>
        </w:tc>
        <w:tc>
          <w:tcPr>
            <w:tcW w:w="1843" w:type="dxa"/>
            <w:tcBorders>
              <w:top w:val="nil"/>
              <w:left w:val="nil"/>
              <w:bottom w:val="nil"/>
              <w:right w:val="nil"/>
            </w:tcBorders>
            <w:shd w:val="clear" w:color="auto" w:fill="auto"/>
            <w:hideMark/>
          </w:tcPr>
          <w:p w14:paraId="5694739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Studies had to examine childhood obesity or overweight (without comorbid conditions) in high income countries, be longitudinal and use methods that account for reverse causation and unobserved confounding (i.e., quasi-experimental designs).</w:t>
            </w:r>
          </w:p>
        </w:tc>
        <w:tc>
          <w:tcPr>
            <w:tcW w:w="1417" w:type="dxa"/>
            <w:tcBorders>
              <w:top w:val="nil"/>
              <w:left w:val="nil"/>
              <w:bottom w:val="nil"/>
              <w:right w:val="nil"/>
            </w:tcBorders>
            <w:shd w:val="clear" w:color="auto" w:fill="auto"/>
            <w:hideMark/>
          </w:tcPr>
          <w:p w14:paraId="1823B011"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18/19</w:t>
            </w:r>
          </w:p>
        </w:tc>
        <w:tc>
          <w:tcPr>
            <w:tcW w:w="1418" w:type="dxa"/>
            <w:tcBorders>
              <w:top w:val="nil"/>
              <w:left w:val="nil"/>
              <w:bottom w:val="nil"/>
              <w:right w:val="nil"/>
            </w:tcBorders>
          </w:tcPr>
          <w:p w14:paraId="3D9904D0" w14:textId="37E55A6A" w:rsidR="007E1124" w:rsidRPr="004A5CB3" w:rsidRDefault="00A41E63"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(11), UK (2), Australia (2), Taiwan (2), Canada (1)</w:t>
            </w:r>
          </w:p>
        </w:tc>
        <w:tc>
          <w:tcPr>
            <w:tcW w:w="1134" w:type="dxa"/>
            <w:tcBorders>
              <w:top w:val="nil"/>
              <w:left w:val="nil"/>
              <w:bottom w:val="nil"/>
              <w:right w:val="nil"/>
            </w:tcBorders>
            <w:shd w:val="clear" w:color="auto" w:fill="auto"/>
            <w:hideMark/>
          </w:tcPr>
          <w:p w14:paraId="2C263CD7" w14:textId="735922CD"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409 to 21,260 (4,914)</w:t>
            </w:r>
          </w:p>
        </w:tc>
        <w:tc>
          <w:tcPr>
            <w:tcW w:w="1559" w:type="dxa"/>
            <w:tcBorders>
              <w:top w:val="nil"/>
              <w:left w:val="nil"/>
              <w:bottom w:val="nil"/>
              <w:right w:val="nil"/>
            </w:tcBorders>
            <w:shd w:val="clear" w:color="auto" w:fill="auto"/>
            <w:hideMark/>
          </w:tcPr>
          <w:p w14:paraId="51F8D494" w14:textId="585F7473"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Continuous BMI or categories of weight</w:t>
            </w:r>
          </w:p>
        </w:tc>
        <w:tc>
          <w:tcPr>
            <w:tcW w:w="3119" w:type="dxa"/>
            <w:tcBorders>
              <w:top w:val="nil"/>
              <w:left w:val="nil"/>
              <w:bottom w:val="nil"/>
              <w:right w:val="nil"/>
            </w:tcBorders>
            <w:shd w:val="clear" w:color="auto" w:fill="auto"/>
            <w:hideMark/>
          </w:tcPr>
          <w:p w14:paraId="52000EC0"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Obesity/overweight, especially at older ages (12+ years) was associated with poorer achievement/attainment. Girls experienced larger negative effects than boys.</w:t>
            </w:r>
          </w:p>
        </w:tc>
      </w:tr>
      <w:tr w:rsidR="00F11368" w:rsidRPr="004A5CB3" w14:paraId="6BE403FF" w14:textId="77777777" w:rsidTr="00F11368">
        <w:trPr>
          <w:trHeight w:val="3120"/>
        </w:trPr>
        <w:tc>
          <w:tcPr>
            <w:tcW w:w="1123" w:type="dxa"/>
            <w:tcBorders>
              <w:top w:val="nil"/>
              <w:left w:val="nil"/>
              <w:right w:val="nil"/>
            </w:tcBorders>
            <w:shd w:val="clear" w:color="auto" w:fill="auto"/>
            <w:hideMark/>
          </w:tcPr>
          <w:p w14:paraId="7C9F0F48"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lastRenderedPageBreak/>
              <w:t>Milton et al 2006</w:t>
            </w:r>
          </w:p>
        </w:tc>
        <w:tc>
          <w:tcPr>
            <w:tcW w:w="1133" w:type="dxa"/>
            <w:tcBorders>
              <w:top w:val="nil"/>
              <w:left w:val="nil"/>
              <w:right w:val="nil"/>
            </w:tcBorders>
            <w:shd w:val="clear" w:color="auto" w:fill="auto"/>
            <w:hideMark/>
          </w:tcPr>
          <w:p w14:paraId="7D1A4AEB"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Type 1 diabetes</w:t>
            </w:r>
          </w:p>
        </w:tc>
        <w:tc>
          <w:tcPr>
            <w:tcW w:w="1431" w:type="dxa"/>
            <w:tcBorders>
              <w:top w:val="nil"/>
              <w:left w:val="nil"/>
              <w:right w:val="nil"/>
            </w:tcBorders>
            <w:shd w:val="clear" w:color="auto" w:fill="auto"/>
            <w:hideMark/>
          </w:tcPr>
          <w:p w14:paraId="74B90CAF"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Academic achievement (tests or grades or completion of education) and school absence</w:t>
            </w:r>
          </w:p>
        </w:tc>
        <w:tc>
          <w:tcPr>
            <w:tcW w:w="992" w:type="dxa"/>
            <w:tcBorders>
              <w:top w:val="nil"/>
              <w:left w:val="nil"/>
              <w:right w:val="nil"/>
            </w:tcBorders>
            <w:shd w:val="clear" w:color="auto" w:fill="auto"/>
            <w:hideMark/>
          </w:tcPr>
          <w:p w14:paraId="7A288464"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right w:val="nil"/>
            </w:tcBorders>
            <w:shd w:val="clear" w:color="auto" w:fill="auto"/>
            <w:hideMark/>
          </w:tcPr>
          <w:p w14:paraId="7F6BE30A"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1975 to 2002</w:t>
            </w:r>
          </w:p>
        </w:tc>
        <w:tc>
          <w:tcPr>
            <w:tcW w:w="1843" w:type="dxa"/>
            <w:tcBorders>
              <w:top w:val="nil"/>
              <w:left w:val="nil"/>
              <w:right w:val="nil"/>
            </w:tcBorders>
            <w:shd w:val="clear" w:color="auto" w:fill="auto"/>
            <w:hideMark/>
          </w:tcPr>
          <w:p w14:paraId="68F1FA6E"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Industrialised countries with participants aged less than 18 at time of diabetes type 1 onset.</w:t>
            </w:r>
          </w:p>
        </w:tc>
        <w:tc>
          <w:tcPr>
            <w:tcW w:w="1417" w:type="dxa"/>
            <w:tcBorders>
              <w:top w:val="nil"/>
              <w:left w:val="nil"/>
              <w:right w:val="nil"/>
            </w:tcBorders>
            <w:shd w:val="clear" w:color="auto" w:fill="auto"/>
            <w:hideMark/>
          </w:tcPr>
          <w:p w14:paraId="26213B4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11/20</w:t>
            </w:r>
          </w:p>
        </w:tc>
        <w:tc>
          <w:tcPr>
            <w:tcW w:w="1418" w:type="dxa"/>
            <w:tcBorders>
              <w:top w:val="nil"/>
              <w:left w:val="nil"/>
              <w:right w:val="nil"/>
            </w:tcBorders>
          </w:tcPr>
          <w:p w14:paraId="550429AC" w14:textId="68C5DE53" w:rsidR="007E1124" w:rsidRPr="004A5CB3" w:rsidRDefault="00E44E7B" w:rsidP="002B609B">
            <w:pPr>
              <w:spacing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USA (5), Canada (3), UK (3)</w:t>
            </w:r>
          </w:p>
        </w:tc>
        <w:tc>
          <w:tcPr>
            <w:tcW w:w="1134" w:type="dxa"/>
            <w:tcBorders>
              <w:top w:val="nil"/>
              <w:left w:val="nil"/>
              <w:right w:val="nil"/>
            </w:tcBorders>
            <w:shd w:val="clear" w:color="auto" w:fill="auto"/>
            <w:hideMark/>
          </w:tcPr>
          <w:p w14:paraId="63EC1385" w14:textId="325A8099"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54 to 563 (116)</w:t>
            </w:r>
          </w:p>
        </w:tc>
        <w:tc>
          <w:tcPr>
            <w:tcW w:w="1559" w:type="dxa"/>
            <w:tcBorders>
              <w:top w:val="nil"/>
              <w:left w:val="nil"/>
              <w:right w:val="nil"/>
            </w:tcBorders>
            <w:shd w:val="clear" w:color="auto" w:fill="auto"/>
            <w:hideMark/>
          </w:tcPr>
          <w:p w14:paraId="72B5B16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Siblings or non-related controls</w:t>
            </w:r>
          </w:p>
        </w:tc>
        <w:tc>
          <w:tcPr>
            <w:tcW w:w="3119" w:type="dxa"/>
            <w:tcBorders>
              <w:top w:val="nil"/>
              <w:left w:val="nil"/>
              <w:right w:val="nil"/>
            </w:tcBorders>
            <w:shd w:val="clear" w:color="auto" w:fill="auto"/>
            <w:hideMark/>
          </w:tcPr>
          <w:p w14:paraId="3F639F53" w14:textId="4DF59141" w:rsidR="00F11368"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Although four studies found that children with diabetes were more likely to be absent from school, almost all studies examining attainment found either no difference in attainment between children with and without diabetes or better attainment in those with. However, studies did not generally consider aspects of disease. One study found worse attainment in children with diabetes onset before age 7 and a number of studies found that better/worse metabolic control was associated with better/worse attainment. Most studies were case-control.</w:t>
            </w:r>
          </w:p>
        </w:tc>
      </w:tr>
      <w:tr w:rsidR="00DC5B17" w:rsidRPr="004A5CB3" w14:paraId="19AA1903" w14:textId="77777777" w:rsidTr="00DC5B17">
        <w:trPr>
          <w:trHeight w:val="68"/>
        </w:trPr>
        <w:tc>
          <w:tcPr>
            <w:tcW w:w="1123" w:type="dxa"/>
            <w:tcBorders>
              <w:top w:val="nil"/>
              <w:left w:val="nil"/>
              <w:right w:val="nil"/>
            </w:tcBorders>
            <w:shd w:val="clear" w:color="auto" w:fill="auto"/>
          </w:tcPr>
          <w:p w14:paraId="44E56AD0"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right w:val="nil"/>
            </w:tcBorders>
            <w:shd w:val="clear" w:color="auto" w:fill="auto"/>
          </w:tcPr>
          <w:p w14:paraId="303F92B8"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right w:val="nil"/>
            </w:tcBorders>
            <w:shd w:val="clear" w:color="auto" w:fill="auto"/>
          </w:tcPr>
          <w:p w14:paraId="11EC589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right w:val="nil"/>
            </w:tcBorders>
            <w:shd w:val="clear" w:color="auto" w:fill="auto"/>
          </w:tcPr>
          <w:p w14:paraId="330E5D3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right w:val="nil"/>
            </w:tcBorders>
            <w:shd w:val="clear" w:color="auto" w:fill="auto"/>
          </w:tcPr>
          <w:p w14:paraId="491BA73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right w:val="nil"/>
            </w:tcBorders>
            <w:shd w:val="clear" w:color="auto" w:fill="auto"/>
          </w:tcPr>
          <w:p w14:paraId="44EB5382"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right w:val="nil"/>
            </w:tcBorders>
            <w:shd w:val="clear" w:color="auto" w:fill="auto"/>
          </w:tcPr>
          <w:p w14:paraId="12EF6A3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right w:val="nil"/>
            </w:tcBorders>
          </w:tcPr>
          <w:p w14:paraId="05CB48A2" w14:textId="77777777" w:rsidR="00DC5B17" w:rsidRDefault="00DC5B17" w:rsidP="002B609B">
            <w:pPr>
              <w:spacing w:line="240" w:lineRule="auto"/>
              <w:rPr>
                <w:rFonts w:ascii="Calibri" w:eastAsia="Times New Roman" w:hAnsi="Calibri" w:cs="Calibri"/>
                <w:color w:val="000000"/>
                <w:sz w:val="18"/>
                <w:szCs w:val="18"/>
                <w:lang w:eastAsia="en-GB"/>
              </w:rPr>
            </w:pPr>
          </w:p>
        </w:tc>
        <w:tc>
          <w:tcPr>
            <w:tcW w:w="1134" w:type="dxa"/>
            <w:tcBorders>
              <w:top w:val="nil"/>
              <w:left w:val="nil"/>
              <w:right w:val="nil"/>
            </w:tcBorders>
            <w:shd w:val="clear" w:color="auto" w:fill="auto"/>
          </w:tcPr>
          <w:p w14:paraId="62AE113E"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559" w:type="dxa"/>
            <w:tcBorders>
              <w:top w:val="nil"/>
              <w:left w:val="nil"/>
              <w:right w:val="nil"/>
            </w:tcBorders>
            <w:shd w:val="clear" w:color="auto" w:fill="auto"/>
          </w:tcPr>
          <w:p w14:paraId="4AD85FAC"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right w:val="nil"/>
            </w:tcBorders>
            <w:shd w:val="clear" w:color="auto" w:fill="auto"/>
          </w:tcPr>
          <w:p w14:paraId="69DB35C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r w:rsidR="00F11368" w:rsidRPr="004A5CB3" w14:paraId="7E80255F" w14:textId="77777777" w:rsidTr="00DC5B17">
        <w:trPr>
          <w:trHeight w:val="2400"/>
        </w:trPr>
        <w:tc>
          <w:tcPr>
            <w:tcW w:w="1123" w:type="dxa"/>
            <w:tcBorders>
              <w:top w:val="nil"/>
              <w:left w:val="nil"/>
              <w:bottom w:val="nil"/>
              <w:right w:val="nil"/>
            </w:tcBorders>
            <w:shd w:val="clear" w:color="auto" w:fill="auto"/>
            <w:hideMark/>
          </w:tcPr>
          <w:p w14:paraId="257A4D77"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Oakley et al 2020</w:t>
            </w:r>
          </w:p>
        </w:tc>
        <w:tc>
          <w:tcPr>
            <w:tcW w:w="1133" w:type="dxa"/>
            <w:tcBorders>
              <w:top w:val="nil"/>
              <w:left w:val="nil"/>
              <w:bottom w:val="nil"/>
              <w:right w:val="nil"/>
            </w:tcBorders>
            <w:shd w:val="clear" w:color="auto" w:fill="auto"/>
            <w:hideMark/>
          </w:tcPr>
          <w:p w14:paraId="5FFAA39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Type 1 diabetes</w:t>
            </w:r>
          </w:p>
        </w:tc>
        <w:tc>
          <w:tcPr>
            <w:tcW w:w="1431" w:type="dxa"/>
            <w:tcBorders>
              <w:top w:val="nil"/>
              <w:left w:val="nil"/>
              <w:bottom w:val="nil"/>
              <w:right w:val="nil"/>
            </w:tcBorders>
            <w:shd w:val="clear" w:color="auto" w:fill="auto"/>
            <w:hideMark/>
          </w:tcPr>
          <w:p w14:paraId="2D6213F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High-stakes testing at the end of compulsory education</w:t>
            </w:r>
          </w:p>
        </w:tc>
        <w:tc>
          <w:tcPr>
            <w:tcW w:w="992" w:type="dxa"/>
            <w:tcBorders>
              <w:top w:val="nil"/>
              <w:left w:val="nil"/>
              <w:bottom w:val="nil"/>
              <w:right w:val="nil"/>
            </w:tcBorders>
            <w:shd w:val="clear" w:color="auto" w:fill="auto"/>
            <w:hideMark/>
          </w:tcPr>
          <w:p w14:paraId="26A4FB9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English</w:t>
            </w:r>
          </w:p>
        </w:tc>
        <w:tc>
          <w:tcPr>
            <w:tcW w:w="992" w:type="dxa"/>
            <w:tcBorders>
              <w:top w:val="nil"/>
              <w:left w:val="nil"/>
              <w:bottom w:val="nil"/>
              <w:right w:val="nil"/>
            </w:tcBorders>
            <w:shd w:val="clear" w:color="auto" w:fill="auto"/>
            <w:hideMark/>
          </w:tcPr>
          <w:p w14:paraId="2253C7CA" w14:textId="32E94511"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2004 to 2019</w:t>
            </w:r>
          </w:p>
        </w:tc>
        <w:tc>
          <w:tcPr>
            <w:tcW w:w="1843" w:type="dxa"/>
            <w:tcBorders>
              <w:top w:val="nil"/>
              <w:left w:val="nil"/>
              <w:bottom w:val="nil"/>
              <w:right w:val="nil"/>
            </w:tcBorders>
            <w:shd w:val="clear" w:color="auto" w:fill="auto"/>
            <w:hideMark/>
          </w:tcPr>
          <w:p w14:paraId="03244942"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Observational study or RCT with individuals undertaking high-stakes testing at the end of compulsory education. Comparisons with a representative population control group.</w:t>
            </w:r>
          </w:p>
        </w:tc>
        <w:tc>
          <w:tcPr>
            <w:tcW w:w="1417" w:type="dxa"/>
            <w:tcBorders>
              <w:top w:val="nil"/>
              <w:left w:val="nil"/>
              <w:bottom w:val="nil"/>
              <w:right w:val="nil"/>
            </w:tcBorders>
            <w:shd w:val="clear" w:color="auto" w:fill="auto"/>
            <w:hideMark/>
          </w:tcPr>
          <w:p w14:paraId="221B1749"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2/2</w:t>
            </w:r>
          </w:p>
        </w:tc>
        <w:tc>
          <w:tcPr>
            <w:tcW w:w="1418" w:type="dxa"/>
            <w:tcBorders>
              <w:top w:val="nil"/>
              <w:left w:val="nil"/>
              <w:bottom w:val="nil"/>
              <w:right w:val="nil"/>
            </w:tcBorders>
          </w:tcPr>
          <w:p w14:paraId="214D2614" w14:textId="1DB8ED19" w:rsidR="007E1124" w:rsidRPr="004A5CB3" w:rsidRDefault="00795DBE" w:rsidP="002B609B">
            <w:pPr>
              <w:spacing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Sweden (2)</w:t>
            </w:r>
          </w:p>
        </w:tc>
        <w:tc>
          <w:tcPr>
            <w:tcW w:w="1134" w:type="dxa"/>
            <w:tcBorders>
              <w:top w:val="nil"/>
              <w:left w:val="nil"/>
              <w:bottom w:val="nil"/>
              <w:right w:val="nil"/>
            </w:tcBorders>
            <w:shd w:val="clear" w:color="auto" w:fill="auto"/>
            <w:hideMark/>
          </w:tcPr>
          <w:p w14:paraId="045908BE" w14:textId="1BBF9F40" w:rsidR="007E1124" w:rsidRPr="004A5CB3" w:rsidRDefault="007E1124" w:rsidP="002B609B">
            <w:pPr>
              <w:spacing w:line="240" w:lineRule="auto"/>
              <w:rPr>
                <w:rFonts w:ascii="Calibri" w:eastAsia="Times New Roman" w:hAnsi="Calibri" w:cs="Calibri"/>
                <w:color w:val="000000"/>
                <w:sz w:val="20"/>
                <w:szCs w:val="20"/>
                <w:lang w:eastAsia="en-GB"/>
              </w:rPr>
            </w:pPr>
            <w:r w:rsidRPr="004A5CB3">
              <w:rPr>
                <w:rFonts w:ascii="Calibri" w:eastAsia="Times New Roman" w:hAnsi="Calibri" w:cs="Calibri"/>
                <w:color w:val="000000"/>
                <w:sz w:val="20"/>
                <w:szCs w:val="20"/>
                <w:lang w:eastAsia="en-GB"/>
              </w:rPr>
              <w:t>11,995 and 1,336,126</w:t>
            </w:r>
          </w:p>
        </w:tc>
        <w:tc>
          <w:tcPr>
            <w:tcW w:w="1559" w:type="dxa"/>
            <w:tcBorders>
              <w:top w:val="nil"/>
              <w:left w:val="nil"/>
              <w:bottom w:val="nil"/>
              <w:right w:val="nil"/>
            </w:tcBorders>
            <w:shd w:val="clear" w:color="auto" w:fill="auto"/>
            <w:hideMark/>
          </w:tcPr>
          <w:p w14:paraId="66B1147F" w14:textId="77777777"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Population-representative control group</w:t>
            </w:r>
          </w:p>
        </w:tc>
        <w:tc>
          <w:tcPr>
            <w:tcW w:w="3119" w:type="dxa"/>
            <w:tcBorders>
              <w:top w:val="nil"/>
              <w:left w:val="nil"/>
              <w:bottom w:val="nil"/>
              <w:right w:val="nil"/>
            </w:tcBorders>
            <w:shd w:val="clear" w:color="auto" w:fill="auto"/>
            <w:hideMark/>
          </w:tcPr>
          <w:p w14:paraId="326C442C" w14:textId="1D479E7E" w:rsidR="007E1124" w:rsidRPr="004A5CB3" w:rsidRDefault="007E1124" w:rsidP="002B609B">
            <w:pPr>
              <w:spacing w:line="240" w:lineRule="auto"/>
              <w:rPr>
                <w:rFonts w:ascii="Calibri" w:eastAsia="Times New Roman" w:hAnsi="Calibri" w:cs="Calibri"/>
                <w:color w:val="000000"/>
                <w:sz w:val="18"/>
                <w:szCs w:val="18"/>
                <w:lang w:eastAsia="en-GB"/>
              </w:rPr>
            </w:pPr>
            <w:r w:rsidRPr="004A5CB3">
              <w:rPr>
                <w:rFonts w:ascii="Calibri" w:eastAsia="Times New Roman" w:hAnsi="Calibri" w:cs="Calibri"/>
                <w:color w:val="000000"/>
                <w:sz w:val="18"/>
                <w:szCs w:val="18"/>
                <w:lang w:eastAsia="en-GB"/>
              </w:rPr>
              <w:t>Both studies were of Swedish population registries of individuals born between 1972 and 1985, both of which adjusted for year of birth, gender, school year and level of parental education. One study also adjusted for parental income and country of origin and the other adjusted for parity. Both studies found a weak negative association between diabetes and overall attainment at age 16. The association was stronger for sports/athletics.</w:t>
            </w:r>
          </w:p>
        </w:tc>
      </w:tr>
      <w:tr w:rsidR="00DC5B17" w:rsidRPr="004A5CB3" w14:paraId="74F3302C" w14:textId="77777777" w:rsidTr="00DC5B17">
        <w:trPr>
          <w:trHeight w:val="68"/>
        </w:trPr>
        <w:tc>
          <w:tcPr>
            <w:tcW w:w="1123" w:type="dxa"/>
            <w:tcBorders>
              <w:top w:val="nil"/>
              <w:left w:val="nil"/>
              <w:bottom w:val="single" w:sz="4" w:space="0" w:color="auto"/>
              <w:right w:val="nil"/>
            </w:tcBorders>
            <w:shd w:val="clear" w:color="auto" w:fill="auto"/>
          </w:tcPr>
          <w:p w14:paraId="64E65DD5"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133" w:type="dxa"/>
            <w:tcBorders>
              <w:top w:val="nil"/>
              <w:left w:val="nil"/>
              <w:bottom w:val="single" w:sz="4" w:space="0" w:color="auto"/>
              <w:right w:val="nil"/>
            </w:tcBorders>
            <w:shd w:val="clear" w:color="auto" w:fill="auto"/>
          </w:tcPr>
          <w:p w14:paraId="74AAAFEF"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31" w:type="dxa"/>
            <w:tcBorders>
              <w:top w:val="nil"/>
              <w:left w:val="nil"/>
              <w:bottom w:val="single" w:sz="4" w:space="0" w:color="auto"/>
              <w:right w:val="nil"/>
            </w:tcBorders>
            <w:shd w:val="clear" w:color="auto" w:fill="auto"/>
          </w:tcPr>
          <w:p w14:paraId="532C51D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single" w:sz="4" w:space="0" w:color="auto"/>
              <w:right w:val="nil"/>
            </w:tcBorders>
            <w:shd w:val="clear" w:color="auto" w:fill="auto"/>
          </w:tcPr>
          <w:p w14:paraId="664BB1A4"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992" w:type="dxa"/>
            <w:tcBorders>
              <w:top w:val="nil"/>
              <w:left w:val="nil"/>
              <w:bottom w:val="single" w:sz="4" w:space="0" w:color="auto"/>
              <w:right w:val="nil"/>
            </w:tcBorders>
            <w:shd w:val="clear" w:color="auto" w:fill="auto"/>
          </w:tcPr>
          <w:p w14:paraId="00EABDF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843" w:type="dxa"/>
            <w:tcBorders>
              <w:top w:val="nil"/>
              <w:left w:val="nil"/>
              <w:bottom w:val="single" w:sz="4" w:space="0" w:color="auto"/>
              <w:right w:val="nil"/>
            </w:tcBorders>
            <w:shd w:val="clear" w:color="auto" w:fill="auto"/>
          </w:tcPr>
          <w:p w14:paraId="48858677"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7" w:type="dxa"/>
            <w:tcBorders>
              <w:top w:val="nil"/>
              <w:left w:val="nil"/>
              <w:bottom w:val="single" w:sz="4" w:space="0" w:color="auto"/>
              <w:right w:val="nil"/>
            </w:tcBorders>
            <w:shd w:val="clear" w:color="auto" w:fill="auto"/>
          </w:tcPr>
          <w:p w14:paraId="45845ABF"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1418" w:type="dxa"/>
            <w:tcBorders>
              <w:top w:val="nil"/>
              <w:left w:val="nil"/>
              <w:bottom w:val="single" w:sz="4" w:space="0" w:color="auto"/>
              <w:right w:val="nil"/>
            </w:tcBorders>
          </w:tcPr>
          <w:p w14:paraId="019A3CB0" w14:textId="77777777" w:rsidR="00DC5B17" w:rsidRDefault="00DC5B17" w:rsidP="002B609B">
            <w:pPr>
              <w:spacing w:line="240" w:lineRule="auto"/>
              <w:rPr>
                <w:rFonts w:ascii="Calibri" w:eastAsia="Times New Roman" w:hAnsi="Calibri" w:cs="Calibri"/>
                <w:color w:val="000000"/>
                <w:sz w:val="20"/>
                <w:szCs w:val="20"/>
                <w:lang w:eastAsia="en-GB"/>
              </w:rPr>
            </w:pPr>
          </w:p>
        </w:tc>
        <w:tc>
          <w:tcPr>
            <w:tcW w:w="1134" w:type="dxa"/>
            <w:tcBorders>
              <w:top w:val="nil"/>
              <w:left w:val="nil"/>
              <w:bottom w:val="single" w:sz="4" w:space="0" w:color="auto"/>
              <w:right w:val="nil"/>
            </w:tcBorders>
            <w:shd w:val="clear" w:color="auto" w:fill="auto"/>
          </w:tcPr>
          <w:p w14:paraId="1516E39D" w14:textId="77777777" w:rsidR="00DC5B17" w:rsidRPr="004A5CB3" w:rsidRDefault="00DC5B17" w:rsidP="002B609B">
            <w:pPr>
              <w:spacing w:line="240" w:lineRule="auto"/>
              <w:rPr>
                <w:rFonts w:ascii="Calibri" w:eastAsia="Times New Roman" w:hAnsi="Calibri" w:cs="Calibri"/>
                <w:color w:val="000000"/>
                <w:sz w:val="20"/>
                <w:szCs w:val="20"/>
                <w:lang w:eastAsia="en-GB"/>
              </w:rPr>
            </w:pPr>
          </w:p>
        </w:tc>
        <w:tc>
          <w:tcPr>
            <w:tcW w:w="1559" w:type="dxa"/>
            <w:tcBorders>
              <w:top w:val="nil"/>
              <w:left w:val="nil"/>
              <w:bottom w:val="single" w:sz="4" w:space="0" w:color="auto"/>
              <w:right w:val="nil"/>
            </w:tcBorders>
            <w:shd w:val="clear" w:color="auto" w:fill="auto"/>
          </w:tcPr>
          <w:p w14:paraId="2A26AFF1"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c>
          <w:tcPr>
            <w:tcW w:w="3119" w:type="dxa"/>
            <w:tcBorders>
              <w:top w:val="nil"/>
              <w:left w:val="nil"/>
              <w:bottom w:val="single" w:sz="4" w:space="0" w:color="auto"/>
              <w:right w:val="nil"/>
            </w:tcBorders>
            <w:shd w:val="clear" w:color="auto" w:fill="auto"/>
          </w:tcPr>
          <w:p w14:paraId="29386E7B" w14:textId="77777777" w:rsidR="00DC5B17" w:rsidRPr="004A5CB3" w:rsidRDefault="00DC5B17" w:rsidP="002B609B">
            <w:pPr>
              <w:spacing w:line="240" w:lineRule="auto"/>
              <w:rPr>
                <w:rFonts w:ascii="Calibri" w:eastAsia="Times New Roman" w:hAnsi="Calibri" w:cs="Calibri"/>
                <w:color w:val="000000"/>
                <w:sz w:val="18"/>
                <w:szCs w:val="18"/>
                <w:lang w:eastAsia="en-GB"/>
              </w:rPr>
            </w:pPr>
          </w:p>
        </w:tc>
      </w:tr>
    </w:tbl>
    <w:p w14:paraId="1526A21A" w14:textId="77777777" w:rsidR="007C254B" w:rsidRDefault="007C254B" w:rsidP="007C254B"/>
    <w:p w14:paraId="7A34F468" w14:textId="77777777" w:rsidR="00CF14E4" w:rsidRDefault="00CF14E4" w:rsidP="007C254B"/>
    <w:sectPr w:rsidR="00CF14E4" w:rsidSect="00CF14E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CABC" w14:textId="77777777" w:rsidR="001C05BE" w:rsidRDefault="001C05BE" w:rsidP="003B0491">
      <w:pPr>
        <w:spacing w:line="240" w:lineRule="auto"/>
      </w:pPr>
      <w:r>
        <w:separator/>
      </w:r>
    </w:p>
  </w:endnote>
  <w:endnote w:type="continuationSeparator" w:id="0">
    <w:p w14:paraId="632B8258" w14:textId="77777777" w:rsidR="001C05BE" w:rsidRDefault="001C05BE" w:rsidP="003B0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49DA" w14:textId="77777777" w:rsidR="001C05BE" w:rsidRDefault="001C05BE" w:rsidP="003B0491">
      <w:pPr>
        <w:spacing w:line="240" w:lineRule="auto"/>
      </w:pPr>
      <w:r>
        <w:separator/>
      </w:r>
    </w:p>
  </w:footnote>
  <w:footnote w:type="continuationSeparator" w:id="0">
    <w:p w14:paraId="6A182702" w14:textId="77777777" w:rsidR="001C05BE" w:rsidRDefault="001C05BE" w:rsidP="003B04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46CF"/>
    <w:multiLevelType w:val="multilevel"/>
    <w:tmpl w:val="B776C0EE"/>
    <w:lvl w:ilvl="0">
      <w:start w:val="1"/>
      <w:numFmt w:val="decimal"/>
      <w:pStyle w:val="Heading1"/>
      <w:suff w:val="space"/>
      <w:lvlText w:val="Chapter %1:"/>
      <w:lvlJc w:val="center"/>
      <w:pPr>
        <w:ind w:left="360" w:hanging="360"/>
      </w:pPr>
      <w:rPr>
        <w:rFonts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lowerLetter"/>
      <w:pStyle w:val="Heading5"/>
      <w:suff w:val="space"/>
      <w:lvlText w:val="%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4B"/>
    <w:rsid w:val="00020522"/>
    <w:rsid w:val="000D5551"/>
    <w:rsid w:val="00155A55"/>
    <w:rsid w:val="0018645D"/>
    <w:rsid w:val="00191B2A"/>
    <w:rsid w:val="001C05BE"/>
    <w:rsid w:val="002052D3"/>
    <w:rsid w:val="00216304"/>
    <w:rsid w:val="002A3B4D"/>
    <w:rsid w:val="00355BD9"/>
    <w:rsid w:val="00392169"/>
    <w:rsid w:val="003B0491"/>
    <w:rsid w:val="00442D3E"/>
    <w:rsid w:val="004F5FB9"/>
    <w:rsid w:val="005378E8"/>
    <w:rsid w:val="00591380"/>
    <w:rsid w:val="00623314"/>
    <w:rsid w:val="006D023E"/>
    <w:rsid w:val="00740CB7"/>
    <w:rsid w:val="00775E0E"/>
    <w:rsid w:val="00795DBE"/>
    <w:rsid w:val="007C254B"/>
    <w:rsid w:val="007C2A6D"/>
    <w:rsid w:val="007D18B8"/>
    <w:rsid w:val="007D40B2"/>
    <w:rsid w:val="007E1124"/>
    <w:rsid w:val="008435C8"/>
    <w:rsid w:val="008B7D33"/>
    <w:rsid w:val="008D229B"/>
    <w:rsid w:val="00921B8C"/>
    <w:rsid w:val="009310D6"/>
    <w:rsid w:val="00946BFF"/>
    <w:rsid w:val="00954660"/>
    <w:rsid w:val="009B7F07"/>
    <w:rsid w:val="00A41E63"/>
    <w:rsid w:val="00A54CEA"/>
    <w:rsid w:val="00A62935"/>
    <w:rsid w:val="00B437FB"/>
    <w:rsid w:val="00BF7023"/>
    <w:rsid w:val="00CA3D1D"/>
    <w:rsid w:val="00CF14E4"/>
    <w:rsid w:val="00CF7D58"/>
    <w:rsid w:val="00DC5B17"/>
    <w:rsid w:val="00DD4E4F"/>
    <w:rsid w:val="00E44E7B"/>
    <w:rsid w:val="00F11368"/>
    <w:rsid w:val="00F751B8"/>
    <w:rsid w:val="00FD1DFA"/>
    <w:rsid w:val="00FF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B308"/>
  <w15:docId w15:val="{91F0BB92-DAF4-4B78-B852-889BD9F9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4B"/>
    <w:pPr>
      <w:spacing w:after="0" w:line="360" w:lineRule="auto"/>
    </w:pPr>
    <w:rPr>
      <w:rFonts w:ascii="Georgia" w:hAnsi="Georgia"/>
      <w:sz w:val="24"/>
    </w:rPr>
  </w:style>
  <w:style w:type="paragraph" w:styleId="Heading1">
    <w:name w:val="heading 1"/>
    <w:basedOn w:val="Normal"/>
    <w:next w:val="Normal"/>
    <w:link w:val="Heading1Char"/>
    <w:uiPriority w:val="9"/>
    <w:qFormat/>
    <w:rsid w:val="00946BFF"/>
    <w:pPr>
      <w:keepNext/>
      <w:keepLines/>
      <w:numPr>
        <w:numId w:val="9"/>
      </w:numPr>
      <w:spacing w:before="240" w:line="24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46BFF"/>
    <w:pPr>
      <w:keepNext/>
      <w:keepLines/>
      <w:numPr>
        <w:ilvl w:val="1"/>
        <w:numId w:val="9"/>
      </w:numPr>
      <w:spacing w:before="40"/>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946BFF"/>
    <w:pPr>
      <w:keepNext/>
      <w:keepLines/>
      <w:numPr>
        <w:ilvl w:val="2"/>
        <w:numId w:val="9"/>
      </w:numPr>
      <w:outlineLvl w:val="2"/>
    </w:pPr>
    <w:rPr>
      <w:rFonts w:eastAsiaTheme="majorEastAsia" w:cstheme="majorBidi"/>
      <w:i/>
      <w:color w:val="000000" w:themeColor="text1"/>
      <w:sz w:val="28"/>
      <w:szCs w:val="24"/>
    </w:rPr>
  </w:style>
  <w:style w:type="paragraph" w:styleId="Heading4">
    <w:name w:val="heading 4"/>
    <w:basedOn w:val="Normal"/>
    <w:next w:val="Normal"/>
    <w:link w:val="Heading4Char"/>
    <w:uiPriority w:val="9"/>
    <w:unhideWhenUsed/>
    <w:qFormat/>
    <w:rsid w:val="00946BFF"/>
    <w:pPr>
      <w:keepNext/>
      <w:keepLines/>
      <w:numPr>
        <w:ilvl w:val="3"/>
        <w:numId w:val="9"/>
      </w:numPr>
      <w:spacing w:before="40"/>
      <w:outlineLvl w:val="3"/>
    </w:pPr>
    <w:rPr>
      <w:rFonts w:eastAsiaTheme="majorEastAsia" w:cstheme="majorBidi"/>
      <w:i/>
      <w:iCs/>
    </w:rPr>
  </w:style>
  <w:style w:type="paragraph" w:styleId="Heading5">
    <w:name w:val="heading 5"/>
    <w:basedOn w:val="Normal"/>
    <w:next w:val="Normal"/>
    <w:link w:val="Heading5Char"/>
    <w:uiPriority w:val="9"/>
    <w:unhideWhenUsed/>
    <w:qFormat/>
    <w:rsid w:val="00946BFF"/>
    <w:pPr>
      <w:keepNext/>
      <w:keepLines/>
      <w:numPr>
        <w:ilvl w:val="4"/>
        <w:numId w:val="9"/>
      </w:numPr>
      <w:spacing w:before="40"/>
      <w:outlineLvl w:val="4"/>
    </w:pPr>
    <w:rPr>
      <w:rFonts w:eastAsiaTheme="majorEastAsia" w:cstheme="majorBidi"/>
      <w:i/>
    </w:rPr>
  </w:style>
  <w:style w:type="paragraph" w:styleId="Heading6">
    <w:name w:val="heading 6"/>
    <w:basedOn w:val="Normal"/>
    <w:next w:val="Normal"/>
    <w:link w:val="Heading6Char"/>
    <w:uiPriority w:val="9"/>
    <w:unhideWhenUsed/>
    <w:qFormat/>
    <w:rsid w:val="00946BFF"/>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46BFF"/>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46BF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6BF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946BFF"/>
  </w:style>
  <w:style w:type="paragraph" w:customStyle="1" w:styleId="xmsonormal">
    <w:name w:val="x_msonormal"/>
    <w:basedOn w:val="Normal"/>
    <w:rsid w:val="00946BFF"/>
    <w:pPr>
      <w:spacing w:line="240" w:lineRule="auto"/>
    </w:pPr>
    <w:rPr>
      <w:rFonts w:ascii="Calibri" w:hAnsi="Calibri" w:cs="Calibri"/>
      <w:sz w:val="22"/>
      <w:lang w:eastAsia="en-GB"/>
    </w:rPr>
  </w:style>
  <w:style w:type="character" w:customStyle="1" w:styleId="normaltextrun">
    <w:name w:val="normaltextrun"/>
    <w:basedOn w:val="DefaultParagraphFont"/>
    <w:rsid w:val="00946BFF"/>
  </w:style>
  <w:style w:type="paragraph" w:customStyle="1" w:styleId="msonormal0">
    <w:name w:val="msonormal"/>
    <w:basedOn w:val="Normal"/>
    <w:rsid w:val="00946BF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erChar1">
    <w:name w:val="Header Char1"/>
    <w:basedOn w:val="DefaultParagraphFont"/>
    <w:uiPriority w:val="99"/>
    <w:semiHidden/>
    <w:rsid w:val="00946BFF"/>
  </w:style>
  <w:style w:type="character" w:customStyle="1" w:styleId="FooterChar1">
    <w:name w:val="Footer Char1"/>
    <w:basedOn w:val="DefaultParagraphFont"/>
    <w:uiPriority w:val="99"/>
    <w:semiHidden/>
    <w:rsid w:val="00946BFF"/>
  </w:style>
  <w:style w:type="character" w:customStyle="1" w:styleId="UnresolvedMention1">
    <w:name w:val="Unresolved Mention1"/>
    <w:basedOn w:val="DefaultParagraphFont"/>
    <w:uiPriority w:val="99"/>
    <w:semiHidden/>
    <w:unhideWhenUsed/>
    <w:rsid w:val="00946BFF"/>
    <w:rPr>
      <w:color w:val="605E5C"/>
      <w:shd w:val="clear" w:color="auto" w:fill="E1DFDD"/>
    </w:rPr>
  </w:style>
  <w:style w:type="character" w:customStyle="1" w:styleId="Heading1Char">
    <w:name w:val="Heading 1 Char"/>
    <w:basedOn w:val="DefaultParagraphFont"/>
    <w:link w:val="Heading1"/>
    <w:uiPriority w:val="9"/>
    <w:rsid w:val="00946BFF"/>
    <w:rPr>
      <w:rFonts w:ascii="Georgia" w:eastAsiaTheme="majorEastAsia" w:hAnsi="Georgia" w:cstheme="majorBidi"/>
      <w:b/>
      <w:sz w:val="32"/>
      <w:szCs w:val="32"/>
    </w:rPr>
  </w:style>
  <w:style w:type="character" w:customStyle="1" w:styleId="Heading2Char">
    <w:name w:val="Heading 2 Char"/>
    <w:basedOn w:val="DefaultParagraphFont"/>
    <w:link w:val="Heading2"/>
    <w:uiPriority w:val="9"/>
    <w:rsid w:val="00946BFF"/>
    <w:rPr>
      <w:rFonts w:ascii="Georgia" w:eastAsiaTheme="majorEastAsia" w:hAnsi="Georgia" w:cstheme="majorBidi"/>
      <w:b/>
      <w:i/>
      <w:sz w:val="28"/>
      <w:szCs w:val="26"/>
    </w:rPr>
  </w:style>
  <w:style w:type="character" w:customStyle="1" w:styleId="Heading3Char">
    <w:name w:val="Heading 3 Char"/>
    <w:basedOn w:val="DefaultParagraphFont"/>
    <w:link w:val="Heading3"/>
    <w:uiPriority w:val="9"/>
    <w:rsid w:val="00946BFF"/>
    <w:rPr>
      <w:rFonts w:ascii="Georgia" w:eastAsiaTheme="majorEastAsia" w:hAnsi="Georgia" w:cstheme="majorBidi"/>
      <w:i/>
      <w:color w:val="000000" w:themeColor="text1"/>
      <w:sz w:val="28"/>
      <w:szCs w:val="24"/>
    </w:rPr>
  </w:style>
  <w:style w:type="character" w:customStyle="1" w:styleId="Heading4Char">
    <w:name w:val="Heading 4 Char"/>
    <w:basedOn w:val="DefaultParagraphFont"/>
    <w:link w:val="Heading4"/>
    <w:uiPriority w:val="9"/>
    <w:rsid w:val="00946BFF"/>
    <w:rPr>
      <w:rFonts w:ascii="Georgia" w:eastAsiaTheme="majorEastAsia" w:hAnsi="Georgia" w:cstheme="majorBidi"/>
      <w:i/>
      <w:iCs/>
      <w:sz w:val="24"/>
    </w:rPr>
  </w:style>
  <w:style w:type="character" w:customStyle="1" w:styleId="Heading5Char">
    <w:name w:val="Heading 5 Char"/>
    <w:basedOn w:val="DefaultParagraphFont"/>
    <w:link w:val="Heading5"/>
    <w:uiPriority w:val="9"/>
    <w:rsid w:val="00946BFF"/>
    <w:rPr>
      <w:rFonts w:ascii="Georgia" w:eastAsiaTheme="majorEastAsia" w:hAnsi="Georgia" w:cstheme="majorBidi"/>
      <w:i/>
      <w:sz w:val="24"/>
    </w:rPr>
  </w:style>
  <w:style w:type="character" w:customStyle="1" w:styleId="Heading6Char">
    <w:name w:val="Heading 6 Char"/>
    <w:basedOn w:val="DefaultParagraphFont"/>
    <w:link w:val="Heading6"/>
    <w:uiPriority w:val="9"/>
    <w:rsid w:val="00946BF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946BF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946B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6BFF"/>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946BFF"/>
    <w:pPr>
      <w:spacing w:after="100"/>
    </w:pPr>
  </w:style>
  <w:style w:type="paragraph" w:styleId="TOC2">
    <w:name w:val="toc 2"/>
    <w:basedOn w:val="Normal"/>
    <w:next w:val="Normal"/>
    <w:autoRedefine/>
    <w:uiPriority w:val="39"/>
    <w:unhideWhenUsed/>
    <w:rsid w:val="00946BFF"/>
    <w:pPr>
      <w:spacing w:after="100"/>
      <w:ind w:left="240"/>
    </w:pPr>
  </w:style>
  <w:style w:type="paragraph" w:styleId="TOC3">
    <w:name w:val="toc 3"/>
    <w:basedOn w:val="Normal"/>
    <w:next w:val="Normal"/>
    <w:autoRedefine/>
    <w:uiPriority w:val="39"/>
    <w:unhideWhenUsed/>
    <w:rsid w:val="00946BFF"/>
    <w:pPr>
      <w:spacing w:after="100"/>
      <w:ind w:left="480"/>
    </w:pPr>
  </w:style>
  <w:style w:type="paragraph" w:styleId="TOC4">
    <w:name w:val="toc 4"/>
    <w:basedOn w:val="Normal"/>
    <w:next w:val="Normal"/>
    <w:autoRedefine/>
    <w:uiPriority w:val="39"/>
    <w:unhideWhenUsed/>
    <w:rsid w:val="00946BFF"/>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946BFF"/>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946BFF"/>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946BFF"/>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946BFF"/>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946BFF"/>
    <w:pPr>
      <w:spacing w:after="100" w:line="259" w:lineRule="auto"/>
      <w:ind w:left="1760"/>
    </w:pPr>
    <w:rPr>
      <w:rFonts w:asciiTheme="minorHAnsi" w:eastAsiaTheme="minorEastAsia" w:hAnsiTheme="minorHAnsi"/>
      <w:sz w:val="22"/>
      <w:lang w:eastAsia="en-GB"/>
    </w:rPr>
  </w:style>
  <w:style w:type="paragraph" w:styleId="FootnoteText">
    <w:name w:val="footnote text"/>
    <w:basedOn w:val="Normal"/>
    <w:link w:val="FootnoteTextChar"/>
    <w:uiPriority w:val="99"/>
    <w:semiHidden/>
    <w:unhideWhenUsed/>
    <w:rsid w:val="00946BFF"/>
    <w:pPr>
      <w:spacing w:line="240" w:lineRule="auto"/>
    </w:pPr>
    <w:rPr>
      <w:sz w:val="20"/>
      <w:szCs w:val="20"/>
    </w:rPr>
  </w:style>
  <w:style w:type="character" w:customStyle="1" w:styleId="FootnoteTextChar">
    <w:name w:val="Footnote Text Char"/>
    <w:basedOn w:val="DefaultParagraphFont"/>
    <w:link w:val="FootnoteText"/>
    <w:uiPriority w:val="99"/>
    <w:semiHidden/>
    <w:rsid w:val="00946BFF"/>
    <w:rPr>
      <w:rFonts w:ascii="Georgia" w:hAnsi="Georgia"/>
      <w:sz w:val="20"/>
      <w:szCs w:val="20"/>
    </w:rPr>
  </w:style>
  <w:style w:type="paragraph" w:styleId="CommentText">
    <w:name w:val="annotation text"/>
    <w:basedOn w:val="Normal"/>
    <w:link w:val="CommentTextChar"/>
    <w:uiPriority w:val="99"/>
    <w:unhideWhenUsed/>
    <w:rsid w:val="00946BFF"/>
    <w:pPr>
      <w:spacing w:line="240" w:lineRule="auto"/>
    </w:pPr>
    <w:rPr>
      <w:sz w:val="20"/>
      <w:szCs w:val="20"/>
    </w:rPr>
  </w:style>
  <w:style w:type="character" w:customStyle="1" w:styleId="CommentTextChar">
    <w:name w:val="Comment Text Char"/>
    <w:basedOn w:val="DefaultParagraphFont"/>
    <w:link w:val="CommentText"/>
    <w:uiPriority w:val="99"/>
    <w:rsid w:val="00946BFF"/>
    <w:rPr>
      <w:rFonts w:ascii="Georgia" w:hAnsi="Georgia"/>
      <w:sz w:val="20"/>
      <w:szCs w:val="20"/>
    </w:rPr>
  </w:style>
  <w:style w:type="paragraph" w:styleId="Header">
    <w:name w:val="header"/>
    <w:basedOn w:val="Normal"/>
    <w:link w:val="HeaderChar"/>
    <w:uiPriority w:val="99"/>
    <w:unhideWhenUsed/>
    <w:rsid w:val="00946BFF"/>
    <w:pPr>
      <w:tabs>
        <w:tab w:val="center" w:pos="4513"/>
        <w:tab w:val="right" w:pos="9026"/>
      </w:tabs>
      <w:spacing w:line="240" w:lineRule="auto"/>
    </w:pPr>
  </w:style>
  <w:style w:type="character" w:customStyle="1" w:styleId="HeaderChar">
    <w:name w:val="Header Char"/>
    <w:basedOn w:val="DefaultParagraphFont"/>
    <w:link w:val="Header"/>
    <w:uiPriority w:val="99"/>
    <w:rsid w:val="00946BFF"/>
    <w:rPr>
      <w:rFonts w:ascii="Georgia" w:hAnsi="Georgia"/>
      <w:sz w:val="24"/>
    </w:rPr>
  </w:style>
  <w:style w:type="paragraph" w:styleId="Footer">
    <w:name w:val="footer"/>
    <w:basedOn w:val="Normal"/>
    <w:link w:val="FooterChar"/>
    <w:uiPriority w:val="99"/>
    <w:unhideWhenUsed/>
    <w:rsid w:val="00946BFF"/>
    <w:pPr>
      <w:tabs>
        <w:tab w:val="center" w:pos="4513"/>
        <w:tab w:val="right" w:pos="9026"/>
      </w:tabs>
      <w:spacing w:line="240" w:lineRule="auto"/>
    </w:pPr>
  </w:style>
  <w:style w:type="character" w:customStyle="1" w:styleId="FooterChar">
    <w:name w:val="Footer Char"/>
    <w:basedOn w:val="DefaultParagraphFont"/>
    <w:link w:val="Footer"/>
    <w:uiPriority w:val="99"/>
    <w:rsid w:val="00946BFF"/>
    <w:rPr>
      <w:rFonts w:ascii="Georgia" w:hAnsi="Georgia"/>
      <w:sz w:val="24"/>
    </w:rPr>
  </w:style>
  <w:style w:type="paragraph" w:styleId="Caption">
    <w:name w:val="caption"/>
    <w:basedOn w:val="Normal"/>
    <w:next w:val="Normal"/>
    <w:uiPriority w:val="35"/>
    <w:unhideWhenUsed/>
    <w:qFormat/>
    <w:rsid w:val="00946BFF"/>
    <w:pPr>
      <w:spacing w:line="240" w:lineRule="auto"/>
    </w:pPr>
    <w:rPr>
      <w:iCs/>
      <w:szCs w:val="18"/>
    </w:rPr>
  </w:style>
  <w:style w:type="paragraph" w:styleId="TableofFigures">
    <w:name w:val="table of figures"/>
    <w:basedOn w:val="Normal"/>
    <w:next w:val="Normal"/>
    <w:uiPriority w:val="99"/>
    <w:unhideWhenUsed/>
    <w:rsid w:val="00946BFF"/>
  </w:style>
  <w:style w:type="character" w:styleId="FootnoteReference">
    <w:name w:val="footnote reference"/>
    <w:basedOn w:val="DefaultParagraphFont"/>
    <w:uiPriority w:val="99"/>
    <w:semiHidden/>
    <w:unhideWhenUsed/>
    <w:rsid w:val="00946BFF"/>
    <w:rPr>
      <w:vertAlign w:val="superscript"/>
    </w:rPr>
  </w:style>
  <w:style w:type="character" w:styleId="CommentReference">
    <w:name w:val="annotation reference"/>
    <w:basedOn w:val="DefaultParagraphFont"/>
    <w:uiPriority w:val="99"/>
    <w:semiHidden/>
    <w:unhideWhenUsed/>
    <w:rsid w:val="00946BFF"/>
    <w:rPr>
      <w:sz w:val="16"/>
      <w:szCs w:val="16"/>
    </w:rPr>
  </w:style>
  <w:style w:type="character" w:styleId="EndnoteReference">
    <w:name w:val="endnote reference"/>
    <w:basedOn w:val="DefaultParagraphFont"/>
    <w:uiPriority w:val="99"/>
    <w:semiHidden/>
    <w:unhideWhenUsed/>
    <w:rsid w:val="00946BFF"/>
    <w:rPr>
      <w:vertAlign w:val="superscript"/>
    </w:rPr>
  </w:style>
  <w:style w:type="paragraph" w:styleId="Title">
    <w:name w:val="Title"/>
    <w:basedOn w:val="Normal"/>
    <w:next w:val="Normal"/>
    <w:link w:val="TitleChar"/>
    <w:uiPriority w:val="10"/>
    <w:qFormat/>
    <w:rsid w:val="00946BFF"/>
    <w:pPr>
      <w:spacing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946BFF"/>
    <w:rPr>
      <w:rFonts w:ascii="Georgia" w:eastAsiaTheme="majorEastAsia" w:hAnsi="Georgia" w:cstheme="majorBidi"/>
      <w:b/>
      <w:spacing w:val="-10"/>
      <w:kern w:val="28"/>
      <w:sz w:val="36"/>
      <w:szCs w:val="56"/>
    </w:rPr>
  </w:style>
  <w:style w:type="paragraph" w:styleId="Subtitle">
    <w:name w:val="Subtitle"/>
    <w:basedOn w:val="Normal"/>
    <w:next w:val="Normal"/>
    <w:link w:val="SubtitleChar"/>
    <w:uiPriority w:val="11"/>
    <w:qFormat/>
    <w:rsid w:val="00946BFF"/>
    <w:pPr>
      <w:numPr>
        <w:ilvl w:val="1"/>
      </w:numPr>
      <w:spacing w:after="160"/>
    </w:pPr>
    <w:rPr>
      <w:color w:val="5A5A5A" w:themeColor="text1" w:themeTint="A5"/>
      <w:spacing w:val="15"/>
      <w:sz w:val="22"/>
    </w:rPr>
  </w:style>
  <w:style w:type="character" w:customStyle="1" w:styleId="SubtitleChar">
    <w:name w:val="Subtitle Char"/>
    <w:basedOn w:val="DefaultParagraphFont"/>
    <w:link w:val="Subtitle"/>
    <w:uiPriority w:val="11"/>
    <w:rsid w:val="00946BFF"/>
    <w:rPr>
      <w:rFonts w:ascii="Georgia" w:hAnsi="Georgia"/>
      <w:color w:val="5A5A5A" w:themeColor="text1" w:themeTint="A5"/>
      <w:spacing w:val="15"/>
    </w:rPr>
  </w:style>
  <w:style w:type="character" w:styleId="Hyperlink">
    <w:name w:val="Hyperlink"/>
    <w:basedOn w:val="DefaultParagraphFont"/>
    <w:uiPriority w:val="99"/>
    <w:unhideWhenUsed/>
    <w:rsid w:val="00946BFF"/>
    <w:rPr>
      <w:color w:val="0000FF"/>
      <w:u w:val="single"/>
    </w:rPr>
  </w:style>
  <w:style w:type="character" w:styleId="FollowedHyperlink">
    <w:name w:val="FollowedHyperlink"/>
    <w:basedOn w:val="DefaultParagraphFont"/>
    <w:uiPriority w:val="99"/>
    <w:semiHidden/>
    <w:unhideWhenUsed/>
    <w:rsid w:val="00946BFF"/>
    <w:rPr>
      <w:color w:val="954F72" w:themeColor="followedHyperlink"/>
      <w:u w:val="single"/>
    </w:rPr>
  </w:style>
  <w:style w:type="character" w:styleId="Emphasis">
    <w:name w:val="Emphasis"/>
    <w:basedOn w:val="DefaultParagraphFont"/>
    <w:uiPriority w:val="20"/>
    <w:qFormat/>
    <w:rsid w:val="00946BFF"/>
    <w:rPr>
      <w:rFonts w:ascii="Garamond" w:hAnsi="Garamond"/>
      <w:i/>
      <w:iCs/>
    </w:rPr>
  </w:style>
  <w:style w:type="paragraph" w:styleId="NormalWeb">
    <w:name w:val="Normal (Web)"/>
    <w:basedOn w:val="Normal"/>
    <w:uiPriority w:val="99"/>
    <w:unhideWhenUsed/>
    <w:rsid w:val="00946BFF"/>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946BFF"/>
    <w:rPr>
      <w:b/>
      <w:bCs/>
    </w:rPr>
  </w:style>
  <w:style w:type="character" w:customStyle="1" w:styleId="CommentSubjectChar">
    <w:name w:val="Comment Subject Char"/>
    <w:basedOn w:val="CommentTextChar"/>
    <w:link w:val="CommentSubject"/>
    <w:uiPriority w:val="99"/>
    <w:semiHidden/>
    <w:rsid w:val="00946BFF"/>
    <w:rPr>
      <w:rFonts w:ascii="Georgia" w:hAnsi="Georgia"/>
      <w:b/>
      <w:bCs/>
      <w:sz w:val="20"/>
      <w:szCs w:val="20"/>
    </w:rPr>
  </w:style>
  <w:style w:type="paragraph" w:styleId="BalloonText">
    <w:name w:val="Balloon Text"/>
    <w:basedOn w:val="Normal"/>
    <w:link w:val="BalloonTextChar"/>
    <w:uiPriority w:val="99"/>
    <w:semiHidden/>
    <w:unhideWhenUsed/>
    <w:rsid w:val="00946B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BFF"/>
    <w:rPr>
      <w:rFonts w:ascii="Segoe UI" w:hAnsi="Segoe UI" w:cs="Segoe UI"/>
      <w:sz w:val="18"/>
      <w:szCs w:val="18"/>
    </w:rPr>
  </w:style>
  <w:style w:type="table" w:styleId="TableGrid">
    <w:name w:val="Table Grid"/>
    <w:basedOn w:val="TableNormal"/>
    <w:uiPriority w:val="39"/>
    <w:rsid w:val="0094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6BFF"/>
    <w:pPr>
      <w:spacing w:after="0" w:line="360" w:lineRule="auto"/>
    </w:pPr>
    <w:rPr>
      <w:rFonts w:ascii="Georgia" w:hAnsi="Georgia"/>
      <w:sz w:val="24"/>
    </w:rPr>
  </w:style>
  <w:style w:type="paragraph" w:styleId="ListParagraph">
    <w:name w:val="List Paragraph"/>
    <w:basedOn w:val="Normal"/>
    <w:uiPriority w:val="34"/>
    <w:qFormat/>
    <w:rsid w:val="00946BFF"/>
    <w:pPr>
      <w:ind w:left="720"/>
      <w:contextualSpacing/>
    </w:pPr>
  </w:style>
  <w:style w:type="character" w:styleId="SubtleEmphasis">
    <w:name w:val="Subtle Emphasis"/>
    <w:basedOn w:val="DefaultParagraphFont"/>
    <w:uiPriority w:val="19"/>
    <w:qFormat/>
    <w:rsid w:val="00946BFF"/>
    <w:rPr>
      <w:rFonts w:ascii="Garamond" w:hAnsi="Garamond"/>
      <w:i/>
      <w:iCs/>
      <w:color w:val="404040" w:themeColor="text1" w:themeTint="BF"/>
    </w:rPr>
  </w:style>
  <w:style w:type="paragraph" w:styleId="TOCHeading">
    <w:name w:val="TOC Heading"/>
    <w:basedOn w:val="Heading1"/>
    <w:next w:val="Normal"/>
    <w:uiPriority w:val="39"/>
    <w:unhideWhenUsed/>
    <w:qFormat/>
    <w:rsid w:val="00946BFF"/>
    <w:pPr>
      <w:numPr>
        <w:numId w:val="0"/>
      </w:numPr>
      <w:spacing w:line="259" w:lineRule="auto"/>
      <w:outlineLvl w:val="9"/>
    </w:pPr>
    <w:rPr>
      <w:rFonts w:asciiTheme="majorHAnsi" w:hAnsiTheme="majorHAnsi"/>
      <w:b w:val="0"/>
      <w:color w:val="2F5496" w:themeColor="accent1" w:themeShade="BF"/>
      <w:lang w:val="en-US"/>
    </w:rPr>
  </w:style>
  <w:style w:type="character" w:customStyle="1" w:styleId="UnresolvedMention2">
    <w:name w:val="Unresolved Mention2"/>
    <w:basedOn w:val="DefaultParagraphFont"/>
    <w:uiPriority w:val="99"/>
    <w:semiHidden/>
    <w:unhideWhenUsed/>
    <w:rsid w:val="00946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3837</Words>
  <Characters>21871</Characters>
  <Application>Microsoft Office Word</Application>
  <DocSecurity>0</DocSecurity>
  <Lines>182</Lines>
  <Paragraphs>51</Paragraphs>
  <ScaleCrop>false</ScaleCrop>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Matthew</dc:creator>
  <cp:keywords/>
  <dc:description/>
  <cp:lastModifiedBy>Misty Robson</cp:lastModifiedBy>
  <cp:revision>2</cp:revision>
  <dcterms:created xsi:type="dcterms:W3CDTF">2023-06-06T11:08:00Z</dcterms:created>
  <dcterms:modified xsi:type="dcterms:W3CDTF">2023-06-06T11:08:00Z</dcterms:modified>
</cp:coreProperties>
</file>