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2B6B0F4A" w:rsidR="00654E8F" w:rsidRDefault="00654E8F" w:rsidP="00401141">
      <w:pPr>
        <w:pStyle w:val="SupplementaryMaterial"/>
        <w:spacing w:before="120"/>
      </w:pPr>
      <w:r w:rsidRPr="001549D3">
        <w:t>Supplementary Material</w:t>
      </w:r>
    </w:p>
    <w:p w14:paraId="45365017" w14:textId="77777777" w:rsidR="00401141" w:rsidRPr="00401141" w:rsidRDefault="00401141" w:rsidP="00401141">
      <w:pPr>
        <w:pStyle w:val="Titel"/>
        <w:spacing w:before="120" w:after="120"/>
      </w:pPr>
    </w:p>
    <w:p w14:paraId="7D205A8D" w14:textId="2F828403" w:rsidR="00401141" w:rsidRPr="00401141" w:rsidRDefault="00401141" w:rsidP="00401141">
      <w:pPr>
        <w:keepNext/>
        <w:spacing w:after="120"/>
        <w:rPr>
          <w:rFonts w:cs="Times New Roman"/>
          <w:szCs w:val="24"/>
        </w:rPr>
      </w:pPr>
      <w:bookmarkStart w:id="0" w:name="_Hlk120283167"/>
      <w:r w:rsidRPr="00401141">
        <w:rPr>
          <w:rFonts w:cs="Times New Roman"/>
          <w:b/>
          <w:szCs w:val="24"/>
        </w:rPr>
        <w:t>Supplementary Table 1: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Toxicity of concanamycin A treatment by trypan</w:t>
      </w:r>
      <w:r w:rsidR="00C1455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blue staining in PBMCs.</w:t>
      </w:r>
    </w:p>
    <w:tbl>
      <w:tblPr>
        <w:tblW w:w="90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"/>
        <w:gridCol w:w="961"/>
        <w:gridCol w:w="960"/>
        <w:gridCol w:w="1120"/>
        <w:gridCol w:w="1080"/>
        <w:gridCol w:w="1040"/>
        <w:gridCol w:w="940"/>
        <w:gridCol w:w="1200"/>
        <w:gridCol w:w="900"/>
      </w:tblGrid>
      <w:tr w:rsidR="00401141" w:rsidRPr="00401141" w14:paraId="247B655D" w14:textId="77777777" w:rsidTr="00401141">
        <w:trPr>
          <w:trHeight w:val="517"/>
        </w:trPr>
        <w:tc>
          <w:tcPr>
            <w:tcW w:w="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0C24A30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proofErr w:type="spellStart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Species</w:t>
            </w:r>
            <w:proofErr w:type="spellEnd"/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748E0B1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proofErr w:type="spellStart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Strain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084B83B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Sample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5409A72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 xml:space="preserve">Living </w:t>
            </w:r>
            <w:proofErr w:type="spellStart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cells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115F480F" w14:textId="04EEE7B4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 xml:space="preserve">Dead </w:t>
            </w:r>
            <w:proofErr w:type="spellStart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cells</w:t>
            </w:r>
            <w:proofErr w:type="spellEnd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 xml:space="preserve"> (</w:t>
            </w:r>
            <w:proofErr w:type="spellStart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Stained</w:t>
            </w:r>
            <w:proofErr w:type="spellEnd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0F5C31B5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 xml:space="preserve">Total </w:t>
            </w:r>
            <w:proofErr w:type="spellStart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cells</w:t>
            </w:r>
            <w:proofErr w:type="spellEnd"/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5EEBA074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 xml:space="preserve">Living </w:t>
            </w:r>
            <w:proofErr w:type="spellStart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cells</w:t>
            </w:r>
            <w:proofErr w:type="spellEnd"/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 xml:space="preserve"> [%]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107768B8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Mean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bottom"/>
            <w:hideMark/>
          </w:tcPr>
          <w:p w14:paraId="4FF927D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SD</w:t>
            </w:r>
          </w:p>
        </w:tc>
      </w:tr>
      <w:tr w:rsidR="00401141" w:rsidRPr="00401141" w14:paraId="4DCB6C8A" w14:textId="77777777" w:rsidTr="00401141">
        <w:trPr>
          <w:trHeight w:val="517"/>
        </w:trPr>
        <w:tc>
          <w:tcPr>
            <w:tcW w:w="8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C61F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7685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DE7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58E0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602ED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AFEEA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20F0E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60D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778F90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28EB01EB" w14:textId="77777777" w:rsidTr="00401141">
        <w:trPr>
          <w:trHeight w:val="300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00FD32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Mouse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A257EE0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C57BL6/J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81382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30A0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43E4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4C89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DAEA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95,862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3738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95,571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A54F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0,971</w:t>
            </w:r>
          </w:p>
        </w:tc>
      </w:tr>
      <w:tr w:rsidR="00401141" w:rsidRPr="00401141" w14:paraId="390EE959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B55B07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0065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0F4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5ED2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843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3DE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2C6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96,364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31316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80036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71AAAA38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1AC2E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6A35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7B1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5410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A58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2354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2DF3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94,488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945A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9008B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39401071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511577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3818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9C1BD99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proofErr w:type="spellStart"/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ConA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57F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9B12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B55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AB9C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95,541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4894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96,015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9257E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0,692</w:t>
            </w:r>
          </w:p>
        </w:tc>
      </w:tr>
      <w:tr w:rsidR="00401141" w:rsidRPr="00401141" w14:paraId="671BE3EB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C38555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EF642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9F66D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9322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4988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B980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4E34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96,809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EC72E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9C029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62B11139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03ADC0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D7080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1987F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0A3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B8A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A720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42E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95,694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6E4F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C4B71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7214F68F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EE9B10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5BF891C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NZO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FBB7EA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3D1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4DDC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B4B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5288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98,305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1B1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96,494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46DC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1,667</w:t>
            </w:r>
          </w:p>
        </w:tc>
      </w:tr>
      <w:tr w:rsidR="00401141" w:rsidRPr="00401141" w14:paraId="597B2032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43C8C8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7A6BD0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C527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6B04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706A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650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B0A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96,154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CA78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362D78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1CBAD23C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F0291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625DCE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553E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0836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DBEE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0AE9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512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95,023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1399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5AAD6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41E1C25A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2019C5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896977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A9FDE56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proofErr w:type="spellStart"/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ConA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567E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040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5BBA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F0F3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96,703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4FDA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97,478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2332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0,718</w:t>
            </w:r>
          </w:p>
        </w:tc>
      </w:tr>
      <w:tr w:rsidR="00401141" w:rsidRPr="00401141" w14:paraId="1C0D9F12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9C65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6AFB07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2D2C4F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BAC6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233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7E75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F0D3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98,122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58978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B7B0FD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16854EE5" w14:textId="77777777" w:rsidTr="00401141">
        <w:trPr>
          <w:trHeight w:val="315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9C421D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A144CC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D94663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1C9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3B94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B5E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BD62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97,608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EB0FFA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D0A637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70500016" w14:textId="77777777" w:rsidTr="00401141">
        <w:trPr>
          <w:trHeight w:val="300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330628A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Human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240F63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326AA8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7E3C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770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EA7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A32A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92,571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4F5C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93,372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152BE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0,693</w:t>
            </w:r>
          </w:p>
        </w:tc>
      </w:tr>
      <w:tr w:rsidR="00401141" w:rsidRPr="00401141" w14:paraId="7AD131B7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204D9E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4E8988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EE5CB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9036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3DE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DD4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E1E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93,750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D315B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0B47DF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54BB3FA7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6D357D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A9C790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9C046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F28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031C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14A1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22F6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93,793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10571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3AA43B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1657733D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85C9CD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9B990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4AC6C3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proofErr w:type="spellStart"/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ConA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EE2D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E4D3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607F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177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CD10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93,220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D25B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93,160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AA422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0,119</w:t>
            </w:r>
          </w:p>
        </w:tc>
      </w:tr>
      <w:tr w:rsidR="00401141" w:rsidRPr="00401141" w14:paraId="1B3008F4" w14:textId="77777777" w:rsidTr="00401141">
        <w:trPr>
          <w:trHeight w:val="300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EC9831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977003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B0DF42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BB58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0D09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0C08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48D3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93,023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D2B027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BC986A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  <w:tr w:rsidR="00401141" w:rsidRPr="00401141" w14:paraId="690C20D7" w14:textId="77777777" w:rsidTr="00401141">
        <w:trPr>
          <w:trHeight w:val="315"/>
        </w:trPr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D44871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EBDBB0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lang w:val="de-DE" w:eastAsia="de-DE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57B119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F4D5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66D2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5F2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207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4557" w14:textId="77777777" w:rsidR="00401141" w:rsidRPr="00401141" w:rsidRDefault="00401141" w:rsidP="00401141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  <w:r w:rsidRPr="00401141"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  <w:t>93,237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B30334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8ED19D" w14:textId="77777777" w:rsidR="00401141" w:rsidRPr="00401141" w:rsidRDefault="00401141" w:rsidP="00401141">
            <w:pPr>
              <w:spacing w:before="0" w:after="0"/>
              <w:rPr>
                <w:rFonts w:ascii="Arial" w:eastAsia="Times New Roman" w:hAnsi="Arial" w:cs="Arial"/>
                <w:color w:val="000000"/>
                <w:sz w:val="18"/>
                <w:lang w:val="de-DE" w:eastAsia="de-DE"/>
              </w:rPr>
            </w:pPr>
          </w:p>
        </w:tc>
      </w:tr>
    </w:tbl>
    <w:p w14:paraId="6B1BE0A0" w14:textId="77777777" w:rsidR="00401141" w:rsidRDefault="00401141" w:rsidP="00401141">
      <w:pPr>
        <w:keepNext/>
        <w:rPr>
          <w:rFonts w:cs="Times New Roman"/>
          <w:b/>
          <w:szCs w:val="24"/>
        </w:rPr>
      </w:pPr>
    </w:p>
    <w:p w14:paraId="3D4F6F3B" w14:textId="77777777" w:rsidR="00401141" w:rsidRDefault="00401141" w:rsidP="00401141">
      <w:pPr>
        <w:keepNext/>
        <w:rPr>
          <w:rFonts w:cs="Times New Roman"/>
          <w:b/>
          <w:szCs w:val="24"/>
        </w:rPr>
      </w:pPr>
    </w:p>
    <w:p w14:paraId="787B7FF6" w14:textId="27853BAF" w:rsidR="00401141" w:rsidRDefault="00401141" w:rsidP="00401141">
      <w:pPr>
        <w:keepNext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874820B" wp14:editId="58ADDA47">
            <wp:extent cx="3657438" cy="2084832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ter et al Fig. S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53"/>
                    <a:stretch/>
                  </pic:blipFill>
                  <pic:spPr bwMode="auto">
                    <a:xfrm>
                      <a:off x="0" y="0"/>
                      <a:ext cx="3657438" cy="208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8F7BB" w14:textId="77777777" w:rsidR="00401141" w:rsidRDefault="00401141" w:rsidP="00401141">
      <w:pPr>
        <w:keepNext/>
        <w:rPr>
          <w:rFonts w:cs="Times New Roman"/>
          <w:szCs w:val="24"/>
        </w:rPr>
      </w:pPr>
      <w:r w:rsidRPr="00BA4DEA">
        <w:rPr>
          <w:rFonts w:cs="Times New Roman"/>
          <w:b/>
          <w:szCs w:val="24"/>
        </w:rPr>
        <w:t>Supplementary Figure 1:</w:t>
      </w:r>
      <w:r w:rsidRPr="00BA4DEA">
        <w:rPr>
          <w:rFonts w:cs="Times New Roman"/>
          <w:szCs w:val="24"/>
        </w:rPr>
        <w:t xml:space="preserve"> Density gradient media impacts PBMC isolation from mice with different strains. Representative picture of PBMCs from B6 mice isolated with (A) </w:t>
      </w:r>
      <w:proofErr w:type="spellStart"/>
      <w:r w:rsidRPr="00BA4DEA">
        <w:rPr>
          <w:rFonts w:cs="Times New Roman"/>
          <w:szCs w:val="24"/>
        </w:rPr>
        <w:t>Ficoll</w:t>
      </w:r>
      <w:proofErr w:type="spellEnd"/>
      <w:r w:rsidRPr="00BA4DEA">
        <w:rPr>
          <w:rFonts w:cs="Times New Roman"/>
          <w:szCs w:val="24"/>
        </w:rPr>
        <w:t xml:space="preserve">™-Plaque PLUS with 1.077 g/cm³ or (B) a 55% </w:t>
      </w:r>
      <w:proofErr w:type="spellStart"/>
      <w:r w:rsidRPr="00BA4DEA">
        <w:rPr>
          <w:rFonts w:cs="Times New Roman"/>
          <w:szCs w:val="24"/>
        </w:rPr>
        <w:t>Percoll</w:t>
      </w:r>
      <w:proofErr w:type="spellEnd"/>
      <w:r w:rsidRPr="00BA4DEA">
        <w:rPr>
          <w:rFonts w:cs="Times New Roman"/>
          <w:szCs w:val="24"/>
        </w:rPr>
        <w:t xml:space="preserve"> solution with 1.080 g/cm³. (C) PBMCs from B6 (n=3) and NZO mice (n=7) were isolated using </w:t>
      </w:r>
      <w:proofErr w:type="spellStart"/>
      <w:r w:rsidRPr="00BA4DEA">
        <w:rPr>
          <w:rFonts w:cs="Times New Roman"/>
          <w:szCs w:val="24"/>
        </w:rPr>
        <w:t>Percoll</w:t>
      </w:r>
      <w:proofErr w:type="spellEnd"/>
      <w:r w:rsidRPr="00BA4DEA">
        <w:rPr>
          <w:rFonts w:cs="Times New Roman"/>
          <w:szCs w:val="24"/>
        </w:rPr>
        <w:t xml:space="preserve"> with 1.080 g/cm³. Percentage of PBMCs on total isolated cell fraction was determined after May Grunwald-Giemsa staining.</w:t>
      </w:r>
    </w:p>
    <w:p w14:paraId="71377C97" w14:textId="77777777" w:rsidR="00401141" w:rsidRDefault="00401141" w:rsidP="00BA4DEA">
      <w:pPr>
        <w:keepNext/>
        <w:rPr>
          <w:rFonts w:cs="Times New Roman"/>
          <w:szCs w:val="24"/>
        </w:rPr>
      </w:pPr>
    </w:p>
    <w:p w14:paraId="659314A4" w14:textId="195EA5F5" w:rsidR="00E42FDF" w:rsidRDefault="00BA4DEA" w:rsidP="00BA4DEA">
      <w:pPr>
        <w:keepNext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0E19785" wp14:editId="62B45FBF">
            <wp:extent cx="3771209" cy="1711757"/>
            <wp:effectExtent l="0" t="0" r="127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lter et al Fig. S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8"/>
                    <a:stretch/>
                  </pic:blipFill>
                  <pic:spPr bwMode="auto">
                    <a:xfrm>
                      <a:off x="0" y="0"/>
                      <a:ext cx="3771392" cy="17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61D13" w14:textId="5DD23DA0" w:rsidR="00BA4DEA" w:rsidRDefault="009925CE" w:rsidP="00BA4DEA">
      <w:pPr>
        <w:keepNext/>
        <w:rPr>
          <w:rFonts w:cs="Times New Roman"/>
          <w:szCs w:val="24"/>
        </w:rPr>
      </w:pPr>
      <w:r w:rsidRPr="009925CE">
        <w:rPr>
          <w:rFonts w:cs="Times New Roman"/>
          <w:b/>
          <w:szCs w:val="24"/>
        </w:rPr>
        <w:t>Supplementary Figure 2:</w:t>
      </w:r>
      <w:r w:rsidR="00BA4DEA" w:rsidRPr="00BA4DEA">
        <w:rPr>
          <w:rFonts w:cs="Times New Roman"/>
          <w:szCs w:val="24"/>
        </w:rPr>
        <w:t xml:space="preserve"> LC3A/B lipidation is affected by 2 h </w:t>
      </w:r>
      <w:proofErr w:type="spellStart"/>
      <w:r w:rsidR="00BA4DEA" w:rsidRPr="00BA4DEA">
        <w:rPr>
          <w:rFonts w:cs="Times New Roman"/>
          <w:szCs w:val="24"/>
        </w:rPr>
        <w:t>ConA</w:t>
      </w:r>
      <w:proofErr w:type="spellEnd"/>
      <w:r w:rsidR="00BA4DEA" w:rsidRPr="00BA4DEA">
        <w:rPr>
          <w:rFonts w:cs="Times New Roman"/>
          <w:szCs w:val="24"/>
        </w:rPr>
        <w:t xml:space="preserve"> treatment. (A) LC3A/B-I and (B) LC3A/B-II:LC3A/B-I ratio protein levels were determined by western blot and normalized to </w:t>
      </w:r>
      <w:r w:rsidR="00BA4DEA" w:rsidRPr="00BA4DEA">
        <w:rPr>
          <w:rFonts w:cs="Times New Roman"/>
          <w:szCs w:val="24"/>
        </w:rPr>
        <w:lastRenderedPageBreak/>
        <w:t xml:space="preserve">GAPDH from control and </w:t>
      </w:r>
      <w:proofErr w:type="spellStart"/>
      <w:r w:rsidR="00BA4DEA" w:rsidRPr="00BA4DEA">
        <w:rPr>
          <w:rFonts w:cs="Times New Roman"/>
          <w:szCs w:val="24"/>
        </w:rPr>
        <w:t>ConA</w:t>
      </w:r>
      <w:proofErr w:type="spellEnd"/>
      <w:r w:rsidR="00BA4DEA" w:rsidRPr="00BA4DEA">
        <w:rPr>
          <w:rFonts w:cs="Times New Roman"/>
          <w:szCs w:val="24"/>
        </w:rPr>
        <w:t xml:space="preserve"> treated murine PBMCs (n=13). Data represent mean ± SD. Statistical significance was tested with one sample Wilcoxon test.</w:t>
      </w:r>
    </w:p>
    <w:p w14:paraId="6AE03429" w14:textId="3539CED4" w:rsidR="00BA4DEA" w:rsidRDefault="00BA4DEA" w:rsidP="00BA4DEA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508E993" wp14:editId="000E9CAB">
            <wp:extent cx="6144009" cy="3379622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lter et al Fig. S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16"/>
                    <a:stretch/>
                  </pic:blipFill>
                  <pic:spPr bwMode="auto">
                    <a:xfrm>
                      <a:off x="0" y="0"/>
                      <a:ext cx="6144768" cy="338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1F2EF" w14:textId="6FECFD70" w:rsidR="00BA4DEA" w:rsidRDefault="009925CE" w:rsidP="00BA4DEA">
      <w:pPr>
        <w:keepNext/>
        <w:rPr>
          <w:rFonts w:cs="Times New Roman"/>
          <w:szCs w:val="24"/>
        </w:rPr>
      </w:pPr>
      <w:r w:rsidRPr="009925CE">
        <w:rPr>
          <w:rFonts w:cs="Times New Roman"/>
          <w:b/>
          <w:szCs w:val="24"/>
        </w:rPr>
        <w:t>Supplementary Figure 3</w:t>
      </w:r>
      <w:r w:rsidR="00BA4DEA" w:rsidRPr="009925CE">
        <w:rPr>
          <w:rFonts w:cs="Times New Roman"/>
          <w:b/>
          <w:szCs w:val="24"/>
        </w:rPr>
        <w:t>:</w:t>
      </w:r>
      <w:r w:rsidR="00BA4DEA" w:rsidRPr="00BA4DEA">
        <w:rPr>
          <w:rFonts w:cs="Times New Roman"/>
          <w:szCs w:val="24"/>
        </w:rPr>
        <w:t xml:space="preserve"> Aging is not chang</w:t>
      </w:r>
      <w:r w:rsidR="00B8297D">
        <w:rPr>
          <w:rFonts w:cs="Times New Roman"/>
          <w:szCs w:val="24"/>
        </w:rPr>
        <w:t>ing</w:t>
      </w:r>
      <w:bookmarkStart w:id="1" w:name="_GoBack"/>
      <w:bookmarkEnd w:id="1"/>
      <w:r w:rsidR="00BA4DEA" w:rsidRPr="00BA4DEA">
        <w:rPr>
          <w:rFonts w:cs="Times New Roman"/>
          <w:szCs w:val="24"/>
        </w:rPr>
        <w:t xml:space="preserve"> lysosomal activity nor LC3A/B levels in murine PBMCs. Murine PBMCs were isolated from young (21-22 w) and old (105-106 w) mice and incubated with or without </w:t>
      </w:r>
      <w:proofErr w:type="spellStart"/>
      <w:r w:rsidR="00BA4DEA" w:rsidRPr="00BA4DEA">
        <w:rPr>
          <w:rFonts w:cs="Times New Roman"/>
          <w:szCs w:val="24"/>
        </w:rPr>
        <w:t>ConA</w:t>
      </w:r>
      <w:proofErr w:type="spellEnd"/>
      <w:r w:rsidR="00BA4DEA" w:rsidRPr="00BA4DEA">
        <w:rPr>
          <w:rFonts w:cs="Times New Roman"/>
          <w:szCs w:val="24"/>
        </w:rPr>
        <w:t xml:space="preserve"> for 2 h at 37°C (n=5-6). (A)-(D) LC3A/B-I and LC3A/B-II:LC3A/B ratio protein levels were determined by western blot and normalized to GAPDH. (A)-(B) LC3A/B protein levels remained unaffected by </w:t>
      </w:r>
      <w:proofErr w:type="spellStart"/>
      <w:r w:rsidR="00BA4DEA" w:rsidRPr="00BA4DEA">
        <w:rPr>
          <w:rFonts w:cs="Times New Roman"/>
          <w:szCs w:val="24"/>
        </w:rPr>
        <w:t>ConA</w:t>
      </w:r>
      <w:proofErr w:type="spellEnd"/>
      <w:r w:rsidR="00BA4DEA" w:rsidRPr="00BA4DEA">
        <w:rPr>
          <w:rFonts w:cs="Times New Roman"/>
          <w:szCs w:val="24"/>
        </w:rPr>
        <w:t xml:space="preserve"> incubation and (C)-(D) control protein levels were not</w:t>
      </w:r>
      <w:r>
        <w:rPr>
          <w:rFonts w:cs="Times New Roman"/>
          <w:szCs w:val="24"/>
        </w:rPr>
        <w:t xml:space="preserve"> </w:t>
      </w:r>
      <w:r w:rsidR="00BA4DEA" w:rsidRPr="00BA4DEA">
        <w:rPr>
          <w:rFonts w:cs="Times New Roman"/>
          <w:szCs w:val="24"/>
        </w:rPr>
        <w:t>altered by age. (E) Lysosomal cathepsin activity did not differ between young and old murine PBMCs. Data represent mean ± SD. Statistical significance was tested with students t-test.</w:t>
      </w:r>
    </w:p>
    <w:p w14:paraId="3C419443" w14:textId="229BCAB1" w:rsidR="00994A3D" w:rsidRDefault="00BA4DEA" w:rsidP="00BA4DEA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CDA2814" wp14:editId="50C206C4">
            <wp:extent cx="3565838" cy="1865376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lter et al Fig. S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9"/>
                    <a:stretch/>
                  </pic:blipFill>
                  <pic:spPr bwMode="auto">
                    <a:xfrm>
                      <a:off x="0" y="0"/>
                      <a:ext cx="3566160" cy="186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482A3E86" w:rsidR="00DE23E8" w:rsidRPr="009925CE" w:rsidRDefault="009925CE" w:rsidP="009925CE">
      <w:pPr>
        <w:rPr>
          <w:rFonts w:cs="Times New Roman"/>
          <w:szCs w:val="24"/>
        </w:rPr>
      </w:pPr>
      <w:r w:rsidRPr="009925CE">
        <w:rPr>
          <w:rFonts w:cs="Times New Roman"/>
          <w:b/>
          <w:szCs w:val="24"/>
        </w:rPr>
        <w:t>Supplementary Figure 4</w:t>
      </w:r>
      <w:r w:rsidR="00BA4DEA" w:rsidRPr="009925CE">
        <w:rPr>
          <w:rFonts w:cs="Times New Roman"/>
          <w:b/>
          <w:szCs w:val="24"/>
        </w:rPr>
        <w:t>:</w:t>
      </w:r>
      <w:r w:rsidR="00BA4DEA" w:rsidRPr="00BA4DEA">
        <w:rPr>
          <w:rFonts w:cs="Times New Roman"/>
          <w:szCs w:val="24"/>
        </w:rPr>
        <w:t xml:space="preserve"> LC3A/B ratio but not LC3A/B-I protein levels were enhanced by </w:t>
      </w:r>
      <w:proofErr w:type="spellStart"/>
      <w:r w:rsidR="00BA4DEA" w:rsidRPr="00BA4DEA">
        <w:rPr>
          <w:rFonts w:cs="Times New Roman"/>
          <w:szCs w:val="24"/>
        </w:rPr>
        <w:t>ConA</w:t>
      </w:r>
      <w:proofErr w:type="spellEnd"/>
      <w:r w:rsidR="00BA4DEA" w:rsidRPr="00BA4DEA">
        <w:rPr>
          <w:rFonts w:cs="Times New Roman"/>
          <w:szCs w:val="24"/>
        </w:rPr>
        <w:t xml:space="preserve"> treatment in human PBMCs. PBMCs were isolated from human blood and incubated for 2 h at 37°C with 100 </w:t>
      </w:r>
      <w:proofErr w:type="spellStart"/>
      <w:r w:rsidR="00BA4DEA" w:rsidRPr="00BA4DEA">
        <w:rPr>
          <w:rFonts w:cs="Times New Roman"/>
          <w:szCs w:val="24"/>
        </w:rPr>
        <w:t>nM</w:t>
      </w:r>
      <w:proofErr w:type="spellEnd"/>
      <w:r w:rsidR="00BA4DEA" w:rsidRPr="00BA4DEA">
        <w:rPr>
          <w:rFonts w:cs="Times New Roman"/>
          <w:szCs w:val="24"/>
        </w:rPr>
        <w:t xml:space="preserve"> </w:t>
      </w:r>
      <w:proofErr w:type="spellStart"/>
      <w:r w:rsidR="00BA4DEA" w:rsidRPr="00BA4DEA">
        <w:rPr>
          <w:rFonts w:cs="Times New Roman"/>
          <w:szCs w:val="24"/>
        </w:rPr>
        <w:t>ConA</w:t>
      </w:r>
      <w:proofErr w:type="spellEnd"/>
      <w:r w:rsidR="00BA4DEA" w:rsidRPr="00BA4DEA">
        <w:rPr>
          <w:rFonts w:cs="Times New Roman"/>
          <w:szCs w:val="24"/>
        </w:rPr>
        <w:t xml:space="preserve"> (n=5-6). LC3A/B protein levels were measured by western blot and normalized to GAPDH. (A) </w:t>
      </w:r>
      <w:proofErr w:type="spellStart"/>
      <w:r w:rsidR="00BA4DEA" w:rsidRPr="00BA4DEA">
        <w:rPr>
          <w:rFonts w:cs="Times New Roman"/>
          <w:szCs w:val="24"/>
        </w:rPr>
        <w:t>ConA</w:t>
      </w:r>
      <w:proofErr w:type="spellEnd"/>
      <w:r w:rsidR="00BA4DEA" w:rsidRPr="00BA4DEA">
        <w:rPr>
          <w:rFonts w:cs="Times New Roman"/>
          <w:szCs w:val="24"/>
        </w:rPr>
        <w:t xml:space="preserve"> </w:t>
      </w:r>
      <w:r w:rsidR="001B4814" w:rsidRPr="00BA4DEA">
        <w:rPr>
          <w:rFonts w:cs="Times New Roman"/>
          <w:szCs w:val="24"/>
        </w:rPr>
        <w:t>treatment</w:t>
      </w:r>
      <w:r w:rsidR="00BA4DEA" w:rsidRPr="00BA4DEA">
        <w:rPr>
          <w:rFonts w:cs="Times New Roman"/>
          <w:szCs w:val="24"/>
        </w:rPr>
        <w:t xml:space="preserve"> did not affect LC3A/B-I levels and (B) increased LC3A/B-II:LC3A/B-I protein levels in human PBMCs. Data represent mean ± SD. Statistical significance was tested with students t-test and given as follows: ***p≤0.001.</w:t>
      </w:r>
      <w:bookmarkEnd w:id="0"/>
    </w:p>
    <w:sectPr w:rsidR="00DE23E8" w:rsidRPr="009925CE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481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141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1576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25CE"/>
    <w:rsid w:val="00994A3D"/>
    <w:rsid w:val="009C2B12"/>
    <w:rsid w:val="00A174D9"/>
    <w:rsid w:val="00AA4D24"/>
    <w:rsid w:val="00AB6715"/>
    <w:rsid w:val="00B1671E"/>
    <w:rsid w:val="00B25EB8"/>
    <w:rsid w:val="00B37F4D"/>
    <w:rsid w:val="00B8297D"/>
    <w:rsid w:val="00BA4DEA"/>
    <w:rsid w:val="00C1455B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2FDF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734AC00-F597-42B1-953D-B172B33F9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370</Words>
  <Characters>2336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Christiane Ott</cp:lastModifiedBy>
  <cp:revision>2</cp:revision>
  <cp:lastPrinted>2013-10-03T12:51:00Z</cp:lastPrinted>
  <dcterms:created xsi:type="dcterms:W3CDTF">2023-03-01T11:39:00Z</dcterms:created>
  <dcterms:modified xsi:type="dcterms:W3CDTF">2023-03-01T11:39:00Z</dcterms:modified>
</cp:coreProperties>
</file>