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0F00B5C" w14:textId="22138E6A" w:rsidR="0090708D" w:rsidRPr="00DC276F" w:rsidRDefault="00994A3D" w:rsidP="00A15BC1">
      <w:pPr>
        <w:pStyle w:val="Heading2"/>
      </w:pPr>
      <w:r w:rsidRPr="0001436A">
        <w:t>Supplementary</w:t>
      </w:r>
      <w:r w:rsidRPr="001549D3">
        <w:t xml:space="preserve"> </w:t>
      </w:r>
      <w:r w:rsidR="0090708D">
        <w:t>Information</w:t>
      </w:r>
      <w:r w:rsidR="00A15BC1">
        <w:t xml:space="preserve"> - </w:t>
      </w:r>
      <w:r w:rsidR="0090708D" w:rsidRPr="00DC276F">
        <w:t>Characteristic Features of Sleep Stages</w:t>
      </w:r>
    </w:p>
    <w:p w14:paraId="76D0BD03" w14:textId="53F09838" w:rsidR="0090708D" w:rsidRPr="0090708D" w:rsidRDefault="0090708D" w:rsidP="0090708D">
      <w:r>
        <w:t xml:space="preserve">Typical sleep stage classification approaches involve the classification of 5 stages: Awake, rapid eye movement (REM), non-REM1 (NREM1), NREM2, and NREM3. Clinicians use the American Academy of Sleep Medicine (AASM) manual </w:t>
      </w:r>
      <w:r>
        <w:fldChar w:fldCharType="begin" w:fldLock="1"/>
      </w:r>
      <w:r>
        <w:instrText>ADDIN CSL_CITATION {"citationID":"O5GIOQDM","citationItems":[{"id":"ITEM-1","itemData":{"author":[{"dropping-particle":"","family":"Iber","given":"Conrad","non-dropping-particle":"","parse-names":false,"suffix":""},{"dropping-particle":"","family":"Ancoli-Israel","given":"Sonia","non-dropping-particle":"","parse-names":false,"suffix":""},{"dropping-particle":"","family":"Chesson","given":"Andrew L.","non-dropping-particle":"","parse-names":false,"suffix":""},{"dropping-particle":"","family":"Quan","given":"Stuart F.","non-dropping-particle":"","parse-names":false,"suffix":""}],"id":"ITEM-1","issued":{"date-parts":[["2007"]]},"title":"The AASM Manual for Scoring of Sleep and Associated Events: Rules, Terminology, and Technical Specifications","type":"article"},"uri":["http://www.mendeley.com/documents/?uuid=a472dfef-389f-449d-8c21-8f86ec1a6319"],"uris":["http://www.mendeley.com/documents/?uuid=a472dfef-389f-449d-8c21-8f86ec1a6319"]}],"mendeley":{"formattedCitation":"(15)","plainTextFormattedCitation":"(15)","previouslyFormattedCitation":"(15)"},"properties":{"formattedCitation":"[14]","noteIndex":0,"plainCitation":"[14]"},"schema":"https://github.com/citation-style-language/schema/raw/master/csl-citation.json"}</w:instrText>
      </w:r>
      <w:r>
        <w:fldChar w:fldCharType="separate"/>
      </w:r>
      <w:r w:rsidRPr="00027292">
        <w:rPr>
          <w:noProof/>
        </w:rPr>
        <w:t>(15)</w:t>
      </w:r>
      <w:r>
        <w:fldChar w:fldCharType="end"/>
      </w:r>
      <w:r>
        <w:t xml:space="preserve"> to identify the stages, and the stages are clearly described in other sleep staging studies </w:t>
      </w:r>
      <w:r>
        <w:fldChar w:fldCharType="begin" w:fldLock="1"/>
      </w:r>
      <w:r>
        <w:instrText>ADDIN CSL_CITATION {"citationID":"btVZPaLx","citationItems":[{"id":"ITEM-1","itemData":{"DOI":"10.1016/j.compbiomed.2019.01.013","ISSN":"18790534","PMID":"30685634","abstract":"Automated evaluation of a subject's neurocognitive performance (NCP) is a relevant topic in neurological and clinical studies. NCP represents the mental/cognitive human capacity in performing a specific task. It is difficult to develop the study protocols as the subject's NCP changes in a known predictable way. Sleep is time-varying NCP and can be used to develop novel NCP techniques. Accurate analysis and interpretation of human sleep electroencephalographic (EEG) signals is needed for proper NCP assessment. In addition, sleep deprivation may cause prominent cognitive risks in performing many common activities such as driving or controlling a generic device; therefore, sleep scoring is a crucial part of the process. In the sleep cycle, the first stage of non-rapid eye movement (NREM) sleep or stage N1 is the transition between wakefulness and drowsiness and becomes relevant for the study of NCP. In this study, a novel cascaded recurrent neural network (RNN) architecture based on long short-term memory (LSTM) blocks, is proposed for the automated scoring of sleep stages using EEG signals derived from a single-channel. Fifty-five time and frequency-domain features were extracted from the EEG signals and fed to feature reduction algorithms to select the most relevant ones. The selected features constituted as the inputs to the LSTM networks. The cascaded architecture is composed of two LSTM RNNs: the first network performed 4-class classification (i.e. the five sleep stages with the merging of stages N1 and REM into a single stage) with a classification rate of 90.8%, and the second one obtained a recognition performance of 83.6% for 2-class classification (i.e. N1 vs REM). The overall percentage of correct classification for five sleep stages is found to be 86.7%. The objective of this work is to improve classification performance in sleep stage N1, as a first step of NCP assessment, and at the same time obtain satisfactory classification results in the other sleep stages.","author":[{"dropping-particle":"","family":"Michielli","given":"Nicola","non-dropping-particle":"","parse-names":false,"suffix":""},{"dropping-particle":"","family":"Acharya","given":"U. Rajendra","non-dropping-particle":"","parse-names":false,"suffix":""},{"dropping-particle":"","family":"Molinari","given":"Filippo","non-dropping-particle":"","parse-names":false,"suffix":""}],"container-title":"Computers in Biology and Medicine","id":"ITEM-1","issue":"December 2018","issued":{"date-parts":[["2019"]]},"page":"71-81","publisher":"Elsevier Ltd","title":"Cascaded LSTM recurrent neural network for automated sleep stage classification using single-channel EEG signals","type":"article-journal","volume":"106"},"uri":["http://www.mendeley.com/documents/?uuid=d9de6f87-7c10-4ec5-8b4e-93fc8afb2328"],"uris":["http://www.mendeley.com/documents/?uuid=d9de6f87-7c10-4ec5-8b4e-93fc8afb2328"]}],"mendeley":{"formattedCitation":"(20)","plainTextFormattedCitation":"(20)","previouslyFormattedCitation":"(20)"},"properties":{"formattedCitation":"[19]","noteIndex":0,"plainCitation":"[19]"},"schema":"https://github.com/citation-style-language/schema/raw/master/csl-citation.json"}</w:instrText>
      </w:r>
      <w:r>
        <w:fldChar w:fldCharType="separate"/>
      </w:r>
      <w:r w:rsidRPr="00027292">
        <w:rPr>
          <w:noProof/>
        </w:rPr>
        <w:t>(20)</w:t>
      </w:r>
      <w:r>
        <w:fldChar w:fldCharType="end"/>
      </w:r>
      <w:r>
        <w:fldChar w:fldCharType="begin" w:fldLock="1"/>
      </w:r>
      <w:r>
        <w:instrText>ADDIN CSL_CITATION {"citationID":"i2CZkuUJ","citationItems":[{"id":"ITEM-1","itemData":{"DOI":"10.1007/s10439-015-1444-y","ISSN":"15739686","PMID":"26464268","abstract":"We developed a machine learning methodology for automatic sleep stage scoring. Our time-frequency analysis-based feature extraction is fine-tuned to capture sleep stage-specific signal features as described in the American Academy of Sleep Medicine manual that the human experts follow. We used ensemble learning with an ensemble of stacked sparse autoencoders for classifying the sleep stages. We used class-balanced random sampling across sleep stages for each model in the ensemble to avoid skewed performance in favor of the most represented sleep stages, and addressed the problem of misclassification errors due to class imbalance while significantly improving worst-stage classification. We used an openly available dataset from 20 healthy young adults for evaluation. We used a single channel of EEG from this dataset, which makes our method a suitable candidate for longitudinal monitoring using wearable EEG in real-world settings. Our method has both high overall accuracy (78%, range 75–80%), and high mean (Formula presented.) -score (84%, range 82–86%) and mean accuracy across individual sleep stages (86%, range 84–88%) over all subjects. The performance of our method appears to be uncorrelated with the sleep efficiency and percentage of transitional epochs in each recording.","author":[{"dropping-particle":"","family":"Tsinalis","given":"Orestis","non-dropping-particle":"","parse-names":false,"suffix":""},{"dropping-particle":"","family":"Matthews","given":"Paul M.","non-dropping-particle":"","parse-names":false,"suffix":""},{"dropping-particle":"","family":"Guo","given":"Yike","non-dropping-particle":"","parse-names":false,"suffix":""}],"container-title":"Annals of Biomedical Engineering","id":"ITEM-1","issue":"5","issued":{"date-parts":[["2016"]]},"note":"sleep stage classification","page":"1587-1597","title":"Automatic Sleep Stage Scoring Using Time-Frequency Analysis and Stacked Sparse Autoencoders","type":"article-journal","volume":"44"},"uri":["http://www.mendeley.com/documents/?uuid=6dc47a3d-7d04-4893-8db2-2145493fb84c"],"uris":["http://www.mendeley.com/documents/?uuid=6dc47a3d-7d04-4893-8db2-2145493fb84c"]}],"mendeley":{"formattedCitation":"(21)","plainTextFormattedCitation":"(21)","previouslyFormattedCitation":"(21)"},"properties":{"formattedCitation":"[20]","noteIndex":0,"plainCitation":"[20]"},"schema":"https://github.com/citation-style-language/schema/raw/master/csl-citation.json"}</w:instrText>
      </w:r>
      <w:r>
        <w:fldChar w:fldCharType="separate"/>
      </w:r>
      <w:r w:rsidRPr="00027292">
        <w:rPr>
          <w:noProof/>
        </w:rPr>
        <w:t>(21)</w:t>
      </w:r>
      <w:r>
        <w:fldChar w:fldCharType="end"/>
      </w:r>
      <w:r>
        <w:t xml:space="preserve">. According to the AASM manual </w:t>
      </w:r>
      <w:r>
        <w:fldChar w:fldCharType="begin" w:fldLock="1"/>
      </w:r>
      <w:r>
        <w:instrText>ADDIN CSL_CITATION {"citationID":"jyiok7xy","citationItems":[{"id":"ITEM-1","itemData":{"author":[{"dropping-particle":"","family":"Iber","given":"Conrad","non-dropping-particle":"","parse-names":false,"suffix":""},{"dropping-particle":"","family":"Ancoli-Israel","given":"Sonia","non-dropping-particle":"","parse-names":false,"suffix":""},{"dropping-particle":"","family":"Chesson","given":"Andrew L.","non-dropping-particle":"","parse-names":false,"suffix":""},{"dropping-particle":"","family":"Quan","given":"Stuart F.","non-dropping-particle":"","parse-names":false,"suffix":""}],"id":"ITEM-1","issued":{"date-parts":[["2007"]]},"title":"The AASM Manual for Scoring of Sleep and Associated Events: Rules, Terminology, and Technical Specifications","type":"article"},"uri":["http://www.mendeley.com/documents/?uuid=a472dfef-389f-449d-8c21-8f86ec1a6319"],"uris":["http://www.mendeley.com/documents/?uuid=a472dfef-389f-449d-8c21-8f86ec1a6319"]}],"mendeley":{"formattedCitation":"(15)","plainTextFormattedCitation":"(15)","previouslyFormattedCitation":"(15)"},"properties":{"formattedCitation":"[14]","noteIndex":0,"plainCitation":"[14]"},"schema":"https://github.com/citation-style-language/schema/raw/master/csl-citation.json"}</w:instrText>
      </w:r>
      <w:r>
        <w:fldChar w:fldCharType="separate"/>
      </w:r>
      <w:r w:rsidRPr="00027292">
        <w:rPr>
          <w:noProof/>
        </w:rPr>
        <w:t>(15)</w:t>
      </w:r>
      <w:r>
        <w:fldChar w:fldCharType="end"/>
      </w:r>
      <w:r>
        <w:t xml:space="preserve">, Awake periods are characterized by </w:t>
      </w:r>
      <w:r>
        <w:rPr>
          <w:rFonts w:cstheme="minorHAnsi"/>
        </w:rPr>
        <w:t>α</w:t>
      </w:r>
      <w:r>
        <w:t xml:space="preserve"> band (8 – 13 Hz) electroencephalogram (EEG) activity in occipital brain regions when a participant’s eyes are closed. When a participant’s eyes are open, Awake periods are characterized by eye blinks, rapid eye movements, reading eye movements (i.e., slow movements followed by a burst of movement in the opposite direction), and strong levels of electromyogram (EMG) activity. NREM1 periods are characterized by slow eye movements, </w:t>
      </w:r>
      <w:r>
        <w:rPr>
          <w:rFonts w:cstheme="minorHAnsi"/>
        </w:rPr>
        <w:t>θ</w:t>
      </w:r>
      <w:r>
        <w:t xml:space="preserve"> band (4 – 7 Hz) EEG activity, and vertex sharp waves (i.e., large V-shaped waves with a duration of less than 0.5 seconds). They have EMG activity at lower levels than Awake periods. NREM2 is principally characterized by EEG activity. It has K-complexes (i.e., sharp negative decreases in signal amplitude followed immediately by sharp increases in positive signal amplitude) and sleep spindles (i.e., trains of waves between 11 – 16 Hz). NREM2 typically has no electrooculogram (EOG) activity. It typically has less EMG than Awake periods and can have levels as low as REM. NREM3 mainly consists of </w:t>
      </w:r>
      <w:r>
        <w:rPr>
          <w:rFonts w:cstheme="minorHAnsi"/>
        </w:rPr>
        <w:t>δ (0.5 – 2 Hz) EEG activity. NREM3 typically has little or no EOG activity. It has less EMG activity than NREM2 and can have EMG activity as low as REM. REM is characterized by rapid eye movements in the EOG, periods of little or no EMG activity followed by brief irregular bursts of activity, and sharp triangular EEG activity. Each stage is characterized by distinct EEG, EOG, and EMG activity.</w:t>
      </w:r>
    </w:p>
    <w:p w14:paraId="07970E94" w14:textId="1494E847" w:rsidR="00994A3D" w:rsidRPr="001549D3" w:rsidRDefault="0090708D" w:rsidP="00626A1D">
      <w:pPr>
        <w:pStyle w:val="Heading2"/>
      </w:pPr>
      <w:r>
        <w:t xml:space="preserve">Supplementary </w:t>
      </w:r>
      <w:r w:rsidR="00994A3D" w:rsidRPr="001549D3">
        <w:t>Figures</w:t>
      </w:r>
    </w:p>
    <w:p w14:paraId="79EF7C33" w14:textId="77777777" w:rsidR="0093096E" w:rsidRDefault="0093096E" w:rsidP="0093096E">
      <w:pPr>
        <w:jc w:val="both"/>
      </w:pPr>
      <w:r>
        <w:rPr>
          <w:noProof/>
        </w:rPr>
        <w:lastRenderedPageBreak/>
        <w:drawing>
          <wp:inline distT="0" distB="0" distL="0" distR="0" wp14:anchorId="521437C4" wp14:editId="6CAC425A">
            <wp:extent cx="5922645" cy="5752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645" cy="5752465"/>
                    </a:xfrm>
                    <a:prstGeom prst="rect">
                      <a:avLst/>
                    </a:prstGeom>
                    <a:noFill/>
                    <a:ln>
                      <a:noFill/>
                    </a:ln>
                  </pic:spPr>
                </pic:pic>
              </a:graphicData>
            </a:graphic>
          </wp:inline>
        </w:drawing>
      </w:r>
    </w:p>
    <w:p w14:paraId="737CBC6A" w14:textId="77777777" w:rsidR="0093096E" w:rsidRPr="00B614B8" w:rsidRDefault="0093096E" w:rsidP="00503F9C">
      <w:r w:rsidRPr="00B522D1">
        <w:rPr>
          <w:b/>
          <w:bCs/>
        </w:rPr>
        <w:t>Supplementary Figure 1.</w:t>
      </w:r>
      <w:r>
        <w:t xml:space="preserve"> Global Ablation Explainability Results for All Classification Groups. The above boxplots show the percent change in samples assigned to each classification group following perturbation for each fold. Blue, yellow, and red boxes indicate EEG, EOG, and EMG perturbation, respectively. The leftmost box of each pair shows the results for our noise-related ablation method. The rightmost box is for the typical zero-out ablation approach. Some pairs of boxes are labeled with *, **, or ***, which correspond to a significance value of p &lt; 0.05, p &lt; 0.01, and p &lt; 0.001, respectively.</w:t>
      </w:r>
    </w:p>
    <w:p w14:paraId="13553382" w14:textId="77777777" w:rsidR="0093096E" w:rsidRDefault="0093096E" w:rsidP="0093096E">
      <w:pPr>
        <w:jc w:val="both"/>
      </w:pPr>
      <w:r>
        <w:rPr>
          <w:noProof/>
        </w:rPr>
        <w:lastRenderedPageBreak/>
        <w:drawing>
          <wp:inline distT="0" distB="0" distL="0" distR="0" wp14:anchorId="277A62F8" wp14:editId="1D3389B4">
            <wp:extent cx="5922645" cy="5922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645" cy="5922645"/>
                    </a:xfrm>
                    <a:prstGeom prst="rect">
                      <a:avLst/>
                    </a:prstGeom>
                    <a:noFill/>
                    <a:ln>
                      <a:noFill/>
                    </a:ln>
                  </pic:spPr>
                </pic:pic>
              </a:graphicData>
            </a:graphic>
          </wp:inline>
        </w:drawing>
      </w:r>
    </w:p>
    <w:p w14:paraId="46A5C596" w14:textId="77777777" w:rsidR="0093096E" w:rsidRDefault="0093096E" w:rsidP="0093096E">
      <w:r w:rsidRPr="00B522D1">
        <w:rPr>
          <w:b/>
          <w:bCs/>
        </w:rPr>
        <w:t>Supplementary Figure 2.</w:t>
      </w:r>
      <w:r>
        <w:t xml:space="preserve"> Local Ablation Results Showing Global Estimation of Modality Importance for All Classification Groups. The above boxplots show the percent change in activation following perturbation for samples in each classification group across folds. Blue, yellow, and red boxes indicate EEG, EOG, and EMG perturbation, respectively.</w:t>
      </w:r>
    </w:p>
    <w:p w14:paraId="6099F0A5" w14:textId="77777777" w:rsidR="0093096E" w:rsidRDefault="0093096E" w:rsidP="0093096E">
      <w:pPr>
        <w:jc w:val="both"/>
      </w:pPr>
      <w:r>
        <w:rPr>
          <w:noProof/>
        </w:rPr>
        <w:lastRenderedPageBreak/>
        <w:drawing>
          <wp:inline distT="0" distB="0" distL="0" distR="0" wp14:anchorId="5D368E6A" wp14:editId="1102520D">
            <wp:extent cx="5924550" cy="5734050"/>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5734050"/>
                    </a:xfrm>
                    <a:prstGeom prst="rect">
                      <a:avLst/>
                    </a:prstGeom>
                    <a:noFill/>
                    <a:ln>
                      <a:noFill/>
                    </a:ln>
                  </pic:spPr>
                </pic:pic>
              </a:graphicData>
            </a:graphic>
          </wp:inline>
        </w:drawing>
      </w:r>
    </w:p>
    <w:p w14:paraId="0CB1CC07" w14:textId="77777777" w:rsidR="0093096E" w:rsidRDefault="0093096E" w:rsidP="0093096E">
      <w:r w:rsidRPr="00B522D1">
        <w:rPr>
          <w:b/>
          <w:bCs/>
        </w:rPr>
        <w:t>Supplementary Figure 3.</w:t>
      </w:r>
      <w:r>
        <w:t xml:space="preserve"> LRP-based Global Estimation of Modality Importance for All Classification Groups. The boxplots show the LRP explainability results for each classification group across folds. Blue, yellow, and red boxes show the importance of EEG, EOG, and EMG, respectively. From left to right, within each group of three boxes are the relevance results for the </w:t>
      </w:r>
      <w:r w:rsidRPr="00F421E7">
        <w:t>LRP ε-rule (0.01), ε-rule (100), and αβ-rule</w:t>
      </w:r>
      <w:r>
        <w:t>. The number of samples in each classification group is included in the title of each panel. The panels on the left-to-right diagonal show correct classification groups, and off-diagonal panels indicate incorrect classification groups.</w:t>
      </w:r>
    </w:p>
    <w:p w14:paraId="1BECD31B" w14:textId="77777777" w:rsidR="0093096E" w:rsidRDefault="0093096E" w:rsidP="0093096E">
      <w:pPr>
        <w:jc w:val="both"/>
      </w:pPr>
      <w:r>
        <w:rPr>
          <w:noProof/>
        </w:rPr>
        <w:lastRenderedPageBreak/>
        <w:drawing>
          <wp:inline distT="0" distB="0" distL="0" distR="0" wp14:anchorId="21127286" wp14:editId="5BC04230">
            <wp:extent cx="5932805" cy="5167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5167630"/>
                    </a:xfrm>
                    <a:prstGeom prst="rect">
                      <a:avLst/>
                    </a:prstGeom>
                    <a:noFill/>
                    <a:ln>
                      <a:noFill/>
                    </a:ln>
                  </pic:spPr>
                </pic:pic>
              </a:graphicData>
            </a:graphic>
          </wp:inline>
        </w:drawing>
      </w:r>
    </w:p>
    <w:p w14:paraId="676B6CE0" w14:textId="77777777" w:rsidR="0093096E" w:rsidRDefault="0093096E" w:rsidP="0093096E">
      <w:r w:rsidRPr="00B522D1">
        <w:rPr>
          <w:b/>
          <w:bCs/>
        </w:rPr>
        <w:t>Supplementary Figure 4.</w:t>
      </w:r>
      <w:r>
        <w:t xml:space="preserve"> Effects of Clinical and Demographic Variables upon Local Ablation Modality Importance for All Classification Groups. The top, middle, and bottom rows of panels indicate the effects of medication, sex, and age, respectively, upon the explanations for each modality and classification group. The x-axis of each panel indicates the predicted class, and the y-axis indicates the actual class. The heatmaps indicate the size of the coefficient values resulting from the regression analysis. White squares have</w:t>
      </w:r>
      <w:r w:rsidRPr="00E61852">
        <w:t xml:space="preserve"> insignificant p-values. Squares with color have significant p-values (p&lt;0.05), and squares that have one or two asterisks have p-values of p &lt; 0.01 or p &lt; 0.001, respectively.</w:t>
      </w:r>
      <w:r>
        <w:t xml:space="preserve"> For medication, a positive coefficient value indicates that temazepam samples had more importance than placebo samples. For subject sex, a positive coefficient value indicates that female samples had more importance than male samples, and for age, a positive coefficient indicates that importance increased with age.</w:t>
      </w:r>
    </w:p>
    <w:p w14:paraId="1F3CC4D0" w14:textId="77777777" w:rsidR="0093096E" w:rsidRDefault="0093096E" w:rsidP="0093096E">
      <w:pPr>
        <w:jc w:val="both"/>
      </w:pPr>
      <w:r>
        <w:rPr>
          <w:noProof/>
        </w:rPr>
        <w:lastRenderedPageBreak/>
        <w:drawing>
          <wp:inline distT="0" distB="0" distL="0" distR="0" wp14:anchorId="79B81E86" wp14:editId="2777FAE2">
            <wp:extent cx="5934075" cy="5162550"/>
            <wp:effectExtent l="0" t="0" r="9525" b="0"/>
            <wp:docPr id="16" name="Picture 16"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rossword puzz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5162550"/>
                    </a:xfrm>
                    <a:prstGeom prst="rect">
                      <a:avLst/>
                    </a:prstGeom>
                    <a:noFill/>
                    <a:ln>
                      <a:noFill/>
                    </a:ln>
                  </pic:spPr>
                </pic:pic>
              </a:graphicData>
            </a:graphic>
          </wp:inline>
        </w:drawing>
      </w:r>
    </w:p>
    <w:p w14:paraId="79572791" w14:textId="77777777" w:rsidR="0093096E" w:rsidRPr="00397D01" w:rsidRDefault="0093096E" w:rsidP="0093096E">
      <w:pPr>
        <w:rPr>
          <w:b/>
          <w:bCs/>
          <w:sz w:val="28"/>
          <w:szCs w:val="28"/>
        </w:rPr>
      </w:pPr>
      <w:r w:rsidRPr="00B522D1">
        <w:rPr>
          <w:b/>
          <w:bCs/>
        </w:rPr>
        <w:t>Supplementary Figure 5.</w:t>
      </w:r>
      <w:r>
        <w:t xml:space="preserve"> Effects of Clinical and Demographic Variables upon LRP Relevance for All Classification Groups. The top, middle, and bottom rows of panels indicate the effects of medication, sex, and age, respectively, upon the explanations for each modality and classification group. The x-axis of each panel indicates the predicted class, and the y-axis indicates the actual class. The heatmaps indicate the size of the coefficient values resulting from the regression analysis. White squares have</w:t>
      </w:r>
      <w:r w:rsidRPr="00E61852">
        <w:t xml:space="preserve"> insignificant p-values. Squares with color have significant p-values (p&lt;0.05), and squares that have one or two asterisks have p-values of p &lt; 0.01 or p &lt; 0.001, respectively.</w:t>
      </w:r>
      <w:r>
        <w:t xml:space="preserve"> For medication, a positive coefficient value indicates that temazepam samples had more relevance than placebo samples. For subject sex, a positive coefficient value indicates that female samples had more relevance than male samples, and for age, a positive coefficient indicates that relevance increased with age.</w:t>
      </w:r>
    </w:p>
    <w:p w14:paraId="1F95D4DF" w14:textId="77777777" w:rsidR="0093096E" w:rsidRDefault="0093096E" w:rsidP="0093096E"/>
    <w:p w14:paraId="4916FCC9" w14:textId="77777777" w:rsidR="00994A3D" w:rsidRPr="001549D3" w:rsidRDefault="00994A3D" w:rsidP="00994A3D">
      <w:pPr>
        <w:keepNext/>
        <w:rPr>
          <w:rFonts w:cs="Times New Roman"/>
          <w:szCs w:val="24"/>
        </w:rPr>
      </w:pPr>
    </w:p>
    <w:p w14:paraId="58F1AED1" w14:textId="77777777" w:rsidR="00DE23E8" w:rsidRPr="001549D3" w:rsidRDefault="00DE23E8" w:rsidP="00654E8F">
      <w:pPr>
        <w:spacing w:before="240"/>
      </w:pPr>
    </w:p>
    <w:sectPr w:rsidR="00DE23E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71E4" w14:textId="77777777" w:rsidR="00AC0279" w:rsidRDefault="00AC0279" w:rsidP="00117666">
      <w:pPr>
        <w:spacing w:after="0"/>
      </w:pPr>
      <w:r>
        <w:separator/>
      </w:r>
    </w:p>
  </w:endnote>
  <w:endnote w:type="continuationSeparator" w:id="0">
    <w:p w14:paraId="2AF7AD56" w14:textId="77777777" w:rsidR="00AC0279" w:rsidRDefault="00AC027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ED25" w14:textId="77777777" w:rsidR="00AC0279" w:rsidRDefault="00AC0279" w:rsidP="00117666">
      <w:pPr>
        <w:spacing w:after="0"/>
      </w:pPr>
      <w:r>
        <w:separator/>
      </w:r>
    </w:p>
  </w:footnote>
  <w:footnote w:type="continuationSeparator" w:id="0">
    <w:p w14:paraId="1DC6681A" w14:textId="77777777" w:rsidR="00AC0279" w:rsidRDefault="00AC027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F2D"/>
    <w:rsid w:val="003E016A"/>
    <w:rsid w:val="00401590"/>
    <w:rsid w:val="00447801"/>
    <w:rsid w:val="00452E9C"/>
    <w:rsid w:val="004735C8"/>
    <w:rsid w:val="004961FF"/>
    <w:rsid w:val="00503F9C"/>
    <w:rsid w:val="00517A89"/>
    <w:rsid w:val="005250F2"/>
    <w:rsid w:val="00593EEA"/>
    <w:rsid w:val="005A5EEE"/>
    <w:rsid w:val="006375C7"/>
    <w:rsid w:val="00654E8F"/>
    <w:rsid w:val="00660D05"/>
    <w:rsid w:val="006820B1"/>
    <w:rsid w:val="006B7D14"/>
    <w:rsid w:val="00701727"/>
    <w:rsid w:val="0070566C"/>
    <w:rsid w:val="00714C50"/>
    <w:rsid w:val="00725A7D"/>
    <w:rsid w:val="00734385"/>
    <w:rsid w:val="007501BE"/>
    <w:rsid w:val="00790BB3"/>
    <w:rsid w:val="007C206C"/>
    <w:rsid w:val="00803D24"/>
    <w:rsid w:val="00817DD6"/>
    <w:rsid w:val="00885156"/>
    <w:rsid w:val="0090708D"/>
    <w:rsid w:val="009151AA"/>
    <w:rsid w:val="0093096E"/>
    <w:rsid w:val="0093429D"/>
    <w:rsid w:val="00943573"/>
    <w:rsid w:val="00970F7D"/>
    <w:rsid w:val="00994A3D"/>
    <w:rsid w:val="009C2B12"/>
    <w:rsid w:val="009C70F3"/>
    <w:rsid w:val="00A15BC1"/>
    <w:rsid w:val="00A174D9"/>
    <w:rsid w:val="00A569CD"/>
    <w:rsid w:val="00AB6715"/>
    <w:rsid w:val="00AC0279"/>
    <w:rsid w:val="00B1671E"/>
    <w:rsid w:val="00B25EB8"/>
    <w:rsid w:val="00B354E1"/>
    <w:rsid w:val="00B37F4D"/>
    <w:rsid w:val="00B522D1"/>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6</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Anthony</cp:lastModifiedBy>
  <cp:revision>11</cp:revision>
  <cp:lastPrinted>2013-10-03T12:51:00Z</cp:lastPrinted>
  <dcterms:created xsi:type="dcterms:W3CDTF">2022-11-17T16:58:00Z</dcterms:created>
  <dcterms:modified xsi:type="dcterms:W3CDTF">2022-12-13T23:35:00Z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