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5F" w:rsidRPr="001549D3" w:rsidRDefault="00FB405F" w:rsidP="00FB405F">
      <w:pPr>
        <w:pStyle w:val="SupplementaryMaterial"/>
        <w:rPr>
          <w:b w:val="0"/>
        </w:rPr>
      </w:pPr>
      <w:r w:rsidRPr="001549D3">
        <w:t>Supplementary Material</w:t>
      </w:r>
    </w:p>
    <w:p w:rsidR="00FB405F" w:rsidRPr="00FB405F" w:rsidRDefault="00FB405F" w:rsidP="00FB3A2A">
      <w:pPr>
        <w:rPr>
          <w:b/>
          <w:szCs w:val="24"/>
          <w:highlight w:val="yellow"/>
          <w:lang w:eastAsia="zh-CN"/>
        </w:rPr>
      </w:pPr>
    </w:p>
    <w:p w:rsidR="00002D8C" w:rsidRPr="00FB3A2A" w:rsidRDefault="00683A1E" w:rsidP="00FB3A2A">
      <w:proofErr w:type="gramStart"/>
      <w:r w:rsidRPr="00FB405F">
        <w:rPr>
          <w:rFonts w:hint="eastAsia"/>
          <w:b/>
          <w:szCs w:val="24"/>
          <w:lang w:eastAsia="zh-CN"/>
        </w:rPr>
        <w:t>Supplementary t</w:t>
      </w:r>
      <w:r w:rsidR="00002D8C" w:rsidRPr="00FB405F">
        <w:rPr>
          <w:rFonts w:hint="eastAsia"/>
          <w:b/>
          <w:szCs w:val="24"/>
          <w:lang w:eastAsia="zh-CN"/>
        </w:rPr>
        <w:t>able 1.</w:t>
      </w:r>
      <w:proofErr w:type="gramEnd"/>
      <w:r w:rsidR="00002D8C" w:rsidRPr="00FB405F">
        <w:rPr>
          <w:rFonts w:hint="eastAsia"/>
          <w:szCs w:val="24"/>
          <w:lang w:eastAsia="zh-CN"/>
        </w:rPr>
        <w:t xml:space="preserve"> </w:t>
      </w:r>
      <w:proofErr w:type="gramStart"/>
      <w:r w:rsidR="00002D8C" w:rsidRPr="00FB405F">
        <w:rPr>
          <w:rFonts w:hint="eastAsia"/>
          <w:szCs w:val="24"/>
          <w:lang w:eastAsia="zh-CN"/>
        </w:rPr>
        <w:t>Main</w:t>
      </w:r>
      <w:r w:rsidR="00FB3A2A" w:rsidRPr="00FB405F">
        <w:rPr>
          <w:rFonts w:hint="eastAsia"/>
          <w:szCs w:val="24"/>
          <w:lang w:eastAsia="zh-CN"/>
        </w:rPr>
        <w:t xml:space="preserve"> </w:t>
      </w:r>
      <w:r w:rsidR="00002D8C" w:rsidRPr="00FB405F">
        <w:rPr>
          <w:rFonts w:hint="eastAsia"/>
          <w:szCs w:val="24"/>
          <w:lang w:eastAsia="zh-CN"/>
        </w:rPr>
        <w:t>clinical characteristics</w:t>
      </w:r>
      <w:r w:rsidR="003B1E78" w:rsidRPr="00FB405F">
        <w:rPr>
          <w:rFonts w:hint="eastAsia"/>
          <w:szCs w:val="24"/>
          <w:lang w:eastAsia="zh-CN"/>
        </w:rPr>
        <w:t xml:space="preserve"> </w:t>
      </w:r>
      <w:r w:rsidR="00FB3A2A" w:rsidRPr="00FB405F">
        <w:rPr>
          <w:rFonts w:hint="eastAsia"/>
          <w:szCs w:val="24"/>
          <w:lang w:eastAsia="zh-CN"/>
        </w:rPr>
        <w:t xml:space="preserve">and </w:t>
      </w:r>
      <w:r w:rsidR="00FB3A2A" w:rsidRPr="00FB405F">
        <w:rPr>
          <w:szCs w:val="24"/>
        </w:rPr>
        <w:t xml:space="preserve">detailed </w:t>
      </w:r>
      <w:r w:rsidR="00FB3A2A" w:rsidRPr="00FB405F">
        <w:rPr>
          <w:rFonts w:hint="eastAsia"/>
          <w:szCs w:val="24"/>
          <w:lang w:eastAsia="zh-CN"/>
        </w:rPr>
        <w:t xml:space="preserve">medical </w:t>
      </w:r>
      <w:r w:rsidR="00FB3A2A" w:rsidRPr="00FB405F">
        <w:rPr>
          <w:szCs w:val="24"/>
        </w:rPr>
        <w:t>history of the patient</w:t>
      </w:r>
      <w:r w:rsidR="007A766E" w:rsidRPr="00FB405F">
        <w:rPr>
          <w:rFonts w:hint="eastAsia"/>
          <w:szCs w:val="24"/>
          <w:lang w:eastAsia="zh-CN"/>
        </w:rPr>
        <w:t>.</w:t>
      </w:r>
      <w:proofErr w:type="gramEnd"/>
    </w:p>
    <w:tbl>
      <w:tblPr>
        <w:tblStyle w:val="-10"/>
        <w:tblW w:w="0" w:type="auto"/>
        <w:tblLook w:val="04A0"/>
      </w:tblPr>
      <w:tblGrid>
        <w:gridCol w:w="3936"/>
        <w:gridCol w:w="5912"/>
      </w:tblGrid>
      <w:tr w:rsidR="00614E5F" w:rsidRPr="00614E5F" w:rsidTr="001B2E64">
        <w:trPr>
          <w:cnfStyle w:val="100000000000"/>
          <w:trHeight w:val="284"/>
        </w:trPr>
        <w:tc>
          <w:tcPr>
            <w:cnfStyle w:val="001000000000"/>
            <w:tcW w:w="3936" w:type="dxa"/>
            <w:shd w:val="clear" w:color="auto" w:fill="DBE5F1" w:themeFill="accent1" w:themeFillTint="33"/>
            <w:hideMark/>
          </w:tcPr>
          <w:p w:rsidR="00614E5F" w:rsidRPr="00614E5F" w:rsidRDefault="00614E5F">
            <w:pPr>
              <w:widowControl w:val="0"/>
              <w:jc w:val="both"/>
              <w:rPr>
                <w:rFonts w:eastAsia="宋体" w:cs="Times New Roman"/>
                <w:color w:val="000000" w:themeColor="text1"/>
                <w:sz w:val="20"/>
                <w:szCs w:val="20"/>
              </w:rPr>
            </w:pPr>
            <w:r w:rsidRPr="00614E5F">
              <w:rPr>
                <w:rFonts w:eastAsia="宋体" w:cs="Times New Roman"/>
                <w:color w:val="000000" w:themeColor="text1"/>
                <w:sz w:val="20"/>
                <w:szCs w:val="20"/>
              </w:rPr>
              <w:t>Age</w:t>
            </w:r>
          </w:p>
        </w:tc>
        <w:tc>
          <w:tcPr>
            <w:tcW w:w="5912" w:type="dxa"/>
            <w:shd w:val="clear" w:color="auto" w:fill="DBE5F1" w:themeFill="accent1" w:themeFillTint="33"/>
            <w:hideMark/>
          </w:tcPr>
          <w:p w:rsidR="00614E5F" w:rsidRPr="00614E5F" w:rsidRDefault="00614E5F">
            <w:pPr>
              <w:widowControl w:val="0"/>
              <w:jc w:val="both"/>
              <w:cnfStyle w:val="100000000000"/>
              <w:rPr>
                <w:rFonts w:eastAsia="宋体" w:cs="Times New Roman"/>
                <w:b w:val="0"/>
                <w:color w:val="000000" w:themeColor="text1"/>
                <w:sz w:val="20"/>
                <w:szCs w:val="20"/>
              </w:rPr>
            </w:pPr>
            <w:r w:rsidRPr="00614E5F">
              <w:rPr>
                <w:rFonts w:eastAsia="宋体" w:cs="Times New Roman"/>
                <w:b w:val="0"/>
                <w:color w:val="000000" w:themeColor="text1"/>
                <w:sz w:val="20"/>
                <w:szCs w:val="20"/>
              </w:rPr>
              <w:t>83 years old</w:t>
            </w:r>
          </w:p>
        </w:tc>
      </w:tr>
      <w:tr w:rsidR="00614E5F" w:rsidRPr="00614E5F" w:rsidTr="001B2E64">
        <w:trPr>
          <w:cnfStyle w:val="000000100000"/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>
            <w:pPr>
              <w:widowControl w:val="0"/>
              <w:jc w:val="both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bCs w:val="0"/>
                <w:sz w:val="20"/>
                <w:szCs w:val="20"/>
              </w:rPr>
              <w:t>Sex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jc w:val="both"/>
              <w:cnfStyle w:val="0000001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Male</w:t>
            </w:r>
          </w:p>
        </w:tc>
      </w:tr>
      <w:tr w:rsidR="00614E5F" w:rsidRPr="00614E5F" w:rsidTr="001B2E64">
        <w:trPr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>
            <w:pPr>
              <w:widowControl w:val="0"/>
              <w:jc w:val="both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bCs w:val="0"/>
                <w:sz w:val="20"/>
                <w:szCs w:val="20"/>
              </w:rPr>
              <w:t>Lifestyle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jc w:val="both"/>
              <w:cnfStyle w:val="000000000000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614E5F" w:rsidRPr="00614E5F" w:rsidTr="001B2E64">
        <w:trPr>
          <w:cnfStyle w:val="000000100000"/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 w:rsidP="00614E5F">
            <w:pPr>
              <w:widowControl w:val="0"/>
              <w:ind w:firstLineChars="100" w:firstLine="200"/>
              <w:jc w:val="both"/>
              <w:rPr>
                <w:rFonts w:eastAsia="宋体" w:cs="Times New Roman"/>
                <w:b w:val="0"/>
                <w:sz w:val="20"/>
                <w:szCs w:val="20"/>
              </w:rPr>
            </w:pPr>
            <w:r w:rsidRPr="00614E5F">
              <w:rPr>
                <w:rFonts w:cs="Times New Roman"/>
                <w:b w:val="0"/>
                <w:sz w:val="20"/>
                <w:szCs w:val="20"/>
              </w:rPr>
              <w:t>Smoking</w:t>
            </w:r>
          </w:p>
        </w:tc>
        <w:tc>
          <w:tcPr>
            <w:tcW w:w="5912" w:type="dxa"/>
          </w:tcPr>
          <w:p w:rsidR="00614E5F" w:rsidRPr="00614E5F" w:rsidRDefault="00614E5F">
            <w:pPr>
              <w:widowControl w:val="0"/>
              <w:jc w:val="both"/>
              <w:cnfStyle w:val="0000001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 smoking for 40 years</w:t>
            </w:r>
          </w:p>
        </w:tc>
      </w:tr>
      <w:tr w:rsidR="00614E5F" w:rsidRPr="00614E5F" w:rsidTr="001B2E64">
        <w:trPr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 w:rsidP="00614E5F">
            <w:pPr>
              <w:widowControl w:val="0"/>
              <w:ind w:firstLineChars="100" w:firstLine="200"/>
              <w:jc w:val="both"/>
              <w:rPr>
                <w:rFonts w:eastAsia="宋体" w:cs="Times New Roman"/>
                <w:b w:val="0"/>
                <w:sz w:val="20"/>
                <w:szCs w:val="20"/>
              </w:rPr>
            </w:pPr>
            <w:r w:rsidRPr="00614E5F">
              <w:rPr>
                <w:rFonts w:cs="Times New Roman"/>
                <w:b w:val="0"/>
                <w:sz w:val="20"/>
                <w:szCs w:val="20"/>
              </w:rPr>
              <w:t>Drinking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jc w:val="both"/>
              <w:cnfStyle w:val="0000000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Drink a little occasionally</w:t>
            </w:r>
          </w:p>
        </w:tc>
      </w:tr>
      <w:tr w:rsidR="00614E5F" w:rsidRPr="00614E5F" w:rsidTr="001B2E64">
        <w:trPr>
          <w:cnfStyle w:val="000000100000"/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 w:rsidP="00614E5F">
            <w:pPr>
              <w:widowControl w:val="0"/>
              <w:ind w:firstLineChars="100" w:firstLine="200"/>
              <w:jc w:val="both"/>
              <w:rPr>
                <w:rFonts w:eastAsia="宋体" w:cs="Times New Roman"/>
                <w:b w:val="0"/>
                <w:sz w:val="20"/>
                <w:szCs w:val="20"/>
              </w:rPr>
            </w:pPr>
            <w:r w:rsidRPr="00614E5F">
              <w:rPr>
                <w:rFonts w:cs="Times New Roman"/>
                <w:b w:val="0"/>
                <w:sz w:val="20"/>
                <w:szCs w:val="20"/>
              </w:rPr>
              <w:t>Stay up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jc w:val="both"/>
              <w:cnfStyle w:val="0000001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  <w:tr w:rsidR="00614E5F" w:rsidRPr="00614E5F" w:rsidTr="001B2E64">
        <w:trPr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 w:rsidP="00614E5F">
            <w:pPr>
              <w:widowControl w:val="0"/>
              <w:ind w:firstLineChars="100" w:firstLine="200"/>
              <w:jc w:val="both"/>
              <w:rPr>
                <w:rFonts w:eastAsia="宋体" w:cs="Times New Roman"/>
                <w:b w:val="0"/>
                <w:sz w:val="20"/>
                <w:szCs w:val="20"/>
              </w:rPr>
            </w:pPr>
            <w:r w:rsidRPr="00614E5F">
              <w:rPr>
                <w:rFonts w:cs="Times New Roman"/>
                <w:b w:val="0"/>
                <w:sz w:val="20"/>
                <w:szCs w:val="20"/>
              </w:rPr>
              <w:t>Fractiousness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jc w:val="both"/>
              <w:cnfStyle w:val="0000000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  <w:tr w:rsidR="00614E5F" w:rsidRPr="00614E5F" w:rsidTr="001B2E64">
        <w:trPr>
          <w:cnfStyle w:val="000000100000"/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>
            <w:pPr>
              <w:widowControl w:val="0"/>
              <w:jc w:val="both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bCs w:val="0"/>
                <w:sz w:val="20"/>
                <w:szCs w:val="20"/>
              </w:rPr>
              <w:t>Past medical history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jc w:val="both"/>
              <w:cnfStyle w:val="000000100000"/>
              <w:rPr>
                <w:rFonts w:eastAsia="宋体" w:cs="Times New Roman"/>
                <w:sz w:val="20"/>
                <w:szCs w:val="20"/>
              </w:rPr>
            </w:pPr>
          </w:p>
        </w:tc>
      </w:tr>
      <w:tr w:rsidR="00614E5F" w:rsidRPr="00614E5F" w:rsidTr="001B2E64">
        <w:trPr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 w:rsidP="00614E5F">
            <w:pPr>
              <w:widowControl w:val="0"/>
              <w:ind w:firstLineChars="100" w:firstLine="200"/>
              <w:jc w:val="both"/>
              <w:rPr>
                <w:rFonts w:eastAsia="宋体" w:cs="Times New Roman"/>
                <w:b w:val="0"/>
                <w:sz w:val="20"/>
                <w:szCs w:val="20"/>
              </w:rPr>
            </w:pPr>
            <w:r w:rsidRPr="00614E5F">
              <w:rPr>
                <w:rFonts w:cs="Times New Roman"/>
                <w:b w:val="0"/>
                <w:sz w:val="20"/>
                <w:szCs w:val="20"/>
              </w:rPr>
              <w:t xml:space="preserve">  Heart disease</w:t>
            </w:r>
          </w:p>
        </w:tc>
        <w:tc>
          <w:tcPr>
            <w:tcW w:w="5912" w:type="dxa"/>
          </w:tcPr>
          <w:p w:rsidR="00614E5F" w:rsidRPr="00614E5F" w:rsidRDefault="00614E5F">
            <w:pPr>
              <w:widowControl w:val="0"/>
              <w:jc w:val="both"/>
              <w:cnfStyle w:val="0000000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  <w:tr w:rsidR="00614E5F" w:rsidRPr="00614E5F" w:rsidTr="001B2E64">
        <w:trPr>
          <w:cnfStyle w:val="000000100000"/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 w:rsidP="00614E5F">
            <w:pPr>
              <w:widowControl w:val="0"/>
              <w:ind w:firstLineChars="100" w:firstLine="200"/>
              <w:jc w:val="both"/>
              <w:rPr>
                <w:rFonts w:eastAsia="宋体" w:cs="Times New Roman"/>
                <w:b w:val="0"/>
                <w:sz w:val="20"/>
                <w:szCs w:val="20"/>
              </w:rPr>
            </w:pPr>
            <w:r w:rsidRPr="00614E5F">
              <w:rPr>
                <w:rFonts w:cs="Times New Roman"/>
                <w:b w:val="0"/>
                <w:sz w:val="20"/>
                <w:szCs w:val="20"/>
              </w:rPr>
              <w:t xml:space="preserve">  Diabetes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jc w:val="both"/>
              <w:cnfStyle w:val="0000001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  <w:tr w:rsidR="00614E5F" w:rsidRPr="00614E5F" w:rsidTr="001B2E64">
        <w:trPr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 w:rsidP="00614E5F">
            <w:pPr>
              <w:widowControl w:val="0"/>
              <w:ind w:firstLineChars="100" w:firstLine="200"/>
              <w:jc w:val="both"/>
              <w:rPr>
                <w:rFonts w:eastAsia="宋体" w:cs="Times New Roman"/>
                <w:b w:val="0"/>
                <w:sz w:val="20"/>
                <w:szCs w:val="20"/>
              </w:rPr>
            </w:pPr>
            <w:r w:rsidRPr="00614E5F">
              <w:rPr>
                <w:rFonts w:cs="Times New Roman"/>
                <w:b w:val="0"/>
                <w:sz w:val="20"/>
                <w:szCs w:val="20"/>
              </w:rPr>
              <w:t xml:space="preserve">  Hypertension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jc w:val="both"/>
              <w:cnfStyle w:val="0000000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  <w:tr w:rsidR="00614E5F" w:rsidRPr="00614E5F" w:rsidTr="001B2E64">
        <w:trPr>
          <w:cnfStyle w:val="000000100000"/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 w:rsidP="00614E5F">
            <w:pPr>
              <w:widowControl w:val="0"/>
              <w:ind w:firstLineChars="100" w:firstLine="200"/>
              <w:jc w:val="both"/>
              <w:rPr>
                <w:rFonts w:eastAsia="宋体" w:cs="Times New Roman"/>
                <w:b w:val="0"/>
                <w:sz w:val="20"/>
                <w:szCs w:val="20"/>
              </w:rPr>
            </w:pPr>
            <w:r w:rsidRPr="00614E5F">
              <w:rPr>
                <w:rFonts w:cs="Times New Roman"/>
                <w:b w:val="0"/>
                <w:sz w:val="20"/>
                <w:szCs w:val="20"/>
              </w:rPr>
              <w:t xml:space="preserve">  </w:t>
            </w:r>
            <w:proofErr w:type="spellStart"/>
            <w:r w:rsidRPr="00614E5F">
              <w:rPr>
                <w:rFonts w:cs="Times New Roman"/>
                <w:b w:val="0"/>
                <w:sz w:val="20"/>
                <w:szCs w:val="20"/>
              </w:rPr>
              <w:t>Hyperlipidemia</w:t>
            </w:r>
            <w:proofErr w:type="spellEnd"/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jc w:val="both"/>
              <w:cnfStyle w:val="0000001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  <w:tr w:rsidR="00614E5F" w:rsidRPr="00614E5F" w:rsidTr="001B2E64">
        <w:trPr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 w:rsidP="00614E5F">
            <w:pPr>
              <w:widowControl w:val="0"/>
              <w:ind w:firstLineChars="100" w:firstLine="200"/>
              <w:jc w:val="both"/>
              <w:rPr>
                <w:rFonts w:eastAsia="宋体" w:cs="Times New Roman"/>
                <w:b w:val="0"/>
                <w:sz w:val="20"/>
                <w:szCs w:val="20"/>
              </w:rPr>
            </w:pPr>
            <w:r w:rsidRPr="00614E5F">
              <w:rPr>
                <w:rFonts w:cs="Times New Roman"/>
                <w:b w:val="0"/>
                <w:sz w:val="20"/>
                <w:szCs w:val="20"/>
              </w:rPr>
              <w:t xml:space="preserve">  Obesity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jc w:val="both"/>
              <w:cnfStyle w:val="0000000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  <w:tr w:rsidR="00614E5F" w:rsidRPr="00614E5F" w:rsidTr="001B2E64">
        <w:trPr>
          <w:cnfStyle w:val="000000100000"/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 w:rsidP="00614E5F">
            <w:pPr>
              <w:widowControl w:val="0"/>
              <w:ind w:firstLineChars="100" w:firstLine="200"/>
              <w:jc w:val="both"/>
              <w:rPr>
                <w:rFonts w:eastAsia="宋体" w:cs="Times New Roman"/>
                <w:b w:val="0"/>
                <w:sz w:val="20"/>
                <w:szCs w:val="20"/>
              </w:rPr>
            </w:pPr>
            <w:r w:rsidRPr="00614E5F">
              <w:rPr>
                <w:rFonts w:cs="Times New Roman"/>
                <w:b w:val="0"/>
                <w:sz w:val="20"/>
                <w:szCs w:val="20"/>
              </w:rPr>
              <w:t xml:space="preserve">  Renal dysfunction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jc w:val="both"/>
              <w:cnfStyle w:val="0000001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  <w:tr w:rsidR="00614E5F" w:rsidRPr="00614E5F" w:rsidTr="001B2E64">
        <w:trPr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 w:rsidP="00614E5F">
            <w:pPr>
              <w:widowControl w:val="0"/>
              <w:ind w:firstLineChars="100" w:firstLine="200"/>
              <w:jc w:val="both"/>
              <w:rPr>
                <w:rFonts w:eastAsia="宋体" w:cs="Times New Roman"/>
                <w:b w:val="0"/>
                <w:sz w:val="20"/>
                <w:szCs w:val="20"/>
              </w:rPr>
            </w:pPr>
            <w:r w:rsidRPr="00614E5F">
              <w:rPr>
                <w:rFonts w:cs="Times New Roman"/>
                <w:b w:val="0"/>
                <w:sz w:val="20"/>
                <w:szCs w:val="20"/>
              </w:rPr>
              <w:t xml:space="preserve">  </w:t>
            </w:r>
            <w:proofErr w:type="spellStart"/>
            <w:r w:rsidRPr="00614E5F">
              <w:rPr>
                <w:rFonts w:cs="Times New Roman"/>
                <w:b w:val="0"/>
                <w:sz w:val="20"/>
                <w:szCs w:val="20"/>
              </w:rPr>
              <w:t>Hypohepatia</w:t>
            </w:r>
            <w:proofErr w:type="spellEnd"/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jc w:val="both"/>
              <w:cnfStyle w:val="0000000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  <w:tr w:rsidR="00614E5F" w:rsidRPr="00614E5F" w:rsidTr="001B2E64">
        <w:trPr>
          <w:cnfStyle w:val="000000100000"/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 w:rsidP="00614E5F">
            <w:pPr>
              <w:widowControl w:val="0"/>
              <w:ind w:firstLineChars="100" w:firstLine="200"/>
              <w:jc w:val="both"/>
              <w:rPr>
                <w:rFonts w:eastAsia="宋体" w:cs="Times New Roman"/>
                <w:b w:val="0"/>
                <w:sz w:val="20"/>
                <w:szCs w:val="20"/>
              </w:rPr>
            </w:pPr>
            <w:r w:rsidRPr="00614E5F">
              <w:rPr>
                <w:rFonts w:cs="Times New Roman"/>
                <w:b w:val="0"/>
                <w:sz w:val="20"/>
                <w:szCs w:val="20"/>
              </w:rPr>
              <w:t xml:space="preserve">  Asthma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jc w:val="both"/>
              <w:cnfStyle w:val="0000001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  <w:tr w:rsidR="00614E5F" w:rsidRPr="00614E5F" w:rsidTr="001B2E64">
        <w:trPr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 w:rsidP="00614E5F">
            <w:pPr>
              <w:widowControl w:val="0"/>
              <w:ind w:firstLineChars="100" w:firstLine="200"/>
              <w:jc w:val="both"/>
              <w:rPr>
                <w:rFonts w:eastAsia="宋体" w:cs="Times New Roman"/>
                <w:b w:val="0"/>
                <w:sz w:val="20"/>
                <w:szCs w:val="20"/>
              </w:rPr>
            </w:pPr>
            <w:r w:rsidRPr="00614E5F">
              <w:rPr>
                <w:rFonts w:cs="Times New Roman"/>
                <w:b w:val="0"/>
                <w:sz w:val="20"/>
                <w:szCs w:val="20"/>
              </w:rPr>
              <w:t xml:space="preserve">  Allergic history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jc w:val="both"/>
              <w:cnfStyle w:val="0000000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  <w:tr w:rsidR="00614E5F" w:rsidRPr="00614E5F" w:rsidTr="001B2E64">
        <w:trPr>
          <w:cnfStyle w:val="000000100000"/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 w:rsidP="00614E5F">
            <w:pPr>
              <w:widowControl w:val="0"/>
              <w:ind w:firstLineChars="100" w:firstLine="200"/>
              <w:jc w:val="both"/>
              <w:rPr>
                <w:rFonts w:eastAsia="宋体" w:cs="Times New Roman"/>
                <w:b w:val="0"/>
                <w:sz w:val="20"/>
                <w:szCs w:val="20"/>
              </w:rPr>
            </w:pPr>
            <w:r w:rsidRPr="00614E5F">
              <w:rPr>
                <w:rFonts w:cs="Times New Roman"/>
                <w:b w:val="0"/>
                <w:sz w:val="20"/>
                <w:szCs w:val="20"/>
              </w:rPr>
              <w:t xml:space="preserve">  </w:t>
            </w:r>
            <w:proofErr w:type="spellStart"/>
            <w:r w:rsidRPr="00614E5F">
              <w:rPr>
                <w:rFonts w:cs="Times New Roman"/>
                <w:b w:val="0"/>
                <w:sz w:val="20"/>
                <w:szCs w:val="20"/>
              </w:rPr>
              <w:t>Angioedema</w:t>
            </w:r>
            <w:proofErr w:type="spellEnd"/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cnfStyle w:val="0000001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  <w:tr w:rsidR="00614E5F" w:rsidRPr="00614E5F" w:rsidTr="001B2E64">
        <w:trPr>
          <w:trHeight w:val="284"/>
        </w:trPr>
        <w:tc>
          <w:tcPr>
            <w:cnfStyle w:val="001000000000"/>
            <w:tcW w:w="3936" w:type="dxa"/>
            <w:hideMark/>
          </w:tcPr>
          <w:p w:rsidR="00614E5F" w:rsidRPr="00614E5F" w:rsidRDefault="00614E5F" w:rsidP="00614E5F">
            <w:pPr>
              <w:widowControl w:val="0"/>
              <w:ind w:leftChars="114" w:left="474" w:hangingChars="100" w:hanging="200"/>
              <w:rPr>
                <w:rFonts w:eastAsia="宋体" w:cs="Times New Roman"/>
                <w:b w:val="0"/>
                <w:sz w:val="20"/>
                <w:szCs w:val="20"/>
              </w:rPr>
            </w:pPr>
            <w:r w:rsidRPr="00614E5F">
              <w:rPr>
                <w:rFonts w:cs="Times New Roman"/>
                <w:b w:val="0"/>
                <w:sz w:val="20"/>
                <w:szCs w:val="20"/>
              </w:rPr>
              <w:t xml:space="preserve">Chronic </w:t>
            </w:r>
            <w:proofErr w:type="spellStart"/>
            <w:r w:rsidRPr="00614E5F">
              <w:rPr>
                <w:rFonts w:cs="Times New Roman"/>
                <w:b w:val="0"/>
                <w:sz w:val="20"/>
                <w:szCs w:val="20"/>
              </w:rPr>
              <w:t>granulomatous</w:t>
            </w:r>
            <w:proofErr w:type="spellEnd"/>
            <w:r w:rsidRPr="00614E5F">
              <w:rPr>
                <w:rFonts w:cs="Times New Roman"/>
                <w:b w:val="0"/>
                <w:sz w:val="20"/>
                <w:szCs w:val="20"/>
              </w:rPr>
              <w:t xml:space="preserve"> disease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cnfStyle w:val="0000000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  <w:tr w:rsidR="00614E5F" w:rsidRPr="00614E5F" w:rsidTr="001B2E64">
        <w:trPr>
          <w:cnfStyle w:val="000000100000"/>
          <w:trHeight w:val="284"/>
        </w:trPr>
        <w:tc>
          <w:tcPr>
            <w:cnfStyle w:val="001000000000"/>
            <w:tcW w:w="3936" w:type="dxa"/>
            <w:hideMark/>
          </w:tcPr>
          <w:p w:rsidR="00614E5F" w:rsidRPr="001B2E64" w:rsidRDefault="00614E5F" w:rsidP="00614E5F">
            <w:pPr>
              <w:widowControl w:val="0"/>
              <w:ind w:firstLineChars="100" w:firstLine="200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614E5F">
              <w:rPr>
                <w:rFonts w:cs="Times New Roman"/>
                <w:b w:val="0"/>
                <w:sz w:val="20"/>
                <w:szCs w:val="20"/>
              </w:rPr>
              <w:lastRenderedPageBreak/>
              <w:t>Surgery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cnfStyle w:val="0000001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 xml:space="preserve">Subtotal </w:t>
            </w:r>
            <w:proofErr w:type="spellStart"/>
            <w:r w:rsidRPr="00614E5F">
              <w:rPr>
                <w:rFonts w:cs="Times New Roman"/>
                <w:sz w:val="20"/>
                <w:szCs w:val="20"/>
              </w:rPr>
              <w:t>gastrectomy</w:t>
            </w:r>
            <w:proofErr w:type="spellEnd"/>
            <w:r w:rsidRPr="00614E5F">
              <w:rPr>
                <w:rFonts w:cs="Times New Roman"/>
                <w:sz w:val="20"/>
                <w:szCs w:val="20"/>
              </w:rPr>
              <w:t xml:space="preserve"> more than 40 years and </w:t>
            </w:r>
            <w:proofErr w:type="spellStart"/>
            <w:r w:rsidRPr="00614E5F">
              <w:rPr>
                <w:rFonts w:cs="Times New Roman"/>
                <w:sz w:val="20"/>
                <w:szCs w:val="20"/>
              </w:rPr>
              <w:t>cholecystectomy</w:t>
            </w:r>
            <w:proofErr w:type="spellEnd"/>
            <w:r w:rsidRPr="00614E5F">
              <w:rPr>
                <w:rFonts w:cs="Times New Roman"/>
                <w:sz w:val="20"/>
                <w:szCs w:val="20"/>
              </w:rPr>
              <w:t xml:space="preserve"> more than 10 years</w:t>
            </w:r>
          </w:p>
        </w:tc>
      </w:tr>
      <w:tr w:rsidR="00614E5F" w:rsidRPr="00614E5F" w:rsidTr="001B2E64">
        <w:trPr>
          <w:trHeight w:val="284"/>
        </w:trPr>
        <w:tc>
          <w:tcPr>
            <w:cnfStyle w:val="001000000000"/>
            <w:tcW w:w="3936" w:type="dxa"/>
            <w:hideMark/>
          </w:tcPr>
          <w:p w:rsidR="00614E5F" w:rsidRPr="001B2E64" w:rsidRDefault="00614E5F" w:rsidP="001B2E64">
            <w:pPr>
              <w:widowControl w:val="0"/>
              <w:ind w:firstLineChars="100" w:firstLine="200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1B2E64">
              <w:rPr>
                <w:rFonts w:cs="Times New Roman"/>
                <w:b w:val="0"/>
                <w:sz w:val="20"/>
                <w:szCs w:val="20"/>
              </w:rPr>
              <w:t>Cardiac symptoms before vaccination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cnfStyle w:val="0000000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  <w:tr w:rsidR="00614E5F" w:rsidRPr="00614E5F" w:rsidTr="001B2E64">
        <w:trPr>
          <w:cnfStyle w:val="000000100000"/>
          <w:trHeight w:val="284"/>
        </w:trPr>
        <w:tc>
          <w:tcPr>
            <w:cnfStyle w:val="001000000000"/>
            <w:tcW w:w="3936" w:type="dxa"/>
            <w:hideMark/>
          </w:tcPr>
          <w:p w:rsidR="00614E5F" w:rsidRPr="001B2E64" w:rsidRDefault="00614E5F" w:rsidP="001B2E64">
            <w:pPr>
              <w:widowControl w:val="0"/>
              <w:ind w:firstLineChars="100" w:firstLine="200"/>
              <w:jc w:val="both"/>
              <w:rPr>
                <w:rFonts w:cs="Times New Roman"/>
                <w:b w:val="0"/>
                <w:sz w:val="20"/>
                <w:szCs w:val="20"/>
              </w:rPr>
            </w:pPr>
            <w:proofErr w:type="spellStart"/>
            <w:r w:rsidRPr="001B2E64">
              <w:rPr>
                <w:rFonts w:cs="Times New Roman"/>
                <w:b w:val="0"/>
                <w:sz w:val="20"/>
                <w:szCs w:val="20"/>
              </w:rPr>
              <w:t>Noncardiac</w:t>
            </w:r>
            <w:proofErr w:type="spellEnd"/>
            <w:r w:rsidRPr="001B2E64">
              <w:rPr>
                <w:rFonts w:cs="Times New Roman"/>
                <w:b w:val="0"/>
                <w:sz w:val="20"/>
                <w:szCs w:val="20"/>
              </w:rPr>
              <w:t xml:space="preserve"> symptoms before vaccination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cnfStyle w:val="000000100000"/>
              <w:rPr>
                <w:rFonts w:eastAsia="宋体" w:cs="Times New Roman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  <w:tr w:rsidR="00614E5F" w:rsidRPr="00614E5F" w:rsidTr="001B2E64">
        <w:trPr>
          <w:trHeight w:val="284"/>
        </w:trPr>
        <w:tc>
          <w:tcPr>
            <w:cnfStyle w:val="001000000000"/>
            <w:tcW w:w="3936" w:type="dxa"/>
            <w:hideMark/>
          </w:tcPr>
          <w:p w:rsidR="00614E5F" w:rsidRPr="001B2E64" w:rsidRDefault="00614E5F" w:rsidP="001B2E64">
            <w:pPr>
              <w:widowControl w:val="0"/>
              <w:ind w:firstLineChars="100" w:firstLine="200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1B2E64">
              <w:rPr>
                <w:rFonts w:cs="Times New Roman"/>
                <w:b w:val="0"/>
                <w:sz w:val="20"/>
                <w:szCs w:val="20"/>
              </w:rPr>
              <w:t>Maintenance medications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cnfStyle w:val="000000000000"/>
              <w:rPr>
                <w:rFonts w:eastAsia="宋体" w:cs="Times New Roman"/>
                <w:kern w:val="2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  <w:tr w:rsidR="00614E5F" w:rsidRPr="00614E5F" w:rsidTr="001B2E64">
        <w:trPr>
          <w:cnfStyle w:val="000000100000"/>
          <w:trHeight w:val="284"/>
        </w:trPr>
        <w:tc>
          <w:tcPr>
            <w:cnfStyle w:val="001000000000"/>
            <w:tcW w:w="3936" w:type="dxa"/>
            <w:hideMark/>
          </w:tcPr>
          <w:p w:rsidR="00614E5F" w:rsidRPr="001B2E64" w:rsidRDefault="00614E5F" w:rsidP="001B2E64">
            <w:pPr>
              <w:widowControl w:val="0"/>
              <w:ind w:firstLineChars="100" w:firstLine="200"/>
              <w:jc w:val="both"/>
              <w:rPr>
                <w:rFonts w:cs="Times New Roman"/>
                <w:b w:val="0"/>
                <w:sz w:val="20"/>
                <w:szCs w:val="20"/>
              </w:rPr>
            </w:pPr>
            <w:r w:rsidRPr="001B2E64">
              <w:rPr>
                <w:rFonts w:cs="Times New Roman"/>
                <w:b w:val="0"/>
                <w:sz w:val="20"/>
                <w:szCs w:val="20"/>
              </w:rPr>
              <w:t>Emotional triggers</w:t>
            </w:r>
          </w:p>
        </w:tc>
        <w:tc>
          <w:tcPr>
            <w:tcW w:w="5912" w:type="dxa"/>
            <w:hideMark/>
          </w:tcPr>
          <w:p w:rsidR="00614E5F" w:rsidRPr="00614E5F" w:rsidRDefault="00614E5F">
            <w:pPr>
              <w:widowControl w:val="0"/>
              <w:cnfStyle w:val="000000100000"/>
              <w:rPr>
                <w:rFonts w:eastAsia="宋体" w:cs="Times New Roman"/>
                <w:kern w:val="2"/>
                <w:sz w:val="20"/>
                <w:szCs w:val="20"/>
              </w:rPr>
            </w:pPr>
            <w:r w:rsidRPr="00614E5F">
              <w:rPr>
                <w:rFonts w:cs="Times New Roman"/>
                <w:sz w:val="20"/>
                <w:szCs w:val="20"/>
              </w:rPr>
              <w:t>No</w:t>
            </w:r>
          </w:p>
        </w:tc>
      </w:tr>
    </w:tbl>
    <w:p w:rsidR="00002D8C" w:rsidRDefault="00002D8C">
      <w:pPr>
        <w:spacing w:line="480" w:lineRule="auto"/>
        <w:rPr>
          <w:rFonts w:cs="Times New Roman"/>
          <w:szCs w:val="21"/>
          <w:lang w:eastAsia="zh-CN"/>
        </w:rPr>
      </w:pPr>
    </w:p>
    <w:p w:rsidR="00683A1E" w:rsidRPr="00683A1E" w:rsidRDefault="00683A1E">
      <w:pPr>
        <w:spacing w:line="480" w:lineRule="auto"/>
        <w:rPr>
          <w:rFonts w:cs="Times New Roman"/>
          <w:szCs w:val="24"/>
          <w:lang w:eastAsia="zh-CN"/>
        </w:rPr>
        <w:sectPr w:rsidR="00683A1E" w:rsidRPr="00683A1E" w:rsidSect="00FB40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138" w:right="1181" w:bottom="1138" w:left="1282" w:header="283" w:footer="510" w:gutter="0"/>
          <w:cols w:space="720"/>
          <w:titlePg/>
          <w:docGrid w:linePitch="360"/>
        </w:sectPr>
      </w:pPr>
    </w:p>
    <w:p w:rsidR="001A3788" w:rsidRDefault="007A766E">
      <w:pPr>
        <w:rPr>
          <w:rFonts w:cs="Times New Roman"/>
          <w:b/>
        </w:rPr>
      </w:pPr>
      <w:proofErr w:type="gramStart"/>
      <w:r w:rsidRPr="00FB405F">
        <w:rPr>
          <w:rFonts w:cs="Times New Roman" w:hint="eastAsia"/>
          <w:b/>
          <w:lang w:eastAsia="zh-CN"/>
        </w:rPr>
        <w:lastRenderedPageBreak/>
        <w:t>S</w:t>
      </w:r>
      <w:r w:rsidRPr="00FB405F">
        <w:rPr>
          <w:rFonts w:cs="Times New Roman"/>
          <w:b/>
        </w:rPr>
        <w:t>upplementary</w:t>
      </w:r>
      <w:r w:rsidRPr="00FB405F">
        <w:rPr>
          <w:rFonts w:cs="Times New Roman" w:hint="eastAsia"/>
          <w:b/>
        </w:rPr>
        <w:t xml:space="preserve"> t</w:t>
      </w:r>
      <w:r w:rsidR="00FF5F3D" w:rsidRPr="00FB405F">
        <w:rPr>
          <w:rFonts w:cs="Times New Roman"/>
          <w:b/>
        </w:rPr>
        <w:t xml:space="preserve">able </w:t>
      </w:r>
      <w:r w:rsidR="00683A1E" w:rsidRPr="00FB405F">
        <w:rPr>
          <w:rFonts w:cs="Times New Roman" w:hint="eastAsia"/>
          <w:b/>
          <w:lang w:eastAsia="zh-CN"/>
        </w:rPr>
        <w:t>2</w:t>
      </w:r>
      <w:r w:rsidR="00FF5F3D" w:rsidRPr="00FB405F">
        <w:rPr>
          <w:rFonts w:cs="Times New Roman" w:hint="eastAsia"/>
          <w:b/>
          <w:lang w:eastAsia="zh-CN"/>
        </w:rPr>
        <w:t>.</w:t>
      </w:r>
      <w:proofErr w:type="gramEnd"/>
      <w:r w:rsidR="00FF5F3D">
        <w:rPr>
          <w:rFonts w:cs="Times New Roman"/>
          <w:b/>
        </w:rPr>
        <w:t xml:space="preserve"> </w:t>
      </w:r>
      <w:r w:rsidR="00FF5F3D">
        <w:rPr>
          <w:rFonts w:cs="Times New Roman"/>
        </w:rPr>
        <w:t xml:space="preserve">Myocardial infarction cases following </w:t>
      </w:r>
      <w:r w:rsidR="00FF5F3D">
        <w:rPr>
          <w:rFonts w:cs="Times New Roman" w:hint="eastAsia"/>
          <w:lang w:eastAsia="zh-CN"/>
        </w:rPr>
        <w:t>COVID</w:t>
      </w:r>
      <w:r w:rsidR="00FF5F3D">
        <w:rPr>
          <w:rFonts w:cs="Times New Roman"/>
        </w:rPr>
        <w:t>-19 vaccination.</w:t>
      </w:r>
    </w:p>
    <w:tbl>
      <w:tblPr>
        <w:tblStyle w:val="-1"/>
        <w:tblW w:w="15168" w:type="dxa"/>
        <w:tblInd w:w="-743" w:type="dxa"/>
        <w:tblLayout w:type="fixed"/>
        <w:tblLook w:val="04A0"/>
      </w:tblPr>
      <w:tblGrid>
        <w:gridCol w:w="1277"/>
        <w:gridCol w:w="1276"/>
        <w:gridCol w:w="1701"/>
        <w:gridCol w:w="850"/>
        <w:gridCol w:w="1560"/>
        <w:gridCol w:w="2693"/>
        <w:gridCol w:w="3261"/>
        <w:gridCol w:w="1416"/>
        <w:gridCol w:w="1134"/>
      </w:tblGrid>
      <w:tr w:rsidR="001A3788" w:rsidTr="001A3788">
        <w:trPr>
          <w:cnfStyle w:val="100000000000"/>
          <w:trHeight w:val="600"/>
        </w:trPr>
        <w:tc>
          <w:tcPr>
            <w:cnfStyle w:val="001000000000"/>
            <w:tcW w:w="1277" w:type="dxa"/>
          </w:tcPr>
          <w:p w:rsidR="001A3788" w:rsidRDefault="00FF5F3D">
            <w:pPr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Author </w:t>
            </w:r>
          </w:p>
        </w:tc>
        <w:tc>
          <w:tcPr>
            <w:tcW w:w="1276" w:type="dxa"/>
          </w:tcPr>
          <w:p w:rsidR="001A3788" w:rsidRDefault="00FF5F3D">
            <w:pPr>
              <w:cnfStyle w:val="1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Country </w:t>
            </w:r>
          </w:p>
        </w:tc>
        <w:tc>
          <w:tcPr>
            <w:tcW w:w="1701" w:type="dxa"/>
          </w:tcPr>
          <w:p w:rsidR="001A3788" w:rsidRDefault="00FF5F3D">
            <w:pPr>
              <w:cnfStyle w:val="1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Vaccine administered </w:t>
            </w:r>
          </w:p>
        </w:tc>
        <w:tc>
          <w:tcPr>
            <w:tcW w:w="850" w:type="dxa"/>
          </w:tcPr>
          <w:p w:rsidR="001A3788" w:rsidRDefault="00FF5F3D">
            <w:pPr>
              <w:cnfStyle w:val="1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Age/gender </w:t>
            </w:r>
          </w:p>
        </w:tc>
        <w:tc>
          <w:tcPr>
            <w:tcW w:w="1560" w:type="dxa"/>
          </w:tcPr>
          <w:p w:rsidR="001A3788" w:rsidRDefault="00FF5F3D">
            <w:pPr>
              <w:cnfStyle w:val="1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bCs w:val="0"/>
                <w:color w:val="auto"/>
                <w:sz w:val="20"/>
                <w:szCs w:val="20"/>
                <w:lang w:eastAsia="zh-CN"/>
              </w:rPr>
              <w:t>V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accination to symptom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bCs w:val="0"/>
                <w:color w:val="auto"/>
                <w:sz w:val="20"/>
                <w:szCs w:val="20"/>
                <w:lang w:eastAsia="zh-CN"/>
              </w:rPr>
              <w:t>interval</w:t>
            </w:r>
          </w:p>
        </w:tc>
        <w:tc>
          <w:tcPr>
            <w:tcW w:w="2693" w:type="dxa"/>
          </w:tcPr>
          <w:p w:rsidR="001A3788" w:rsidRDefault="00FF5F3D">
            <w:pPr>
              <w:cnfStyle w:val="1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bCs w:val="0"/>
                <w:color w:val="auto"/>
                <w:sz w:val="20"/>
                <w:szCs w:val="20"/>
                <w:lang w:eastAsia="zh-CN"/>
              </w:rPr>
              <w:t>Symptom</w:t>
            </w:r>
          </w:p>
        </w:tc>
        <w:tc>
          <w:tcPr>
            <w:tcW w:w="3261" w:type="dxa"/>
          </w:tcPr>
          <w:p w:rsidR="001A3788" w:rsidRDefault="00FF5F3D">
            <w:pPr>
              <w:cnfStyle w:val="1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Medical history </w:t>
            </w:r>
          </w:p>
        </w:tc>
        <w:tc>
          <w:tcPr>
            <w:tcW w:w="1416" w:type="dxa"/>
          </w:tcPr>
          <w:p w:rsidR="001A3788" w:rsidRDefault="00FF5F3D">
            <w:pPr>
              <w:cnfStyle w:val="1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D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iagnosis </w:t>
            </w:r>
          </w:p>
        </w:tc>
        <w:tc>
          <w:tcPr>
            <w:tcW w:w="1134" w:type="dxa"/>
          </w:tcPr>
          <w:p w:rsidR="001A3788" w:rsidRDefault="00FF5F3D">
            <w:pPr>
              <w:cnfStyle w:val="1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bCs w:val="0"/>
                <w:color w:val="auto"/>
                <w:sz w:val="20"/>
                <w:szCs w:val="20"/>
                <w:lang w:eastAsia="zh-CN"/>
              </w:rPr>
              <w:t>O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utcome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Barsha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2021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Bangladesh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Moderna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COVID-19 vaccine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77/M 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12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hours 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After 12 hours of vaccination, he developed fever, went unconscious after 36 hours.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DM2, peripheral neuropathy, and chronic obstructive pulmonary disease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E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ncephalopathy and NSTEMI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Boivin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and Martin, 2021 </w:t>
            </w:r>
          </w:p>
        </w:tc>
        <w:tc>
          <w:tcPr>
            <w:tcW w:w="127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USA </w:t>
            </w:r>
          </w:p>
        </w:tc>
        <w:tc>
          <w:tcPr>
            <w:tcW w:w="170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Moderna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COVID-19 vaccine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96/F </w:t>
            </w:r>
          </w:p>
        </w:tc>
        <w:tc>
          <w:tcPr>
            <w:tcW w:w="156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1 hour </w:t>
            </w:r>
          </w:p>
        </w:tc>
        <w:tc>
          <w:tcPr>
            <w:tcW w:w="2693" w:type="dxa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Chest discomfort.</w:t>
            </w:r>
          </w:p>
        </w:tc>
        <w:tc>
          <w:tcPr>
            <w:tcW w:w="326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P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oorly controlled hypertension and a DNR/DNI code status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MI</w:t>
            </w:r>
          </w:p>
        </w:tc>
        <w:tc>
          <w:tcPr>
            <w:tcW w:w="1134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Chatterjee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2021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India 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Covishield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vaccine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63/M 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2 days 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Uneasiness, dizziness and excessive sweating.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None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STEMI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b w:val="0"/>
                <w:color w:val="auto"/>
                <w:sz w:val="20"/>
                <w:szCs w:val="20"/>
                <w:lang w:eastAsia="zh-CN"/>
              </w:rPr>
              <w:t xml:space="preserve">Chiang </w:t>
            </w:r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et al., 2021</w:t>
            </w:r>
          </w:p>
        </w:tc>
        <w:tc>
          <w:tcPr>
            <w:tcW w:w="127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Taiwan, China</w:t>
            </w:r>
          </w:p>
        </w:tc>
        <w:tc>
          <w:tcPr>
            <w:tcW w:w="170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ChAdOx1 nCoV-19 (AstraZeneca)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1st dose</w:t>
            </w:r>
          </w:p>
        </w:tc>
        <w:tc>
          <w:tcPr>
            <w:tcW w:w="85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75/F</w:t>
            </w:r>
          </w:p>
        </w:tc>
        <w:tc>
          <w:tcPr>
            <w:tcW w:w="156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8 days</w:t>
            </w:r>
          </w:p>
        </w:tc>
        <w:tc>
          <w:tcPr>
            <w:tcW w:w="2693" w:type="dxa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C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hest tightness and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epigastric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pain accompanied by tarry stool for two days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26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C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hronic renal failure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DM2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and coronary artery disease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NSTEMI</w:t>
            </w:r>
          </w:p>
        </w:tc>
        <w:tc>
          <w:tcPr>
            <w:tcW w:w="1134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alive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Flower et al., 2021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UK 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ChAdOx1 nCov-19 vaccine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40/M 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2-8 days 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Transient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myalgia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and febrile symptoms.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S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moking and gastric ulceration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MI secondary to VITT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Lee et al., 2021 </w:t>
            </w:r>
          </w:p>
        </w:tc>
        <w:tc>
          <w:tcPr>
            <w:tcW w:w="127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Singapore </w:t>
            </w:r>
          </w:p>
        </w:tc>
        <w:tc>
          <w:tcPr>
            <w:tcW w:w="170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Pfizer-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BioNTech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COVID-19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vaccine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</w:p>
        </w:tc>
        <w:tc>
          <w:tcPr>
            <w:tcW w:w="85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73/F </w:t>
            </w:r>
          </w:p>
        </w:tc>
        <w:tc>
          <w:tcPr>
            <w:tcW w:w="156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2 hours </w:t>
            </w:r>
          </w:p>
        </w:tc>
        <w:tc>
          <w:tcPr>
            <w:tcW w:w="2693" w:type="dxa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Palpitations and shortness of breath.</w:t>
            </w:r>
          </w:p>
        </w:tc>
        <w:tc>
          <w:tcPr>
            <w:tcW w:w="326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H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ypertension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MI with non obstructive coronary arteries </w:t>
            </w:r>
          </w:p>
        </w:tc>
        <w:tc>
          <w:tcPr>
            <w:tcW w:w="1134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N/A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Maadarani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2021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Kuwait 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COVID vaccine (AZD1222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-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Oxford University and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AstraZeneca)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62/F 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1.5 hours 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Central chest pain.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DM, hypertension and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dyslipidaemia</w:t>
            </w:r>
            <w:proofErr w:type="spellEnd"/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STEMI 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lastRenderedPageBreak/>
              <w:t>Özdemir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2021 </w:t>
            </w:r>
          </w:p>
        </w:tc>
        <w:tc>
          <w:tcPr>
            <w:tcW w:w="127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Turkey </w:t>
            </w:r>
          </w:p>
        </w:tc>
        <w:tc>
          <w:tcPr>
            <w:tcW w:w="170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I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nactivated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CoronaVac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(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Sinovac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Life Sciences, Beijing, China) 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</w:p>
        </w:tc>
        <w:tc>
          <w:tcPr>
            <w:tcW w:w="85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41/F </w:t>
            </w:r>
          </w:p>
        </w:tc>
        <w:tc>
          <w:tcPr>
            <w:tcW w:w="156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15 min </w:t>
            </w:r>
          </w:p>
        </w:tc>
        <w:tc>
          <w:tcPr>
            <w:tcW w:w="2693" w:type="dxa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Flushing, palpitation,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dyspnea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, and chest pain.</w:t>
            </w:r>
          </w:p>
        </w:tc>
        <w:tc>
          <w:tcPr>
            <w:tcW w:w="326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None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T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ype 1 KS </w:t>
            </w:r>
          </w:p>
        </w:tc>
        <w:tc>
          <w:tcPr>
            <w:tcW w:w="1134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b w:val="0"/>
                <w:color w:val="auto"/>
                <w:sz w:val="20"/>
                <w:szCs w:val="20"/>
                <w:lang w:eastAsia="zh-CN"/>
              </w:rPr>
              <w:t xml:space="preserve">Sung </w:t>
            </w:r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et al., 2021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USA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COVID-19 vaccine (mRNA-1273)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68/F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&lt; 24 hours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G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radual onset of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left shoulder pain within 1 day after 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vaccination;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later progressed to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left-sided chest pain.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Smoker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h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ypertension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; </w:t>
            </w:r>
            <w:proofErr w:type="spellStart"/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h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yperlipidemia</w:t>
            </w:r>
            <w:proofErr w:type="spellEnd"/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p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rior Coronary Artery Disease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AMI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alive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b w:val="0"/>
                <w:color w:val="auto"/>
                <w:sz w:val="20"/>
                <w:szCs w:val="20"/>
                <w:lang w:eastAsia="zh-CN"/>
              </w:rPr>
              <w:t xml:space="preserve">Sung </w:t>
            </w:r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et al., 2021</w:t>
            </w:r>
          </w:p>
        </w:tc>
        <w:tc>
          <w:tcPr>
            <w:tcW w:w="127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USA</w:t>
            </w:r>
          </w:p>
        </w:tc>
        <w:tc>
          <w:tcPr>
            <w:tcW w:w="170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COVID-19 vaccine (mRNA-1273)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</w:p>
        </w:tc>
        <w:tc>
          <w:tcPr>
            <w:tcW w:w="85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42/M</w:t>
            </w:r>
          </w:p>
        </w:tc>
        <w:tc>
          <w:tcPr>
            <w:tcW w:w="156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&lt; 24 hours</w:t>
            </w:r>
          </w:p>
        </w:tc>
        <w:tc>
          <w:tcPr>
            <w:tcW w:w="2693" w:type="dxa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4 days of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chest and shoulder pain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26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Hyperlipidemia</w:t>
            </w:r>
            <w:proofErr w:type="spellEnd"/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AMI</w:t>
            </w:r>
          </w:p>
        </w:tc>
        <w:tc>
          <w:tcPr>
            <w:tcW w:w="1134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alive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Tajstra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2021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Poland 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Pfizer–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BioNTech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vaccine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86/M 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30 min 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Unconscious, with clinical and hemodynamic signs of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cardiogenic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shock and recurrent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bradyar-rhythmias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. 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Prostate cancer; paroxysmal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atrial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fibrillation. 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STEMI 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ea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d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Allam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2022 </w:t>
            </w:r>
          </w:p>
        </w:tc>
        <w:tc>
          <w:tcPr>
            <w:tcW w:w="127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Greece </w:t>
            </w:r>
          </w:p>
        </w:tc>
        <w:tc>
          <w:tcPr>
            <w:tcW w:w="170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BNT162b1 mRNA COVID-19 vaccine (Pfizer, New York)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</w:p>
        </w:tc>
        <w:tc>
          <w:tcPr>
            <w:tcW w:w="85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64/M </w:t>
            </w:r>
          </w:p>
        </w:tc>
        <w:tc>
          <w:tcPr>
            <w:tcW w:w="156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15 min </w:t>
            </w:r>
          </w:p>
        </w:tc>
        <w:tc>
          <w:tcPr>
            <w:tcW w:w="2693" w:type="dxa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Chills, chest pain, pallor, diaphoresis, and hypotension. </w:t>
            </w:r>
          </w:p>
        </w:tc>
        <w:tc>
          <w:tcPr>
            <w:tcW w:w="326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STEMI and drug-eluting stent was implanted in the proximal LAD. </w:t>
            </w:r>
          </w:p>
        </w:tc>
        <w:tc>
          <w:tcPr>
            <w:tcW w:w="141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Anaphylaxis-induced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stent thrombosis, or type III K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1134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N/A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Baronti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2022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Italy 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BNT162b2,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dose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69/M 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24–48 h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ours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Unwitnessed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; complained of shivering, thoracic, and upper limbs pain some hours before.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C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hronic obstructive pulmonary disease (COPD); DM2; smoking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MI 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ea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Baronti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2022 </w:t>
            </w:r>
          </w:p>
        </w:tc>
        <w:tc>
          <w:tcPr>
            <w:tcW w:w="127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Italy </w:t>
            </w:r>
          </w:p>
        </w:tc>
        <w:tc>
          <w:tcPr>
            <w:tcW w:w="170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BNT162b2, 2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nd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dose </w:t>
            </w:r>
          </w:p>
        </w:tc>
        <w:tc>
          <w:tcPr>
            <w:tcW w:w="85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58/M </w:t>
            </w:r>
          </w:p>
        </w:tc>
        <w:tc>
          <w:tcPr>
            <w:tcW w:w="156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&lt;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24 h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ours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693" w:type="dxa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Unwitnessed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; complained of thoracic pain &lt; 1 h before.</w:t>
            </w:r>
          </w:p>
        </w:tc>
        <w:tc>
          <w:tcPr>
            <w:tcW w:w="326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None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MI </w:t>
            </w:r>
          </w:p>
        </w:tc>
        <w:tc>
          <w:tcPr>
            <w:tcW w:w="1134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ea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Baronti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2022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Italy 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BNT162b2,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dose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76/M 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15/20 days 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Unwitnessed</w:t>
            </w:r>
            <w:proofErr w:type="spellEnd"/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None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MI 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ea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lastRenderedPageBreak/>
              <w:t>Baronti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2022 </w:t>
            </w:r>
          </w:p>
        </w:tc>
        <w:tc>
          <w:tcPr>
            <w:tcW w:w="127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Italy </w:t>
            </w:r>
          </w:p>
        </w:tc>
        <w:tc>
          <w:tcPr>
            <w:tcW w:w="170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BNT162b2, 2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nd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dose </w:t>
            </w:r>
          </w:p>
        </w:tc>
        <w:tc>
          <w:tcPr>
            <w:tcW w:w="85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68/M </w:t>
            </w:r>
          </w:p>
        </w:tc>
        <w:tc>
          <w:tcPr>
            <w:tcW w:w="156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&lt;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24 h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ours</w:t>
            </w:r>
          </w:p>
        </w:tc>
        <w:tc>
          <w:tcPr>
            <w:tcW w:w="2693" w:type="dxa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Sudden death during cycling, preceded by headache and thoracic pain.</w:t>
            </w:r>
          </w:p>
        </w:tc>
        <w:tc>
          <w:tcPr>
            <w:tcW w:w="326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Hypertension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MI </w:t>
            </w:r>
          </w:p>
        </w:tc>
        <w:tc>
          <w:tcPr>
            <w:tcW w:w="1134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ea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Baronti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2022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Italy 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mRNA1273,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dose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50/F 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&lt;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24 h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ours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Unwitnessed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Cocaine abuse, smoking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MI 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ea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Fialho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2022 </w:t>
            </w:r>
          </w:p>
        </w:tc>
        <w:tc>
          <w:tcPr>
            <w:tcW w:w="127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Portugal </w:t>
            </w:r>
          </w:p>
        </w:tc>
        <w:tc>
          <w:tcPr>
            <w:tcW w:w="170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ChAdOx1 vaccine (AstraZeneca, Cambridge, UK)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59/M </w:t>
            </w:r>
          </w:p>
        </w:tc>
        <w:tc>
          <w:tcPr>
            <w:tcW w:w="156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20 min </w:t>
            </w:r>
          </w:p>
        </w:tc>
        <w:tc>
          <w:tcPr>
            <w:tcW w:w="2693" w:type="dxa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He was pale, sweaty, and had a discrete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micropapular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rash on his chest. </w:t>
            </w:r>
          </w:p>
        </w:tc>
        <w:tc>
          <w:tcPr>
            <w:tcW w:w="326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Rheumatoid arthritis,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atrial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fibrillation and smoking; acute coronary syndrome after influenza vaccine administration. </w:t>
            </w:r>
          </w:p>
        </w:tc>
        <w:tc>
          <w:tcPr>
            <w:tcW w:w="141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T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ype 3 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KS</w:t>
            </w:r>
          </w:p>
        </w:tc>
        <w:tc>
          <w:tcPr>
            <w:tcW w:w="1134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  <w:tr w:rsidR="001A3788" w:rsidTr="001A3788">
        <w:trPr>
          <w:trHeight w:val="562"/>
        </w:trPr>
        <w:tc>
          <w:tcPr>
            <w:cnfStyle w:val="001000000000"/>
            <w:tcW w:w="1277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b w:val="0"/>
                <w:color w:val="auto"/>
                <w:sz w:val="20"/>
                <w:szCs w:val="20"/>
                <w:lang w:eastAsia="zh-CN"/>
              </w:rPr>
              <w:t xml:space="preserve">Hsu </w:t>
            </w:r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et al., 2022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Taiwan, China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ChAdOx1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nCoV</w:t>
            </w:r>
            <w:proofErr w:type="spellEnd"/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-</w:t>
            </w:r>
            <w:r>
              <w:rPr>
                <w:color w:val="auto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19 vaccine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33/M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9 days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1 day of crescendo chest pain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O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besity and mild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hyperlipidemia</w:t>
            </w:r>
            <w:proofErr w:type="spellEnd"/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STEMI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dead</w:t>
            </w:r>
          </w:p>
        </w:tc>
      </w:tr>
      <w:tr w:rsidR="001A3788" w:rsidTr="001A3788">
        <w:trPr>
          <w:trHeight w:val="562"/>
        </w:trPr>
        <w:tc>
          <w:tcPr>
            <w:cnfStyle w:val="001000000000"/>
            <w:tcW w:w="1277" w:type="dxa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Huang et al., 2022 </w:t>
            </w:r>
          </w:p>
        </w:tc>
        <w:tc>
          <w:tcPr>
            <w:tcW w:w="127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Taiwan, China </w:t>
            </w:r>
          </w:p>
        </w:tc>
        <w:tc>
          <w:tcPr>
            <w:tcW w:w="170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Astra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-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Zeneca vaccine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60/M </w:t>
            </w:r>
          </w:p>
        </w:tc>
        <w:tc>
          <w:tcPr>
            <w:tcW w:w="156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1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h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our</w:t>
            </w:r>
          </w:p>
        </w:tc>
        <w:tc>
          <w:tcPr>
            <w:tcW w:w="2693" w:type="dxa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Chest pain and cold sweat. </w:t>
            </w:r>
          </w:p>
        </w:tc>
        <w:tc>
          <w:tcPr>
            <w:tcW w:w="326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S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moking and hypertension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STEMI </w:t>
            </w:r>
          </w:p>
        </w:tc>
        <w:tc>
          <w:tcPr>
            <w:tcW w:w="1134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Huang et al., 2022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Taiwan, China 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ChAdOx1 nCoV-19 vaccine, AstraZeneca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78/F 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3 days 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Chest pain and dizziness. 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DM2 and chronic renal failure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STEMI 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Huang et al., 2022 </w:t>
            </w:r>
          </w:p>
        </w:tc>
        <w:tc>
          <w:tcPr>
            <w:tcW w:w="127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Taiwan, China </w:t>
            </w:r>
          </w:p>
        </w:tc>
        <w:tc>
          <w:tcPr>
            <w:tcW w:w="170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COVID-19 vaccination (AstraZeneca) </w:t>
            </w:r>
          </w:p>
        </w:tc>
        <w:tc>
          <w:tcPr>
            <w:tcW w:w="85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89/M </w:t>
            </w:r>
          </w:p>
        </w:tc>
        <w:tc>
          <w:tcPr>
            <w:tcW w:w="156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3 days </w:t>
            </w:r>
          </w:p>
        </w:tc>
        <w:tc>
          <w:tcPr>
            <w:tcW w:w="2693" w:type="dxa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Progressive short of breath for 2 days.</w:t>
            </w:r>
          </w:p>
        </w:tc>
        <w:tc>
          <w:tcPr>
            <w:tcW w:w="326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H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ypertension and DM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41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NSTEMI </w:t>
            </w:r>
          </w:p>
        </w:tc>
        <w:tc>
          <w:tcPr>
            <w:tcW w:w="1134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Huang et al., 2022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Taiwan, China 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COVID-19 vaccination (AstraZeneca) 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87/F 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5 days 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Chest pain and progressive shortness of breath for days.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Colon cancer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STEMI 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Iqbal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2022 </w:t>
            </w:r>
          </w:p>
        </w:tc>
        <w:tc>
          <w:tcPr>
            <w:tcW w:w="127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PAK </w:t>
            </w:r>
          </w:p>
        </w:tc>
        <w:tc>
          <w:tcPr>
            <w:tcW w:w="170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Moderna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COVID-19 vaccine (mRNA-1273 vaccine)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85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61/M </w:t>
            </w:r>
          </w:p>
        </w:tc>
        <w:tc>
          <w:tcPr>
            <w:tcW w:w="156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90 min </w:t>
            </w:r>
          </w:p>
        </w:tc>
        <w:tc>
          <w:tcPr>
            <w:tcW w:w="2693" w:type="dxa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Left arm and jaw pain.</w:t>
            </w:r>
          </w:p>
        </w:tc>
        <w:tc>
          <w:tcPr>
            <w:tcW w:w="326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Ischemic heart disease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NSTEMI </w:t>
            </w:r>
          </w:p>
        </w:tc>
        <w:tc>
          <w:tcPr>
            <w:tcW w:w="1134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lastRenderedPageBreak/>
              <w:t xml:space="preserve">Kawamura et al., 2022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Japan 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COVID-19 mRNA vaccine (Pfizer-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BioNTech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vaccine)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; 3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rd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76/F 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19 h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our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Chest pain.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Hypertension,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dyslipidemia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, and bronchial asthma. She was allergic to Japanese cedar, cypress,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enicillin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, and non-steroid anti-inflammatory drugs. 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STEMI 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Kurozumi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2022 </w:t>
            </w:r>
          </w:p>
        </w:tc>
        <w:tc>
          <w:tcPr>
            <w:tcW w:w="127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Japan </w:t>
            </w:r>
          </w:p>
        </w:tc>
        <w:tc>
          <w:tcPr>
            <w:tcW w:w="170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Pfizer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-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BioNTech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COVID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-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19 vaccine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2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nd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</w:p>
        </w:tc>
        <w:tc>
          <w:tcPr>
            <w:tcW w:w="85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70/F </w:t>
            </w:r>
          </w:p>
        </w:tc>
        <w:tc>
          <w:tcPr>
            <w:tcW w:w="156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15 min </w:t>
            </w:r>
          </w:p>
        </w:tc>
        <w:tc>
          <w:tcPr>
            <w:tcW w:w="2693" w:type="dxa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Nausea and chest pain.</w:t>
            </w:r>
          </w:p>
        </w:tc>
        <w:tc>
          <w:tcPr>
            <w:tcW w:w="326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Hypertension,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dyslipidemia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, and diabetes mellitus.</w:t>
            </w:r>
          </w:p>
        </w:tc>
        <w:tc>
          <w:tcPr>
            <w:tcW w:w="141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AMI</w:t>
            </w:r>
          </w:p>
        </w:tc>
        <w:tc>
          <w:tcPr>
            <w:tcW w:w="1134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Panthong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2022 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Thailand 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CoronaVac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COVID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-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19</w:t>
            </w:r>
          </w:p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Vaccine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2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nd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48/M 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18 h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our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 30-min history of worsening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nonradiated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retrosternal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chest pressure at rest.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He reported similar pain with less severity over the past 4 weeks since he received the first dose of the same vaccine. 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NSTEMI 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  <w:tr w:rsidR="001A3788" w:rsidTr="001A3788">
        <w:trPr>
          <w:trHeight w:val="600"/>
        </w:trPr>
        <w:tc>
          <w:tcPr>
            <w:cnfStyle w:val="001000000000"/>
            <w:tcW w:w="1277" w:type="dxa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Panthong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2022 </w:t>
            </w:r>
          </w:p>
        </w:tc>
        <w:tc>
          <w:tcPr>
            <w:tcW w:w="127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Thailand </w:t>
            </w:r>
          </w:p>
        </w:tc>
        <w:tc>
          <w:tcPr>
            <w:tcW w:w="170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CoronaVac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vaccine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</w:p>
        </w:tc>
        <w:tc>
          <w:tcPr>
            <w:tcW w:w="85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50/M </w:t>
            </w:r>
          </w:p>
        </w:tc>
        <w:tc>
          <w:tcPr>
            <w:tcW w:w="156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12 h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our</w:t>
            </w:r>
          </w:p>
        </w:tc>
        <w:tc>
          <w:tcPr>
            <w:tcW w:w="2693" w:type="dxa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An acute onset of chest discomfort at rest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26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LAD artery and RCA stent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lacement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4 years ago. </w:t>
            </w:r>
          </w:p>
        </w:tc>
        <w:tc>
          <w:tcPr>
            <w:tcW w:w="141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NSTEMI </w:t>
            </w:r>
          </w:p>
        </w:tc>
        <w:tc>
          <w:tcPr>
            <w:tcW w:w="1134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  <w:tr w:rsidR="001A3788" w:rsidTr="001A3788">
        <w:trPr>
          <w:trHeight w:val="1775"/>
        </w:trPr>
        <w:tc>
          <w:tcPr>
            <w:cnfStyle w:val="001000000000"/>
            <w:tcW w:w="1277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proofErr w:type="spellStart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>Şancı</w:t>
            </w:r>
            <w:proofErr w:type="spellEnd"/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 et al., 2022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Turkey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COVID-19 vaccine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(BNT162b2, Pfizer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-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BioNTech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)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22/F</w:t>
            </w:r>
          </w:p>
        </w:tc>
        <w:tc>
          <w:tcPr>
            <w:tcW w:w="1560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15 min</w:t>
            </w:r>
          </w:p>
        </w:tc>
        <w:tc>
          <w:tcPr>
            <w:tcW w:w="2693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Palpitations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and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uneasiness of the chest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3261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H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ad previous egg and tomato allergy and no known prior drug allergies.</w:t>
            </w:r>
          </w:p>
        </w:tc>
        <w:tc>
          <w:tcPr>
            <w:tcW w:w="1416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T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ype 1 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KS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3DFEE" w:themeFill="accent1" w:themeFillTint="3F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alive</w:t>
            </w:r>
          </w:p>
        </w:tc>
      </w:tr>
      <w:tr w:rsidR="001A3788" w:rsidTr="001A3788">
        <w:trPr>
          <w:trHeight w:val="1775"/>
        </w:trPr>
        <w:tc>
          <w:tcPr>
            <w:cnfStyle w:val="001000000000"/>
            <w:tcW w:w="1277" w:type="dxa"/>
          </w:tcPr>
          <w:p w:rsidR="001A3788" w:rsidRDefault="00FF5F3D">
            <w:pP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b w:val="0"/>
                <w:color w:val="auto"/>
                <w:sz w:val="20"/>
                <w:szCs w:val="20"/>
                <w:lang w:eastAsia="zh-CN"/>
              </w:rPr>
              <w:t xml:space="preserve">This paper </w:t>
            </w:r>
          </w:p>
        </w:tc>
        <w:tc>
          <w:tcPr>
            <w:tcW w:w="127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China </w:t>
            </w:r>
          </w:p>
        </w:tc>
        <w:tc>
          <w:tcPr>
            <w:tcW w:w="170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I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nactivated COVID-19 vaccine (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CoronaVac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, 202106061Z,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Sinovac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Life Sciences, Beijing, China)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; 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dose</w:t>
            </w:r>
          </w:p>
        </w:tc>
        <w:tc>
          <w:tcPr>
            <w:tcW w:w="85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83/M </w:t>
            </w:r>
          </w:p>
        </w:tc>
        <w:tc>
          <w:tcPr>
            <w:tcW w:w="1560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10 min </w:t>
            </w:r>
          </w:p>
        </w:tc>
        <w:tc>
          <w:tcPr>
            <w:tcW w:w="2693" w:type="dxa"/>
          </w:tcPr>
          <w:p w:rsidR="001A3788" w:rsidRDefault="00FF5F3D">
            <w:pPr>
              <w:tabs>
                <w:tab w:val="left" w:pos="4392"/>
              </w:tabs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Dizziness, fatigue, cold sweat and transient loss of consciousness 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10-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min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after the 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1</w:t>
            </w:r>
            <w:r>
              <w:rPr>
                <w:rFonts w:cs="Times New Roman" w:hint="eastAsia"/>
                <w:color w:val="auto"/>
                <w:sz w:val="20"/>
                <w:szCs w:val="20"/>
                <w:vertAlign w:val="superscript"/>
                <w:lang w:eastAsia="zh-CN"/>
              </w:rPr>
              <w:t>st</w:t>
            </w: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dose of inactivated COVID-19 vaccine. Chest tightness, diarrhea and a lowest blood pressure the following day.</w:t>
            </w:r>
          </w:p>
        </w:tc>
        <w:tc>
          <w:tcPr>
            <w:tcW w:w="3261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S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ubtotal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gastrectomy</w:t>
            </w:r>
            <w:proofErr w:type="spellEnd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 and </w:t>
            </w:r>
            <w:proofErr w:type="spellStart"/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>cholecystectomy</w:t>
            </w:r>
            <w:proofErr w:type="spellEnd"/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416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  <w:lang w:eastAsia="zh-CN"/>
              </w:rPr>
              <w:t>A</w:t>
            </w: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MI </w:t>
            </w:r>
          </w:p>
        </w:tc>
        <w:tc>
          <w:tcPr>
            <w:tcW w:w="1134" w:type="dxa"/>
          </w:tcPr>
          <w:p w:rsidR="001A3788" w:rsidRDefault="00FF5F3D">
            <w:pPr>
              <w:cnfStyle w:val="000000000000"/>
              <w:rPr>
                <w:rFonts w:cs="Times New Roman"/>
                <w:color w:val="auto"/>
                <w:sz w:val="20"/>
                <w:szCs w:val="20"/>
                <w:lang w:eastAsia="zh-CN"/>
              </w:rPr>
            </w:pPr>
            <w:r>
              <w:rPr>
                <w:rFonts w:cs="Times New Roman"/>
                <w:color w:val="auto"/>
                <w:sz w:val="20"/>
                <w:szCs w:val="20"/>
                <w:lang w:eastAsia="zh-CN"/>
              </w:rPr>
              <w:t xml:space="preserve">alive </w:t>
            </w:r>
          </w:p>
        </w:tc>
      </w:tr>
    </w:tbl>
    <w:p w:rsidR="001A3788" w:rsidRDefault="00FF5F3D">
      <w:pPr>
        <w:rPr>
          <w:lang w:eastAsia="zh-CN"/>
        </w:rPr>
      </w:pPr>
      <w:r>
        <w:rPr>
          <w:rFonts w:cs="Times New Roman"/>
          <w:b/>
          <w:sz w:val="20"/>
          <w:szCs w:val="20"/>
        </w:rPr>
        <w:t>Abbreviations:</w:t>
      </w:r>
      <w:r>
        <w:rPr>
          <w:rFonts w:cs="Times New Roman" w:hint="eastAsia"/>
          <w:b/>
          <w:sz w:val="20"/>
          <w:szCs w:val="20"/>
        </w:rPr>
        <w:t xml:space="preserve"> </w:t>
      </w:r>
      <w:r>
        <w:rPr>
          <w:rFonts w:cs="Times New Roman" w:hint="eastAsia"/>
          <w:sz w:val="20"/>
          <w:szCs w:val="20"/>
        </w:rPr>
        <w:t>MI, myocardial infarction; AMI, acute myocardial infarction; DM2, T</w:t>
      </w:r>
      <w:r>
        <w:rPr>
          <w:rFonts w:cs="Times New Roman"/>
          <w:sz w:val="20"/>
          <w:szCs w:val="20"/>
        </w:rPr>
        <w:t>ype 2 diabetes mellitus</w:t>
      </w:r>
      <w:r>
        <w:rPr>
          <w:rFonts w:cs="Times New Roman" w:hint="eastAsia"/>
          <w:sz w:val="20"/>
          <w:szCs w:val="20"/>
        </w:rPr>
        <w:t xml:space="preserve">; </w:t>
      </w:r>
      <w:r>
        <w:rPr>
          <w:rFonts w:cs="Times New Roman"/>
          <w:sz w:val="20"/>
          <w:szCs w:val="20"/>
        </w:rPr>
        <w:t>NSTEMI</w:t>
      </w:r>
      <w:r>
        <w:rPr>
          <w:rFonts w:cs="Times New Roman" w:hint="eastAsia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non-ST segment elevation myocardial infarction</w:t>
      </w:r>
      <w:r>
        <w:rPr>
          <w:rFonts w:cs="Times New Roman" w:hint="eastAsia"/>
          <w:sz w:val="20"/>
          <w:szCs w:val="20"/>
        </w:rPr>
        <w:t xml:space="preserve">; </w:t>
      </w:r>
      <w:r>
        <w:rPr>
          <w:rFonts w:cs="Times New Roman"/>
          <w:sz w:val="20"/>
          <w:szCs w:val="20"/>
        </w:rPr>
        <w:t>STEMI</w:t>
      </w:r>
      <w:r>
        <w:rPr>
          <w:rFonts w:cs="Times New Roman" w:hint="eastAsia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ST elevation</w:t>
      </w:r>
      <w:r>
        <w:rPr>
          <w:rFonts w:cs="Times New Roman" w:hint="eastAsia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myocardial infarction</w:t>
      </w:r>
      <w:r>
        <w:rPr>
          <w:rFonts w:cs="Times New Roman" w:hint="eastAsia"/>
          <w:sz w:val="20"/>
          <w:szCs w:val="20"/>
        </w:rPr>
        <w:t xml:space="preserve">; </w:t>
      </w:r>
      <w:r>
        <w:rPr>
          <w:rFonts w:cs="Times New Roman"/>
          <w:sz w:val="20"/>
          <w:szCs w:val="20"/>
        </w:rPr>
        <w:t>VITT</w:t>
      </w:r>
      <w:r>
        <w:rPr>
          <w:rFonts w:cs="Times New Roman" w:hint="eastAsia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 xml:space="preserve">vaccine- induced immune </w:t>
      </w:r>
      <w:proofErr w:type="spellStart"/>
      <w:r>
        <w:rPr>
          <w:rFonts w:cs="Times New Roman"/>
          <w:sz w:val="20"/>
          <w:szCs w:val="20"/>
        </w:rPr>
        <w:t>thrombocytopaenia</w:t>
      </w:r>
      <w:proofErr w:type="spellEnd"/>
      <w:r>
        <w:rPr>
          <w:rFonts w:cs="Times New Roman"/>
          <w:sz w:val="20"/>
          <w:szCs w:val="20"/>
        </w:rPr>
        <w:t xml:space="preserve"> and thrombosis</w:t>
      </w:r>
      <w:r>
        <w:rPr>
          <w:rFonts w:cs="Times New Roman" w:hint="eastAsia"/>
          <w:sz w:val="20"/>
          <w:szCs w:val="20"/>
        </w:rPr>
        <w:t xml:space="preserve">; KS, </w:t>
      </w:r>
      <w:proofErr w:type="spellStart"/>
      <w:r>
        <w:rPr>
          <w:rFonts w:cs="Times New Roman"/>
          <w:sz w:val="20"/>
          <w:szCs w:val="20"/>
        </w:rPr>
        <w:t>Kounis</w:t>
      </w:r>
      <w:proofErr w:type="spellEnd"/>
      <w:r>
        <w:rPr>
          <w:rFonts w:cs="Times New Roman"/>
          <w:sz w:val="20"/>
          <w:szCs w:val="20"/>
        </w:rPr>
        <w:t xml:space="preserve"> syndrome</w:t>
      </w:r>
      <w:r>
        <w:rPr>
          <w:rFonts w:cs="Times New Roman" w:hint="eastAsia"/>
          <w:sz w:val="20"/>
          <w:szCs w:val="20"/>
        </w:rPr>
        <w:t>; M, male; F, female; min: minutes.</w:t>
      </w:r>
    </w:p>
    <w:sectPr w:rsidR="001A3788" w:rsidSect="00FB405F">
      <w:pgSz w:w="15840" w:h="12240" w:orient="landscape"/>
      <w:pgMar w:top="1281" w:right="1140" w:bottom="1179" w:left="1140" w:header="284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D3E" w:rsidRDefault="00BA7D3E">
      <w:r>
        <w:separator/>
      </w:r>
    </w:p>
  </w:endnote>
  <w:endnote w:type="continuationSeparator" w:id="0">
    <w:p w:rsidR="00BA7D3E" w:rsidRDefault="00BA7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8C" w:rsidRDefault="00DA52B1">
    <w:pPr>
      <w:pStyle w:val="a9"/>
      <w:rPr>
        <w:color w:val="C00000"/>
        <w:szCs w:val="24"/>
      </w:rPr>
    </w:pPr>
    <w:r w:rsidRPr="00DA52B1">
      <w:rPr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434.15pt;margin-top:735.1pt;width:118.8pt;height:31.15pt;z-index:251660288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<v:textbox style="mso-next-textbox:#Text Box 1;mso-fit-shape-to-text:t">
            <w:txbxContent>
              <w:p w:rsidR="00002D8C" w:rsidRDefault="00DA52B1">
                <w:pPr>
                  <w:pStyle w:val="a9"/>
                  <w:jc w:val="right"/>
                  <w:rPr>
                    <w:color w:val="000000" w:themeColor="text1"/>
                    <w:szCs w:val="40"/>
                  </w:rPr>
                </w:pPr>
                <w:r>
                  <w:rPr>
                    <w:color w:val="000000" w:themeColor="text1"/>
                    <w:szCs w:val="40"/>
                  </w:rPr>
                  <w:fldChar w:fldCharType="begin"/>
                </w:r>
                <w:r w:rsidR="00002D8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>
                  <w:rPr>
                    <w:color w:val="000000" w:themeColor="text1"/>
                    <w:szCs w:val="40"/>
                  </w:rPr>
                  <w:fldChar w:fldCharType="separate"/>
                </w:r>
                <w:r w:rsidR="001B2E64" w:rsidRPr="001B2E64">
                  <w:rPr>
                    <w:noProof/>
                    <w:color w:val="000000" w:themeColor="text1"/>
                    <w:sz w:val="22"/>
                    <w:szCs w:val="40"/>
                  </w:rPr>
                  <w:t>6</w:t>
                </w:r>
                <w:r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8C" w:rsidRDefault="00DA52B1">
    <w:pPr>
      <w:pStyle w:val="a9"/>
      <w:rPr>
        <w:b/>
        <w:sz w:val="20"/>
        <w:szCs w:val="24"/>
      </w:rPr>
    </w:pPr>
    <w:r w:rsidRPr="00DA52B1">
      <w:rPr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6" o:spid="_x0000_s1027" type="#_x0000_t202" style="position:absolute;margin-left:434.15pt;margin-top:735.1pt;width:118.8pt;height:31.15pt;z-index:251659264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<v:textbox style="mso-next-textbox:#Text Box 56;mso-fit-shape-to-text:t">
            <w:txbxContent>
              <w:p w:rsidR="00002D8C" w:rsidRDefault="00DA52B1">
                <w:pPr>
                  <w:pStyle w:val="a9"/>
                  <w:jc w:val="right"/>
                  <w:rPr>
                    <w:color w:val="000000" w:themeColor="text1"/>
                    <w:szCs w:val="40"/>
                  </w:rPr>
                </w:pPr>
                <w:r>
                  <w:rPr>
                    <w:color w:val="000000" w:themeColor="text1"/>
                    <w:szCs w:val="40"/>
                  </w:rPr>
                  <w:fldChar w:fldCharType="begin"/>
                </w:r>
                <w:r w:rsidR="00002D8C">
                  <w:rPr>
                    <w:color w:val="000000" w:themeColor="text1"/>
                    <w:szCs w:val="40"/>
                  </w:rPr>
                  <w:instrText xml:space="preserve"> PAGE  \* Arabic  \* MERGEFORMAT </w:instrText>
                </w:r>
                <w:r>
                  <w:rPr>
                    <w:color w:val="000000" w:themeColor="text1"/>
                    <w:szCs w:val="40"/>
                  </w:rPr>
                  <w:fldChar w:fldCharType="separate"/>
                </w:r>
                <w:r w:rsidR="001B2E64" w:rsidRPr="001B2E64">
                  <w:rPr>
                    <w:noProof/>
                    <w:color w:val="000000" w:themeColor="text1"/>
                    <w:sz w:val="22"/>
                    <w:szCs w:val="40"/>
                  </w:rPr>
                  <w:t>5</w:t>
                </w:r>
                <w:r>
                  <w:rPr>
                    <w:color w:val="000000" w:themeColor="text1"/>
                    <w:szCs w:val="4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E64" w:rsidRDefault="001B2E6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D3E" w:rsidRDefault="00BA7D3E">
      <w:pPr>
        <w:spacing w:before="0" w:after="0"/>
      </w:pPr>
      <w:r>
        <w:separator/>
      </w:r>
    </w:p>
  </w:footnote>
  <w:footnote w:type="continuationSeparator" w:id="0">
    <w:p w:rsidR="00BA7D3E" w:rsidRDefault="00BA7D3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8C" w:rsidRDefault="00002D8C">
    <w:pPr>
      <w:pStyle w:val="aa"/>
    </w:pPr>
    <w:r>
      <w:ptab w:relativeTo="margin" w:alignment="center" w:leader="none"/>
    </w:r>
    <w:r>
      <w:ptab w:relativeTo="margin" w:alignment="right" w:leader="none"/>
    </w:r>
    <w:r>
      <w:t>Running Title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8C" w:rsidRDefault="00002D8C">
    <w:pPr>
      <w:pStyle w:val="aa"/>
    </w:pPr>
    <w:r>
      <w:ptab w:relativeTo="margin" w:alignment="center" w:leader="none"/>
    </w:r>
    <w:r>
      <w:ptab w:relativeTo="margin" w:alignment="right" w:leader="none"/>
    </w:r>
    <w:r>
      <w:t>Running Title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D8C" w:rsidRDefault="00002D8C">
    <w:pPr>
      <w:pStyle w:val="aa"/>
    </w:pPr>
    <w:r>
      <w:rPr>
        <w:noProof/>
        <w:color w:val="A6A6A6" w:themeColor="background1" w:themeShade="A6"/>
        <w:lang w:eastAsia="zh-CN"/>
      </w:rPr>
      <w:drawing>
        <wp:inline distT="0" distB="0" distL="0" distR="0">
          <wp:extent cx="1382395" cy="496570"/>
          <wp:effectExtent l="0" t="0" r="0" b="0"/>
          <wp:docPr id="6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 w:tentative="1">
        <w:start w:val="1"/>
        <w:numFmt w:val="decimal"/>
        <w:pStyle w:val="2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OWM">
    <w15:presenceInfo w15:providerId="None" w15:userId="OW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eyJoZGlkIjoiYmFmNGZhOTVkM2NkMjRkMzZlZWEwNGY5YmM1N2M5YWM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 Science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9f05sfev20wtnearpxpvexn5pewfwwrpffv&quot;&gt;My EndNote Library&lt;record-ids&gt;&lt;item&gt;1114&lt;/item&gt;&lt;item&gt;1115&lt;/item&gt;&lt;item&gt;1116&lt;/item&gt;&lt;item&gt;1117&lt;/item&gt;&lt;item&gt;1121&lt;/item&gt;&lt;item&gt;1123&lt;/item&gt;&lt;item&gt;1124&lt;/item&gt;&lt;item&gt;1125&lt;/item&gt;&lt;item&gt;1126&lt;/item&gt;&lt;item&gt;1129&lt;/item&gt;&lt;item&gt;1148&lt;/item&gt;&lt;item&gt;1149&lt;/item&gt;&lt;item&gt;1156&lt;/item&gt;&lt;item&gt;1157&lt;/item&gt;&lt;item&gt;1158&lt;/item&gt;&lt;item&gt;1160&lt;/item&gt;&lt;item&gt;1170&lt;/item&gt;&lt;item&gt;1173&lt;/item&gt;&lt;item&gt;1174&lt;/item&gt;&lt;item&gt;1176&lt;/item&gt;&lt;item&gt;1177&lt;/item&gt;&lt;item&gt;1178&lt;/item&gt;&lt;item&gt;1179&lt;/item&gt;&lt;item&gt;1181&lt;/item&gt;&lt;item&gt;1189&lt;/item&gt;&lt;item&gt;1190&lt;/item&gt;&lt;item&gt;1191&lt;/item&gt;&lt;item&gt;1192&lt;/item&gt;&lt;item&gt;1198&lt;/item&gt;&lt;item&gt;1199&lt;/item&gt;&lt;item&gt;1202&lt;/item&gt;&lt;item&gt;1203&lt;/item&gt;&lt;item&gt;1204&lt;/item&gt;&lt;item&gt;1205&lt;/item&gt;&lt;item&gt;1206&lt;/item&gt;&lt;item&gt;1264&lt;/item&gt;&lt;item&gt;1265&lt;/item&gt;&lt;item&gt;1266&lt;/item&gt;&lt;item&gt;1268&lt;/item&gt;&lt;/record-ids&gt;&lt;/item&gt;&lt;/Libraries&gt;"/>
  </w:docVars>
  <w:rsids>
    <w:rsidRoot w:val="00681821"/>
    <w:rsid w:val="00002D8C"/>
    <w:rsid w:val="00030CC6"/>
    <w:rsid w:val="00034304"/>
    <w:rsid w:val="00035434"/>
    <w:rsid w:val="0004555F"/>
    <w:rsid w:val="00045678"/>
    <w:rsid w:val="000458E4"/>
    <w:rsid w:val="00054562"/>
    <w:rsid w:val="00063D84"/>
    <w:rsid w:val="0006636D"/>
    <w:rsid w:val="00077D53"/>
    <w:rsid w:val="00081394"/>
    <w:rsid w:val="000B34BD"/>
    <w:rsid w:val="000B732F"/>
    <w:rsid w:val="000C7E2A"/>
    <w:rsid w:val="000E6BA6"/>
    <w:rsid w:val="000F4CFB"/>
    <w:rsid w:val="00115CBD"/>
    <w:rsid w:val="00117666"/>
    <w:rsid w:val="001223A7"/>
    <w:rsid w:val="00134256"/>
    <w:rsid w:val="00144C4B"/>
    <w:rsid w:val="00147395"/>
    <w:rsid w:val="001478B8"/>
    <w:rsid w:val="001552C9"/>
    <w:rsid w:val="00166DA7"/>
    <w:rsid w:val="00177D84"/>
    <w:rsid w:val="00184B2A"/>
    <w:rsid w:val="001854D3"/>
    <w:rsid w:val="00185A32"/>
    <w:rsid w:val="001964EF"/>
    <w:rsid w:val="001A3788"/>
    <w:rsid w:val="001A73AE"/>
    <w:rsid w:val="001B1A2C"/>
    <w:rsid w:val="001B2E64"/>
    <w:rsid w:val="001D5C23"/>
    <w:rsid w:val="001F4C07"/>
    <w:rsid w:val="00220AEA"/>
    <w:rsid w:val="00226954"/>
    <w:rsid w:val="002629A3"/>
    <w:rsid w:val="00265660"/>
    <w:rsid w:val="00267D18"/>
    <w:rsid w:val="00284C23"/>
    <w:rsid w:val="00284FF5"/>
    <w:rsid w:val="0028675F"/>
    <w:rsid w:val="002868E2"/>
    <w:rsid w:val="002869C3"/>
    <w:rsid w:val="0029110A"/>
    <w:rsid w:val="002936E4"/>
    <w:rsid w:val="00296B88"/>
    <w:rsid w:val="002C44CB"/>
    <w:rsid w:val="002C74CA"/>
    <w:rsid w:val="002F1835"/>
    <w:rsid w:val="002F471B"/>
    <w:rsid w:val="002F744D"/>
    <w:rsid w:val="00303DE6"/>
    <w:rsid w:val="00310124"/>
    <w:rsid w:val="003168B2"/>
    <w:rsid w:val="003544FB"/>
    <w:rsid w:val="00363227"/>
    <w:rsid w:val="00365D63"/>
    <w:rsid w:val="0036793B"/>
    <w:rsid w:val="00372682"/>
    <w:rsid w:val="00376CC5"/>
    <w:rsid w:val="00386EC1"/>
    <w:rsid w:val="0039693B"/>
    <w:rsid w:val="003B1E78"/>
    <w:rsid w:val="003D2F2D"/>
    <w:rsid w:val="003D4274"/>
    <w:rsid w:val="003E54C8"/>
    <w:rsid w:val="003F731B"/>
    <w:rsid w:val="00401590"/>
    <w:rsid w:val="00422C94"/>
    <w:rsid w:val="0044559E"/>
    <w:rsid w:val="00463E3D"/>
    <w:rsid w:val="004645AE"/>
    <w:rsid w:val="004D3E33"/>
    <w:rsid w:val="004F0BA1"/>
    <w:rsid w:val="005104B7"/>
    <w:rsid w:val="005250F2"/>
    <w:rsid w:val="00533408"/>
    <w:rsid w:val="0058298B"/>
    <w:rsid w:val="005A1D84"/>
    <w:rsid w:val="005A70EA"/>
    <w:rsid w:val="005A7477"/>
    <w:rsid w:val="005C3963"/>
    <w:rsid w:val="005D1840"/>
    <w:rsid w:val="005D35E4"/>
    <w:rsid w:val="005D7910"/>
    <w:rsid w:val="005F2D80"/>
    <w:rsid w:val="005F5DEF"/>
    <w:rsid w:val="00614E5F"/>
    <w:rsid w:val="0062154F"/>
    <w:rsid w:val="00627BBE"/>
    <w:rsid w:val="00631A8C"/>
    <w:rsid w:val="00651CA2"/>
    <w:rsid w:val="00653D60"/>
    <w:rsid w:val="00660D05"/>
    <w:rsid w:val="00671D9A"/>
    <w:rsid w:val="00673952"/>
    <w:rsid w:val="00677114"/>
    <w:rsid w:val="00681821"/>
    <w:rsid w:val="00683A1E"/>
    <w:rsid w:val="00686C9D"/>
    <w:rsid w:val="006B2D5B"/>
    <w:rsid w:val="006B361D"/>
    <w:rsid w:val="006B7D14"/>
    <w:rsid w:val="006C0A30"/>
    <w:rsid w:val="006D5B93"/>
    <w:rsid w:val="00725A7D"/>
    <w:rsid w:val="0073085C"/>
    <w:rsid w:val="00733784"/>
    <w:rsid w:val="00746505"/>
    <w:rsid w:val="0076089D"/>
    <w:rsid w:val="00774D16"/>
    <w:rsid w:val="00776E59"/>
    <w:rsid w:val="00790BB3"/>
    <w:rsid w:val="00792043"/>
    <w:rsid w:val="00797EDD"/>
    <w:rsid w:val="007A766E"/>
    <w:rsid w:val="007B0322"/>
    <w:rsid w:val="007C0E3F"/>
    <w:rsid w:val="007C206C"/>
    <w:rsid w:val="007C5729"/>
    <w:rsid w:val="007C6C87"/>
    <w:rsid w:val="007D27E8"/>
    <w:rsid w:val="007D34B9"/>
    <w:rsid w:val="008111E4"/>
    <w:rsid w:val="0081301C"/>
    <w:rsid w:val="00817DD6"/>
    <w:rsid w:val="00835AD6"/>
    <w:rsid w:val="00842EDC"/>
    <w:rsid w:val="0085280F"/>
    <w:rsid w:val="008550AA"/>
    <w:rsid w:val="008629A9"/>
    <w:rsid w:val="008657E3"/>
    <w:rsid w:val="0088513A"/>
    <w:rsid w:val="00893C19"/>
    <w:rsid w:val="008C7B26"/>
    <w:rsid w:val="008D6C8D"/>
    <w:rsid w:val="008E2B54"/>
    <w:rsid w:val="008E4404"/>
    <w:rsid w:val="008E58C7"/>
    <w:rsid w:val="008F5021"/>
    <w:rsid w:val="00927C38"/>
    <w:rsid w:val="00931D93"/>
    <w:rsid w:val="009322F6"/>
    <w:rsid w:val="00943573"/>
    <w:rsid w:val="0095177F"/>
    <w:rsid w:val="00956519"/>
    <w:rsid w:val="00965ECD"/>
    <w:rsid w:val="009665C0"/>
    <w:rsid w:val="00971B61"/>
    <w:rsid w:val="00980C31"/>
    <w:rsid w:val="00984338"/>
    <w:rsid w:val="009955FF"/>
    <w:rsid w:val="00997293"/>
    <w:rsid w:val="009A2B9A"/>
    <w:rsid w:val="009B2CC0"/>
    <w:rsid w:val="009D259D"/>
    <w:rsid w:val="009D2DCA"/>
    <w:rsid w:val="009E5640"/>
    <w:rsid w:val="009E6F4F"/>
    <w:rsid w:val="009E7B43"/>
    <w:rsid w:val="00A23DA4"/>
    <w:rsid w:val="00A50D9D"/>
    <w:rsid w:val="00A50FBD"/>
    <w:rsid w:val="00A53000"/>
    <w:rsid w:val="00A545C6"/>
    <w:rsid w:val="00A652D0"/>
    <w:rsid w:val="00A725BB"/>
    <w:rsid w:val="00A75F87"/>
    <w:rsid w:val="00A909F6"/>
    <w:rsid w:val="00A95D8B"/>
    <w:rsid w:val="00AC0270"/>
    <w:rsid w:val="00AC3EA3"/>
    <w:rsid w:val="00AC792D"/>
    <w:rsid w:val="00B0512E"/>
    <w:rsid w:val="00B15BA0"/>
    <w:rsid w:val="00B20C1F"/>
    <w:rsid w:val="00B50C3C"/>
    <w:rsid w:val="00B657B8"/>
    <w:rsid w:val="00B84920"/>
    <w:rsid w:val="00B8556A"/>
    <w:rsid w:val="00BA7D3E"/>
    <w:rsid w:val="00BF2527"/>
    <w:rsid w:val="00C012A3"/>
    <w:rsid w:val="00C16F19"/>
    <w:rsid w:val="00C17C14"/>
    <w:rsid w:val="00C17DB5"/>
    <w:rsid w:val="00C336D8"/>
    <w:rsid w:val="00C52A7B"/>
    <w:rsid w:val="00C6324C"/>
    <w:rsid w:val="00C679AA"/>
    <w:rsid w:val="00C724CF"/>
    <w:rsid w:val="00C75972"/>
    <w:rsid w:val="00C82792"/>
    <w:rsid w:val="00C948FD"/>
    <w:rsid w:val="00CB43D5"/>
    <w:rsid w:val="00CB57A5"/>
    <w:rsid w:val="00CC76F9"/>
    <w:rsid w:val="00CD066B"/>
    <w:rsid w:val="00CD46E2"/>
    <w:rsid w:val="00CF7F73"/>
    <w:rsid w:val="00D00D0B"/>
    <w:rsid w:val="00D04B69"/>
    <w:rsid w:val="00D266EE"/>
    <w:rsid w:val="00D31264"/>
    <w:rsid w:val="00D34700"/>
    <w:rsid w:val="00D42998"/>
    <w:rsid w:val="00D537FA"/>
    <w:rsid w:val="00D5547D"/>
    <w:rsid w:val="00D80D99"/>
    <w:rsid w:val="00D8550C"/>
    <w:rsid w:val="00D9503C"/>
    <w:rsid w:val="00DA52B1"/>
    <w:rsid w:val="00DB633C"/>
    <w:rsid w:val="00DD73EF"/>
    <w:rsid w:val="00DE23E8"/>
    <w:rsid w:val="00DF32C2"/>
    <w:rsid w:val="00E0128B"/>
    <w:rsid w:val="00E24010"/>
    <w:rsid w:val="00E579C8"/>
    <w:rsid w:val="00E60B63"/>
    <w:rsid w:val="00E64E17"/>
    <w:rsid w:val="00EA39E6"/>
    <w:rsid w:val="00EA3D3C"/>
    <w:rsid w:val="00EB3B47"/>
    <w:rsid w:val="00EC7CC3"/>
    <w:rsid w:val="00ED4517"/>
    <w:rsid w:val="00EE0126"/>
    <w:rsid w:val="00EF0787"/>
    <w:rsid w:val="00F40990"/>
    <w:rsid w:val="00F46494"/>
    <w:rsid w:val="00F51763"/>
    <w:rsid w:val="00F558AB"/>
    <w:rsid w:val="00F61D89"/>
    <w:rsid w:val="00F86ABB"/>
    <w:rsid w:val="00F93F48"/>
    <w:rsid w:val="00FB3A2A"/>
    <w:rsid w:val="00FB405F"/>
    <w:rsid w:val="00FB6A9E"/>
    <w:rsid w:val="00FD7648"/>
    <w:rsid w:val="00FF5F3D"/>
    <w:rsid w:val="040B0708"/>
    <w:rsid w:val="0F0942D3"/>
    <w:rsid w:val="13C0433F"/>
    <w:rsid w:val="144B6F9B"/>
    <w:rsid w:val="16983049"/>
    <w:rsid w:val="1A1640BE"/>
    <w:rsid w:val="1BFB63C4"/>
    <w:rsid w:val="21A8797C"/>
    <w:rsid w:val="21E23FE9"/>
    <w:rsid w:val="243400F3"/>
    <w:rsid w:val="257B332A"/>
    <w:rsid w:val="2648506E"/>
    <w:rsid w:val="33867E53"/>
    <w:rsid w:val="42AE1D40"/>
    <w:rsid w:val="46893028"/>
    <w:rsid w:val="4A703F3D"/>
    <w:rsid w:val="4B7E19E7"/>
    <w:rsid w:val="4B877734"/>
    <w:rsid w:val="53F341D7"/>
    <w:rsid w:val="576E6271"/>
    <w:rsid w:val="57DF481B"/>
    <w:rsid w:val="57E97DCB"/>
    <w:rsid w:val="64874296"/>
    <w:rsid w:val="65CA4DA3"/>
    <w:rsid w:val="6AEF704E"/>
    <w:rsid w:val="73984315"/>
    <w:rsid w:val="76B80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EastAsia" w:hAnsiTheme="maj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semiHidden="0" w:uiPriority="2" w:unhideWhenUsed="0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semiHidden="0" w:qFormat="1"/>
    <w:lsdException w:name="header" w:semiHidden="0" w:qFormat="1"/>
    <w:lsdException w:name="footer" w:semiHidden="0" w:qFormat="1"/>
    <w:lsdException w:name="caption" w:semiHidden="0" w:uiPriority="35" w:qFormat="1"/>
    <w:lsdException w:name="footnote reference" w:qFormat="1"/>
    <w:lsdException w:name="annotation reference" w:qFormat="1"/>
    <w:lsdException w:name="line number" w:qFormat="1"/>
    <w:lsdException w:name="endnote reference" w:qFormat="1"/>
    <w:lsdException w:name="endnote text" w:qFormat="1"/>
    <w:lsdException w:name="Title" w:semiHidden="0" w:uiPriority="0" w:unhideWhenUsed="0" w:qFormat="1"/>
    <w:lsdException w:name="Default Paragraph Font" w:uiPriority="1" w:qFormat="1"/>
    <w:lsdException w:name="Subtitle" w:semiHidden="0" w:qFormat="1"/>
    <w:lsdException w:name="Hyperlink" w:semiHidden="0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Table Web 3" w:semiHidden="0" w:unhideWhenUsed="0"/>
    <w:lsdException w:name="Table Grid" w:semiHidden="0" w:unhideWhenUsed="0" w:qFormat="1"/>
    <w:lsdException w:name="Table Theme" w:semiHidden="0" w:unhideWhenUsed="0"/>
    <w:lsdException w:name="No Spacing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" w:unhideWhenUsed="0" w:qFormat="1"/>
    <w:lsdException w:name="Quote" w:semiHidden="0" w:uiPriority="2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3788"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Char"/>
    <w:uiPriority w:val="2"/>
    <w:qFormat/>
    <w:rsid w:val="001A3788"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1A3788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1A3788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1A3788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1A3788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rsid w:val="001A3788"/>
    <w:pPr>
      <w:numPr>
        <w:numId w:val="2"/>
      </w:numPr>
      <w:ind w:left="1434" w:hanging="357"/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rsid w:val="001A3788"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sid w:val="001A3788"/>
    <w:rPr>
      <w:rFonts w:ascii="Times New Roman" w:hAnsi="Times New Roman"/>
      <w:sz w:val="24"/>
      <w:szCs w:val="22"/>
      <w:lang w:eastAsia="en-US"/>
    </w:rPr>
  </w:style>
  <w:style w:type="paragraph" w:styleId="a6">
    <w:name w:val="annotation text"/>
    <w:basedOn w:val="a0"/>
    <w:link w:val="Char"/>
    <w:uiPriority w:val="99"/>
    <w:unhideWhenUsed/>
    <w:qFormat/>
    <w:rsid w:val="001A3788"/>
    <w:rPr>
      <w:sz w:val="20"/>
      <w:szCs w:val="20"/>
    </w:rPr>
  </w:style>
  <w:style w:type="paragraph" w:styleId="a7">
    <w:name w:val="endnote text"/>
    <w:basedOn w:val="a0"/>
    <w:link w:val="Char0"/>
    <w:uiPriority w:val="99"/>
    <w:semiHidden/>
    <w:unhideWhenUsed/>
    <w:qFormat/>
    <w:rsid w:val="001A3788"/>
    <w:pPr>
      <w:spacing w:after="0"/>
    </w:pPr>
    <w:rPr>
      <w:sz w:val="20"/>
      <w:szCs w:val="20"/>
    </w:rPr>
  </w:style>
  <w:style w:type="paragraph" w:styleId="a8">
    <w:name w:val="Balloon Text"/>
    <w:basedOn w:val="a0"/>
    <w:link w:val="Char1"/>
    <w:uiPriority w:val="99"/>
    <w:semiHidden/>
    <w:unhideWhenUsed/>
    <w:rsid w:val="001A3788"/>
    <w:pPr>
      <w:spacing w:after="0"/>
    </w:pPr>
    <w:rPr>
      <w:rFonts w:ascii="Tahoma" w:hAnsi="Tahoma" w:cs="Tahoma"/>
      <w:sz w:val="16"/>
      <w:szCs w:val="16"/>
    </w:rPr>
  </w:style>
  <w:style w:type="paragraph" w:styleId="a9">
    <w:name w:val="footer"/>
    <w:basedOn w:val="a0"/>
    <w:link w:val="Char2"/>
    <w:uiPriority w:val="99"/>
    <w:unhideWhenUsed/>
    <w:qFormat/>
    <w:rsid w:val="001A3788"/>
    <w:pPr>
      <w:tabs>
        <w:tab w:val="center" w:pos="4844"/>
        <w:tab w:val="right" w:pos="9689"/>
      </w:tabs>
      <w:spacing w:after="0"/>
    </w:pPr>
  </w:style>
  <w:style w:type="paragraph" w:styleId="aa">
    <w:name w:val="header"/>
    <w:basedOn w:val="a0"/>
    <w:link w:val="Char3"/>
    <w:uiPriority w:val="99"/>
    <w:unhideWhenUsed/>
    <w:qFormat/>
    <w:rsid w:val="001A3788"/>
    <w:pPr>
      <w:tabs>
        <w:tab w:val="center" w:pos="4844"/>
        <w:tab w:val="right" w:pos="9689"/>
      </w:tabs>
    </w:pPr>
    <w:rPr>
      <w:b/>
    </w:rPr>
  </w:style>
  <w:style w:type="paragraph" w:styleId="ab">
    <w:name w:val="Subtitle"/>
    <w:basedOn w:val="a0"/>
    <w:next w:val="a0"/>
    <w:link w:val="Char4"/>
    <w:uiPriority w:val="99"/>
    <w:unhideWhenUsed/>
    <w:qFormat/>
    <w:rsid w:val="001A3788"/>
    <w:pPr>
      <w:spacing w:before="240"/>
    </w:pPr>
    <w:rPr>
      <w:rFonts w:cs="Times New Roman"/>
      <w:b/>
      <w:szCs w:val="24"/>
    </w:rPr>
  </w:style>
  <w:style w:type="paragraph" w:styleId="ac">
    <w:name w:val="footnote text"/>
    <w:basedOn w:val="a0"/>
    <w:link w:val="Char5"/>
    <w:uiPriority w:val="99"/>
    <w:semiHidden/>
    <w:unhideWhenUsed/>
    <w:qFormat/>
    <w:rsid w:val="001A3788"/>
    <w:pPr>
      <w:spacing w:after="0"/>
    </w:pPr>
    <w:rPr>
      <w:sz w:val="20"/>
      <w:szCs w:val="20"/>
    </w:rPr>
  </w:style>
  <w:style w:type="paragraph" w:styleId="ad">
    <w:name w:val="Normal (Web)"/>
    <w:basedOn w:val="a0"/>
    <w:uiPriority w:val="99"/>
    <w:unhideWhenUsed/>
    <w:qFormat/>
    <w:rsid w:val="001A3788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e">
    <w:name w:val="Title"/>
    <w:basedOn w:val="a0"/>
    <w:next w:val="a0"/>
    <w:link w:val="Char6"/>
    <w:qFormat/>
    <w:rsid w:val="001A3788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">
    <w:name w:val="annotation subject"/>
    <w:basedOn w:val="a6"/>
    <w:next w:val="a6"/>
    <w:link w:val="Char7"/>
    <w:uiPriority w:val="99"/>
    <w:semiHidden/>
    <w:unhideWhenUsed/>
    <w:qFormat/>
    <w:rsid w:val="001A3788"/>
    <w:rPr>
      <w:b/>
      <w:bCs/>
    </w:rPr>
  </w:style>
  <w:style w:type="table" w:styleId="af0">
    <w:name w:val="Table Grid"/>
    <w:basedOn w:val="a2"/>
    <w:uiPriority w:val="99"/>
    <w:qFormat/>
    <w:rsid w:val="001A3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2"/>
    <w:uiPriority w:val="60"/>
    <w:qFormat/>
    <w:rsid w:val="001A3788"/>
    <w:rPr>
      <w:rFonts w:asciiTheme="minorHAnsi" w:hAnsiTheme="minorHAnsi"/>
      <w:color w:val="365F91" w:themeColor="accent1" w:themeShade="BF"/>
      <w:kern w:val="2"/>
      <w:sz w:val="21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f1">
    <w:name w:val="Strong"/>
    <w:basedOn w:val="a1"/>
    <w:uiPriority w:val="22"/>
    <w:qFormat/>
    <w:rsid w:val="001A3788"/>
    <w:rPr>
      <w:rFonts w:ascii="Times New Roman" w:hAnsi="Times New Roman"/>
      <w:b/>
      <w:bCs/>
    </w:rPr>
  </w:style>
  <w:style w:type="character" w:styleId="af2">
    <w:name w:val="endnote reference"/>
    <w:basedOn w:val="a1"/>
    <w:uiPriority w:val="99"/>
    <w:semiHidden/>
    <w:unhideWhenUsed/>
    <w:qFormat/>
    <w:rsid w:val="001A3788"/>
    <w:rPr>
      <w:vertAlign w:val="superscript"/>
    </w:rPr>
  </w:style>
  <w:style w:type="character" w:styleId="af3">
    <w:name w:val="FollowedHyperlink"/>
    <w:basedOn w:val="a1"/>
    <w:uiPriority w:val="99"/>
    <w:semiHidden/>
    <w:unhideWhenUsed/>
    <w:qFormat/>
    <w:rsid w:val="001A3788"/>
    <w:rPr>
      <w:color w:val="800080" w:themeColor="followedHyperlink"/>
      <w:u w:val="single"/>
    </w:rPr>
  </w:style>
  <w:style w:type="character" w:styleId="af4">
    <w:name w:val="Emphasis"/>
    <w:basedOn w:val="a1"/>
    <w:uiPriority w:val="20"/>
    <w:qFormat/>
    <w:rsid w:val="001A3788"/>
    <w:rPr>
      <w:rFonts w:ascii="Times New Roman" w:hAnsi="Times New Roman"/>
      <w:i/>
      <w:iCs/>
    </w:rPr>
  </w:style>
  <w:style w:type="character" w:styleId="af5">
    <w:name w:val="line number"/>
    <w:basedOn w:val="a1"/>
    <w:uiPriority w:val="99"/>
    <w:semiHidden/>
    <w:unhideWhenUsed/>
    <w:qFormat/>
    <w:rsid w:val="001A3788"/>
  </w:style>
  <w:style w:type="character" w:styleId="af6">
    <w:name w:val="Hyperlink"/>
    <w:basedOn w:val="a1"/>
    <w:unhideWhenUsed/>
    <w:qFormat/>
    <w:rsid w:val="001A3788"/>
    <w:rPr>
      <w:color w:val="0000FF"/>
      <w:u w:val="single"/>
    </w:rPr>
  </w:style>
  <w:style w:type="character" w:styleId="af7">
    <w:name w:val="annotation reference"/>
    <w:basedOn w:val="a1"/>
    <w:uiPriority w:val="99"/>
    <w:semiHidden/>
    <w:unhideWhenUsed/>
    <w:qFormat/>
    <w:rsid w:val="001A3788"/>
    <w:rPr>
      <w:sz w:val="16"/>
      <w:szCs w:val="16"/>
    </w:rPr>
  </w:style>
  <w:style w:type="character" w:styleId="af8">
    <w:name w:val="footnote reference"/>
    <w:basedOn w:val="a1"/>
    <w:uiPriority w:val="99"/>
    <w:semiHidden/>
    <w:unhideWhenUsed/>
    <w:qFormat/>
    <w:rsid w:val="001A3788"/>
    <w:rPr>
      <w:vertAlign w:val="superscript"/>
    </w:rPr>
  </w:style>
  <w:style w:type="character" w:customStyle="1" w:styleId="1Char">
    <w:name w:val="标题 1 Char"/>
    <w:basedOn w:val="a1"/>
    <w:link w:val="1"/>
    <w:uiPriority w:val="2"/>
    <w:qFormat/>
    <w:rsid w:val="001A3788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标题 2 Char"/>
    <w:basedOn w:val="a1"/>
    <w:link w:val="2"/>
    <w:uiPriority w:val="2"/>
    <w:qFormat/>
    <w:rsid w:val="001A3788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Char3">
    <w:name w:val="页眉 Char"/>
    <w:basedOn w:val="a1"/>
    <w:link w:val="aa"/>
    <w:uiPriority w:val="99"/>
    <w:qFormat/>
    <w:rsid w:val="001A3788"/>
    <w:rPr>
      <w:rFonts w:ascii="Times New Roman" w:hAnsi="Times New Roman"/>
      <w:b/>
      <w:sz w:val="24"/>
    </w:rPr>
  </w:style>
  <w:style w:type="character" w:customStyle="1" w:styleId="Char2">
    <w:name w:val="页脚 Char"/>
    <w:basedOn w:val="a1"/>
    <w:link w:val="a9"/>
    <w:uiPriority w:val="99"/>
    <w:qFormat/>
    <w:rsid w:val="001A3788"/>
  </w:style>
  <w:style w:type="character" w:customStyle="1" w:styleId="Char5">
    <w:name w:val="脚注文本 Char"/>
    <w:basedOn w:val="a1"/>
    <w:link w:val="ac"/>
    <w:uiPriority w:val="99"/>
    <w:semiHidden/>
    <w:qFormat/>
    <w:rsid w:val="001A3788"/>
    <w:rPr>
      <w:sz w:val="20"/>
      <w:szCs w:val="20"/>
    </w:rPr>
  </w:style>
  <w:style w:type="character" w:customStyle="1" w:styleId="Char1">
    <w:name w:val="批注框文本 Char"/>
    <w:basedOn w:val="a1"/>
    <w:link w:val="a8"/>
    <w:uiPriority w:val="99"/>
    <w:semiHidden/>
    <w:qFormat/>
    <w:rsid w:val="001A3788"/>
    <w:rPr>
      <w:rFonts w:ascii="Tahoma" w:hAnsi="Tahoma" w:cs="Tahoma"/>
      <w:sz w:val="16"/>
      <w:szCs w:val="16"/>
    </w:rPr>
  </w:style>
  <w:style w:type="character" w:customStyle="1" w:styleId="Char0">
    <w:name w:val="尾注文本 Char"/>
    <w:basedOn w:val="a1"/>
    <w:link w:val="a7"/>
    <w:uiPriority w:val="99"/>
    <w:semiHidden/>
    <w:qFormat/>
    <w:rsid w:val="001A3788"/>
    <w:rPr>
      <w:sz w:val="20"/>
      <w:szCs w:val="20"/>
    </w:rPr>
  </w:style>
  <w:style w:type="character" w:customStyle="1" w:styleId="Char">
    <w:name w:val="批注文字 Char"/>
    <w:basedOn w:val="a1"/>
    <w:link w:val="a6"/>
    <w:uiPriority w:val="99"/>
    <w:qFormat/>
    <w:rsid w:val="001A3788"/>
    <w:rPr>
      <w:sz w:val="20"/>
      <w:szCs w:val="20"/>
    </w:rPr>
  </w:style>
  <w:style w:type="character" w:customStyle="1" w:styleId="Char7">
    <w:name w:val="批注主题 Char"/>
    <w:basedOn w:val="Char"/>
    <w:link w:val="af"/>
    <w:uiPriority w:val="99"/>
    <w:semiHidden/>
    <w:qFormat/>
    <w:rsid w:val="001A3788"/>
    <w:rPr>
      <w:b/>
      <w:bCs/>
      <w:sz w:val="20"/>
      <w:szCs w:val="20"/>
    </w:rPr>
  </w:style>
  <w:style w:type="character" w:customStyle="1" w:styleId="Char6">
    <w:name w:val="标题 Char"/>
    <w:basedOn w:val="a1"/>
    <w:link w:val="ae"/>
    <w:qFormat/>
    <w:rsid w:val="001A3788"/>
    <w:rPr>
      <w:rFonts w:ascii="Times New Roman" w:hAnsi="Times New Roman" w:cs="Times New Roman"/>
      <w:b/>
      <w:sz w:val="32"/>
      <w:szCs w:val="32"/>
    </w:rPr>
  </w:style>
  <w:style w:type="character" w:customStyle="1" w:styleId="Char4">
    <w:name w:val="副标题 Char"/>
    <w:basedOn w:val="a1"/>
    <w:link w:val="ab"/>
    <w:uiPriority w:val="99"/>
    <w:qFormat/>
    <w:rsid w:val="001A3788"/>
    <w:rPr>
      <w:rFonts w:ascii="Times New Roman" w:hAnsi="Times New Roman" w:cs="Times New Roman"/>
      <w:b/>
      <w:sz w:val="24"/>
      <w:szCs w:val="24"/>
    </w:rPr>
  </w:style>
  <w:style w:type="character" w:customStyle="1" w:styleId="3Char">
    <w:name w:val="标题 3 Char"/>
    <w:basedOn w:val="a1"/>
    <w:link w:val="3"/>
    <w:uiPriority w:val="2"/>
    <w:qFormat/>
    <w:rsid w:val="001A3788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标题 4 Char"/>
    <w:basedOn w:val="a1"/>
    <w:link w:val="4"/>
    <w:uiPriority w:val="2"/>
    <w:qFormat/>
    <w:rsid w:val="001A3788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标题 5 Char"/>
    <w:basedOn w:val="a1"/>
    <w:link w:val="5"/>
    <w:uiPriority w:val="2"/>
    <w:rsid w:val="001A3788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ab"/>
    <w:next w:val="a0"/>
    <w:uiPriority w:val="1"/>
    <w:qFormat/>
    <w:rsid w:val="001A3788"/>
  </w:style>
  <w:style w:type="character" w:customStyle="1" w:styleId="10">
    <w:name w:val="不明显强调1"/>
    <w:basedOn w:val="a1"/>
    <w:uiPriority w:val="19"/>
    <w:qFormat/>
    <w:rsid w:val="001A3788"/>
    <w:rPr>
      <w:rFonts w:ascii="Times New Roman" w:hAnsi="Times New Roman"/>
      <w:i/>
      <w:iCs/>
      <w:color w:val="404040" w:themeColor="text1" w:themeTint="BF"/>
    </w:rPr>
  </w:style>
  <w:style w:type="character" w:customStyle="1" w:styleId="11">
    <w:name w:val="明显强调1"/>
    <w:basedOn w:val="a1"/>
    <w:uiPriority w:val="21"/>
    <w:unhideWhenUsed/>
    <w:qFormat/>
    <w:rsid w:val="001A3788"/>
    <w:rPr>
      <w:rFonts w:ascii="Times New Roman" w:hAnsi="Times New Roman"/>
      <w:i/>
      <w:iCs/>
      <w:color w:val="auto"/>
    </w:rPr>
  </w:style>
  <w:style w:type="paragraph" w:styleId="af9">
    <w:name w:val="Quote"/>
    <w:basedOn w:val="a0"/>
    <w:next w:val="a0"/>
    <w:link w:val="Char8"/>
    <w:uiPriority w:val="29"/>
    <w:qFormat/>
    <w:rsid w:val="001A37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引用 Char"/>
    <w:basedOn w:val="a1"/>
    <w:link w:val="af9"/>
    <w:uiPriority w:val="29"/>
    <w:qFormat/>
    <w:rsid w:val="001A3788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2">
    <w:name w:val="明显参考1"/>
    <w:basedOn w:val="a1"/>
    <w:uiPriority w:val="32"/>
    <w:qFormat/>
    <w:rsid w:val="001A3788"/>
    <w:rPr>
      <w:b/>
      <w:bCs/>
      <w:smallCaps/>
      <w:color w:val="auto"/>
      <w:spacing w:val="5"/>
    </w:rPr>
  </w:style>
  <w:style w:type="character" w:customStyle="1" w:styleId="13">
    <w:name w:val="书籍标题1"/>
    <w:basedOn w:val="a1"/>
    <w:uiPriority w:val="33"/>
    <w:qFormat/>
    <w:rsid w:val="001A3788"/>
    <w:rPr>
      <w:rFonts w:ascii="Times New Roman" w:hAnsi="Times New Roman"/>
      <w:b/>
      <w:bCs/>
      <w:i/>
      <w:iCs/>
      <w:spacing w:val="5"/>
    </w:rPr>
  </w:style>
  <w:style w:type="paragraph" w:customStyle="1" w:styleId="14">
    <w:name w:val="修订1"/>
    <w:hidden/>
    <w:uiPriority w:val="99"/>
    <w:semiHidden/>
    <w:qFormat/>
    <w:rsid w:val="001A3788"/>
    <w:rPr>
      <w:rFonts w:ascii="Times New Roman" w:hAnsi="Times New Roman"/>
      <w:sz w:val="24"/>
      <w:szCs w:val="22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qFormat/>
    <w:rsid w:val="001A3788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a0"/>
    <w:link w:val="EndNoteBibliographyTitleChar"/>
    <w:qFormat/>
    <w:rsid w:val="001A3788"/>
    <w:pPr>
      <w:spacing w:after="0"/>
      <w:jc w:val="center"/>
    </w:pPr>
    <w:rPr>
      <w:rFonts w:cs="Times New Roman"/>
    </w:rPr>
  </w:style>
  <w:style w:type="character" w:customStyle="1" w:styleId="EndNoteBibliographyTitleChar">
    <w:name w:val="EndNote Bibliography Title Char"/>
    <w:basedOn w:val="a1"/>
    <w:link w:val="EndNoteBibliographyTitle"/>
    <w:qFormat/>
    <w:rsid w:val="001A3788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EndNoteBibliography">
    <w:name w:val="EndNote Bibliography"/>
    <w:basedOn w:val="a0"/>
    <w:link w:val="EndNoteBibliographyChar"/>
    <w:qFormat/>
    <w:rsid w:val="001A3788"/>
    <w:rPr>
      <w:rFonts w:cs="Times New Roman"/>
    </w:rPr>
  </w:style>
  <w:style w:type="character" w:customStyle="1" w:styleId="EndNoteBibliographyChar">
    <w:name w:val="EndNote Bibliography Char"/>
    <w:basedOn w:val="a1"/>
    <w:link w:val="EndNoteBibliography"/>
    <w:qFormat/>
    <w:rsid w:val="001A3788"/>
    <w:rPr>
      <w:rFonts w:ascii="Times New Roman" w:hAnsi="Times New Roman" w:cs="Times New Roman"/>
      <w:sz w:val="24"/>
      <w:szCs w:val="22"/>
      <w:lang w:eastAsia="en-US"/>
    </w:rPr>
  </w:style>
  <w:style w:type="table" w:styleId="afa">
    <w:name w:val="Light Shading"/>
    <w:basedOn w:val="a2"/>
    <w:uiPriority w:val="60"/>
    <w:rsid w:val="00002D8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1">
    <w:name w:val="Medium List 1 Accent 1"/>
    <w:basedOn w:val="a2"/>
    <w:uiPriority w:val="65"/>
    <w:rsid w:val="00002D8C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-10">
    <w:name w:val="Colorful List Accent 1"/>
    <w:basedOn w:val="a2"/>
    <w:uiPriority w:val="72"/>
    <w:rsid w:val="00614E5F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SupplementaryMaterial">
    <w:name w:val="Supplementary Material"/>
    <w:basedOn w:val="ae"/>
    <w:next w:val="ae"/>
    <w:qFormat/>
    <w:rsid w:val="00FB405F"/>
    <w:pPr>
      <w:spacing w:after="120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7AF1A4-D14D-4103-BF6B-3364D29E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462</TotalTime>
  <Pages>6</Pages>
  <Words>1091</Words>
  <Characters>6224</Characters>
  <Application>Microsoft Office Word</Application>
  <DocSecurity>0</DocSecurity>
  <Lines>51</Lines>
  <Paragraphs>14</Paragraphs>
  <ScaleCrop>false</ScaleCrop>
  <Company/>
  <LinksUpToDate>false</LinksUpToDate>
  <CharactersWithSpaces>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Senn</dc:creator>
  <cp:lastModifiedBy>XZZX</cp:lastModifiedBy>
  <cp:revision>17</cp:revision>
  <cp:lastPrinted>2013-10-03T12:51:00Z</cp:lastPrinted>
  <dcterms:created xsi:type="dcterms:W3CDTF">2023-04-25T00:17:00Z</dcterms:created>
  <dcterms:modified xsi:type="dcterms:W3CDTF">2023-04-26T02:27:00Z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5B95E3DF26D64BF3B08391E57B727F16_13</vt:lpwstr>
  </property>
</Properties>
</file>