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49" w:rsidRPr="00077F49" w:rsidRDefault="00077F49" w:rsidP="00077F49">
      <w:pPr>
        <w:suppressLineNumbers/>
        <w:spacing w:before="240" w:after="36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077F49">
        <w:rPr>
          <w:rFonts w:asciiTheme="majorBidi" w:hAnsiTheme="majorBidi" w:cstheme="majorBidi"/>
          <w:b/>
          <w:sz w:val="32"/>
          <w:szCs w:val="32"/>
        </w:rPr>
        <w:t xml:space="preserve">Integration of </w:t>
      </w:r>
      <w:proofErr w:type="spellStart"/>
      <w:r w:rsidRPr="00077F49">
        <w:rPr>
          <w:rFonts w:asciiTheme="majorBidi" w:hAnsiTheme="majorBidi" w:cstheme="majorBidi"/>
          <w:b/>
          <w:sz w:val="32"/>
          <w:szCs w:val="32"/>
        </w:rPr>
        <w:t>Immunoinformatics</w:t>
      </w:r>
      <w:proofErr w:type="spellEnd"/>
      <w:r w:rsidRPr="00077F49">
        <w:rPr>
          <w:rFonts w:asciiTheme="majorBidi" w:hAnsiTheme="majorBidi" w:cstheme="majorBidi"/>
          <w:b/>
          <w:sz w:val="32"/>
          <w:szCs w:val="32"/>
        </w:rPr>
        <w:t xml:space="preserve"> and </w:t>
      </w:r>
      <w:proofErr w:type="spellStart"/>
      <w:r w:rsidRPr="00077F49">
        <w:rPr>
          <w:rFonts w:asciiTheme="majorBidi" w:hAnsiTheme="majorBidi" w:cstheme="majorBidi"/>
          <w:b/>
          <w:sz w:val="32"/>
          <w:szCs w:val="32"/>
        </w:rPr>
        <w:t>Cheminformatics</w:t>
      </w:r>
      <w:proofErr w:type="spellEnd"/>
      <w:r w:rsidRPr="00077F49">
        <w:rPr>
          <w:rFonts w:asciiTheme="majorBidi" w:hAnsiTheme="majorBidi" w:cstheme="majorBidi"/>
          <w:b/>
          <w:sz w:val="32"/>
          <w:szCs w:val="32"/>
        </w:rPr>
        <w:t xml:space="preserve"> to Design and Evaluate a </w:t>
      </w:r>
      <w:proofErr w:type="spellStart"/>
      <w:r w:rsidRPr="00077F49">
        <w:rPr>
          <w:rFonts w:asciiTheme="majorBidi" w:hAnsiTheme="majorBidi" w:cstheme="majorBidi"/>
          <w:b/>
          <w:sz w:val="32"/>
          <w:szCs w:val="32"/>
        </w:rPr>
        <w:t>Multitope</w:t>
      </w:r>
      <w:proofErr w:type="spellEnd"/>
      <w:r w:rsidRPr="00077F49">
        <w:rPr>
          <w:rFonts w:asciiTheme="majorBidi" w:hAnsiTheme="majorBidi" w:cstheme="majorBidi"/>
          <w:b/>
          <w:sz w:val="32"/>
          <w:szCs w:val="32"/>
        </w:rPr>
        <w:t xml:space="preserve"> Vaccine against </w:t>
      </w:r>
      <w:proofErr w:type="spellStart"/>
      <w:r w:rsidRPr="00077F49">
        <w:rPr>
          <w:rFonts w:asciiTheme="majorBidi" w:hAnsiTheme="majorBidi" w:cstheme="majorBidi"/>
          <w:b/>
          <w:i/>
          <w:iCs/>
          <w:sz w:val="32"/>
          <w:szCs w:val="32"/>
        </w:rPr>
        <w:t>Klebsiella</w:t>
      </w:r>
      <w:proofErr w:type="spellEnd"/>
      <w:r w:rsidRPr="00077F49">
        <w:rPr>
          <w:rFonts w:asciiTheme="majorBidi" w:hAnsiTheme="majorBidi" w:cstheme="majorBidi"/>
          <w:b/>
          <w:i/>
          <w:iCs/>
          <w:sz w:val="32"/>
          <w:szCs w:val="32"/>
        </w:rPr>
        <w:t xml:space="preserve"> </w:t>
      </w:r>
      <w:proofErr w:type="spellStart"/>
      <w:r w:rsidRPr="00077F49">
        <w:rPr>
          <w:rFonts w:asciiTheme="majorBidi" w:hAnsiTheme="majorBidi" w:cstheme="majorBidi"/>
          <w:b/>
          <w:i/>
          <w:iCs/>
          <w:sz w:val="32"/>
          <w:szCs w:val="32"/>
        </w:rPr>
        <w:t>pneumoniae</w:t>
      </w:r>
      <w:proofErr w:type="spellEnd"/>
      <w:r w:rsidRPr="00077F49">
        <w:rPr>
          <w:rFonts w:asciiTheme="majorBidi" w:hAnsiTheme="majorBidi" w:cstheme="majorBidi"/>
          <w:b/>
          <w:sz w:val="32"/>
          <w:szCs w:val="32"/>
        </w:rPr>
        <w:t xml:space="preserve"> and </w:t>
      </w:r>
      <w:r w:rsidRPr="00077F49">
        <w:rPr>
          <w:rFonts w:asciiTheme="majorBidi" w:hAnsiTheme="majorBidi" w:cstheme="majorBidi"/>
          <w:b/>
          <w:i/>
          <w:iCs/>
          <w:sz w:val="32"/>
          <w:szCs w:val="32"/>
        </w:rPr>
        <w:t xml:space="preserve">Pseudomonas </w:t>
      </w:r>
      <w:proofErr w:type="spellStart"/>
      <w:r w:rsidRPr="00077F49">
        <w:rPr>
          <w:rFonts w:asciiTheme="majorBidi" w:hAnsiTheme="majorBidi" w:cstheme="majorBidi"/>
          <w:b/>
          <w:i/>
          <w:iCs/>
          <w:sz w:val="32"/>
          <w:szCs w:val="32"/>
        </w:rPr>
        <w:t>aeruginosa</w:t>
      </w:r>
      <w:proofErr w:type="spellEnd"/>
      <w:r w:rsidRPr="00077F49">
        <w:rPr>
          <w:rFonts w:asciiTheme="majorBidi" w:hAnsiTheme="majorBidi" w:cstheme="majorBidi"/>
          <w:b/>
          <w:sz w:val="32"/>
          <w:szCs w:val="32"/>
        </w:rPr>
        <w:t xml:space="preserve"> </w:t>
      </w:r>
      <w:proofErr w:type="spellStart"/>
      <w:r w:rsidRPr="00077F49">
        <w:rPr>
          <w:rFonts w:asciiTheme="majorBidi" w:hAnsiTheme="majorBidi" w:cstheme="majorBidi"/>
          <w:b/>
          <w:sz w:val="32"/>
          <w:szCs w:val="32"/>
        </w:rPr>
        <w:t>Coinfection</w:t>
      </w:r>
      <w:proofErr w:type="spellEnd"/>
    </w:p>
    <w:p w:rsidR="00077F49" w:rsidRDefault="00077F49">
      <w:pPr>
        <w:rPr>
          <w:rFonts w:ascii="Times New Roman" w:hAnsi="Times New Roman" w:cs="Times New Roman"/>
          <w:b/>
          <w:sz w:val="32"/>
          <w:szCs w:val="32"/>
        </w:rPr>
      </w:pPr>
    </w:p>
    <w:p w:rsidR="00045E39" w:rsidRDefault="00A42719">
      <w:pPr>
        <w:rPr>
          <w:b/>
          <w:bCs/>
        </w:rPr>
      </w:pPr>
      <w:r w:rsidRPr="00A42719">
        <w:rPr>
          <w:b/>
          <w:bCs/>
        </w:rPr>
        <w:t>Supplementary figures</w:t>
      </w:r>
    </w:p>
    <w:p w:rsidR="00715E35" w:rsidRPr="00A42719" w:rsidRDefault="00715E35" w:rsidP="00715E3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273242" cy="4064356"/>
            <wp:effectExtent l="0" t="317" r="0" b="0"/>
            <wp:docPr id="4" name="Picture 4" descr="C:\Users\AL-Arabia\Desktop\coinfection\last submission\New folder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-Arabia\Desktop\coinfection\last submission\New folder\Pictur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73603" cy="406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E35" w:rsidRDefault="00715E35"/>
    <w:p w:rsidR="00715E35" w:rsidRPr="00715E35" w:rsidRDefault="00715E35" w:rsidP="00715E35">
      <w:pPr>
        <w:jc w:val="center"/>
        <w:rPr>
          <w:sz w:val="20"/>
          <w:szCs w:val="20"/>
        </w:rPr>
      </w:pPr>
      <w:r w:rsidRPr="00715E35">
        <w:rPr>
          <w:sz w:val="20"/>
          <w:szCs w:val="20"/>
        </w:rPr>
        <w:t>Supplementary figure 1: Population coverage with MHCI, MHCII, and combined MHC epitopes based on their respective HLA binding alleles</w:t>
      </w:r>
    </w:p>
    <w:p w:rsidR="00715E35" w:rsidRDefault="00715E35"/>
    <w:p w:rsidR="00715E35" w:rsidRDefault="00715E35"/>
    <w:p w:rsidR="00715E35" w:rsidRDefault="00715E35"/>
    <w:p w:rsidR="00715E35" w:rsidRDefault="00715E35"/>
    <w:p w:rsidR="00A42719" w:rsidRDefault="00A42719">
      <w:r>
        <w:rPr>
          <w:noProof/>
        </w:rPr>
        <w:lastRenderedPageBreak/>
        <w:drawing>
          <wp:inline distT="0" distB="0" distL="0" distR="0">
            <wp:extent cx="5943600" cy="2299108"/>
            <wp:effectExtent l="0" t="0" r="0" b="6350"/>
            <wp:docPr id="1" name="Picture 1" descr="C:\Users\AL-Arabia\Desktop\coinfection\Secondary structure prediction\annotationG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-Arabia\Desktop\coinfection\Secondary structure prediction\annotationGri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719" w:rsidRDefault="00A42719" w:rsidP="00715E35">
      <w:pPr>
        <w:jc w:val="center"/>
        <w:rPr>
          <w:sz w:val="20"/>
          <w:szCs w:val="20"/>
        </w:rPr>
      </w:pPr>
      <w:proofErr w:type="gramStart"/>
      <w:r w:rsidRPr="00077F49">
        <w:rPr>
          <w:sz w:val="20"/>
          <w:szCs w:val="20"/>
        </w:rPr>
        <w:t xml:space="preserve">Supplementary figure </w:t>
      </w:r>
      <w:r w:rsidR="00715E35">
        <w:rPr>
          <w:sz w:val="20"/>
          <w:szCs w:val="20"/>
        </w:rPr>
        <w:t>2</w:t>
      </w:r>
      <w:r w:rsidRPr="00077F49">
        <w:rPr>
          <w:sz w:val="20"/>
          <w:szCs w:val="20"/>
        </w:rPr>
        <w:t>.</w:t>
      </w:r>
      <w:proofErr w:type="gramEnd"/>
      <w:r w:rsidRPr="00077F49">
        <w:rPr>
          <w:sz w:val="20"/>
          <w:szCs w:val="20"/>
        </w:rPr>
        <w:t xml:space="preserve"> </w:t>
      </w:r>
      <w:proofErr w:type="gramStart"/>
      <w:r w:rsidRPr="00077F49">
        <w:rPr>
          <w:sz w:val="20"/>
          <w:szCs w:val="20"/>
        </w:rPr>
        <w:t>Secondary structure</w:t>
      </w:r>
      <w:bookmarkStart w:id="0" w:name="_GoBack"/>
      <w:bookmarkEnd w:id="0"/>
      <w:r w:rsidRPr="00077F49">
        <w:rPr>
          <w:sz w:val="20"/>
          <w:szCs w:val="20"/>
        </w:rPr>
        <w:t xml:space="preserve"> prediction of designed </w:t>
      </w:r>
      <w:proofErr w:type="spellStart"/>
      <w:r w:rsidRPr="00077F49">
        <w:rPr>
          <w:sz w:val="20"/>
          <w:szCs w:val="20"/>
        </w:rPr>
        <w:t>multitope</w:t>
      </w:r>
      <w:proofErr w:type="spellEnd"/>
      <w:r w:rsidRPr="00077F49">
        <w:rPr>
          <w:sz w:val="20"/>
          <w:szCs w:val="20"/>
        </w:rPr>
        <w:t xml:space="preserve"> vaccine using PESIPRED server.</w:t>
      </w:r>
      <w:proofErr w:type="gramEnd"/>
    </w:p>
    <w:p w:rsidR="00715E35" w:rsidRPr="00077F49" w:rsidRDefault="00715E35" w:rsidP="00077F49">
      <w:pPr>
        <w:jc w:val="center"/>
        <w:rPr>
          <w:sz w:val="20"/>
          <w:szCs w:val="20"/>
        </w:rPr>
      </w:pPr>
    </w:p>
    <w:p w:rsidR="00077F49" w:rsidRDefault="00077F49">
      <w:r>
        <w:rPr>
          <w:noProof/>
        </w:rPr>
        <w:drawing>
          <wp:inline distT="0" distB="0" distL="0" distR="0">
            <wp:extent cx="5943600" cy="2295786"/>
            <wp:effectExtent l="0" t="0" r="0" b="0"/>
            <wp:docPr id="2" name="Picture 2" descr="C:\Users\AL-Arabia\Desktop\coinfection\Manuscript\Figures\Figure NEW After Review\Figure S1 New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-Arabia\Desktop\coinfection\Manuscript\Figures\Figure NEW After Review\Figure S1 New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F49" w:rsidRDefault="00077F49" w:rsidP="00715E35">
      <w:pPr>
        <w:jc w:val="center"/>
        <w:rPr>
          <w:sz w:val="20"/>
          <w:szCs w:val="20"/>
        </w:rPr>
      </w:pPr>
      <w:proofErr w:type="gramStart"/>
      <w:r w:rsidRPr="00077F49">
        <w:rPr>
          <w:sz w:val="20"/>
          <w:szCs w:val="20"/>
        </w:rPr>
        <w:t xml:space="preserve">Supplementary figure </w:t>
      </w:r>
      <w:r w:rsidR="00715E35">
        <w:rPr>
          <w:sz w:val="20"/>
          <w:szCs w:val="20"/>
        </w:rPr>
        <w:t>3</w:t>
      </w:r>
      <w:r w:rsidRPr="00077F49">
        <w:rPr>
          <w:sz w:val="20"/>
          <w:szCs w:val="20"/>
        </w:rPr>
        <w:t>.</w:t>
      </w:r>
      <w:proofErr w:type="gramEnd"/>
      <w:r w:rsidRPr="00077F49">
        <w:rPr>
          <w:sz w:val="20"/>
          <w:szCs w:val="20"/>
        </w:rPr>
        <w:t xml:space="preserve"> </w:t>
      </w:r>
      <w:proofErr w:type="gramStart"/>
      <w:r w:rsidRPr="00077F49">
        <w:rPr>
          <w:sz w:val="20"/>
          <w:szCs w:val="20"/>
        </w:rPr>
        <w:t xml:space="preserve">Predicted active and surrounding residues for investigated </w:t>
      </w:r>
      <w:proofErr w:type="spellStart"/>
      <w:r w:rsidRPr="00077F49">
        <w:rPr>
          <w:sz w:val="20"/>
          <w:szCs w:val="20"/>
        </w:rPr>
        <w:t>proteisns</w:t>
      </w:r>
      <w:proofErr w:type="spellEnd"/>
      <w:r w:rsidRPr="00077F49">
        <w:rPr>
          <w:sz w:val="20"/>
          <w:szCs w:val="20"/>
        </w:rPr>
        <w:t>.</w:t>
      </w:r>
      <w:proofErr w:type="gramEnd"/>
      <w:r w:rsidRPr="00077F49">
        <w:rPr>
          <w:sz w:val="20"/>
          <w:szCs w:val="20"/>
        </w:rPr>
        <w:t xml:space="preserve"> (A) TLR4, (B) TLR2, (C) our constructed </w:t>
      </w:r>
      <w:proofErr w:type="spellStart"/>
      <w:r w:rsidRPr="00077F49">
        <w:rPr>
          <w:sz w:val="20"/>
          <w:szCs w:val="20"/>
        </w:rPr>
        <w:t>multiepitope</w:t>
      </w:r>
      <w:proofErr w:type="spellEnd"/>
      <w:r w:rsidRPr="00077F49">
        <w:rPr>
          <w:sz w:val="20"/>
          <w:szCs w:val="20"/>
        </w:rPr>
        <w:t xml:space="preserve"> vaccine. Proteins are shown in cartoon representation with red and green colored regions being correlated to the active and surrounding residues, respectively, on B-factor (temperature) column.</w:t>
      </w:r>
    </w:p>
    <w:p w:rsidR="00715E35" w:rsidRDefault="00715E35" w:rsidP="00077F49">
      <w:pPr>
        <w:jc w:val="center"/>
        <w:rPr>
          <w:sz w:val="20"/>
          <w:szCs w:val="20"/>
        </w:rPr>
      </w:pPr>
    </w:p>
    <w:p w:rsidR="00715E35" w:rsidRDefault="00715E35" w:rsidP="00077F49">
      <w:pPr>
        <w:jc w:val="center"/>
        <w:rPr>
          <w:sz w:val="20"/>
          <w:szCs w:val="20"/>
        </w:rPr>
      </w:pPr>
    </w:p>
    <w:p w:rsidR="00715E35" w:rsidRDefault="00715E35" w:rsidP="00077F49">
      <w:pPr>
        <w:jc w:val="center"/>
        <w:rPr>
          <w:sz w:val="20"/>
          <w:szCs w:val="20"/>
        </w:rPr>
      </w:pPr>
    </w:p>
    <w:p w:rsidR="00715E35" w:rsidRDefault="00715E35" w:rsidP="00077F49">
      <w:pPr>
        <w:jc w:val="center"/>
        <w:rPr>
          <w:sz w:val="20"/>
          <w:szCs w:val="20"/>
        </w:rPr>
      </w:pPr>
    </w:p>
    <w:p w:rsidR="00715E35" w:rsidRDefault="00715E35" w:rsidP="00077F49">
      <w:pPr>
        <w:jc w:val="center"/>
        <w:rPr>
          <w:sz w:val="20"/>
          <w:szCs w:val="20"/>
        </w:rPr>
      </w:pPr>
    </w:p>
    <w:p w:rsidR="00715E35" w:rsidRDefault="00715E35" w:rsidP="00077F49">
      <w:pPr>
        <w:jc w:val="center"/>
        <w:rPr>
          <w:sz w:val="20"/>
          <w:szCs w:val="20"/>
        </w:rPr>
      </w:pPr>
    </w:p>
    <w:p w:rsidR="00077F49" w:rsidRPr="00077F49" w:rsidRDefault="00077F49" w:rsidP="00077F49">
      <w:pPr>
        <w:jc w:val="center"/>
        <w:rPr>
          <w:sz w:val="20"/>
          <w:szCs w:val="20"/>
        </w:rPr>
      </w:pPr>
    </w:p>
    <w:p w:rsidR="00A42719" w:rsidRPr="00A42719" w:rsidRDefault="00A42719">
      <w:pPr>
        <w:rPr>
          <w:b/>
          <w:bCs/>
        </w:rPr>
      </w:pPr>
      <w:r w:rsidRPr="00A42719">
        <w:rPr>
          <w:b/>
          <w:bCs/>
        </w:rPr>
        <w:t>Supplementary tables</w:t>
      </w:r>
    </w:p>
    <w:p w:rsidR="00A42719" w:rsidRPr="00A42719" w:rsidRDefault="00A42719" w:rsidP="00A42719">
      <w:pPr>
        <w:pStyle w:val="MDPI41tablecaption"/>
        <w:ind w:left="425" w:right="425"/>
        <w:jc w:val="center"/>
      </w:pPr>
      <w:proofErr w:type="gramStart"/>
      <w:r>
        <w:t>Supplementary table 1.</w:t>
      </w:r>
      <w:proofErr w:type="gramEnd"/>
      <w:r>
        <w:t xml:space="preserve"> </w:t>
      </w:r>
      <w:proofErr w:type="gramStart"/>
      <w:r w:rsidRPr="00A42719">
        <w:t xml:space="preserve">Physicochemical characteristics of the designed </w:t>
      </w:r>
      <w:proofErr w:type="spellStart"/>
      <w:r w:rsidRPr="00A42719">
        <w:t>multitope</w:t>
      </w:r>
      <w:proofErr w:type="spellEnd"/>
      <w:r w:rsidRPr="00A42719">
        <w:t xml:space="preserve"> vaccine.</w:t>
      </w:r>
      <w:proofErr w:type="gramEnd"/>
    </w:p>
    <w:tbl>
      <w:tblPr>
        <w:tblStyle w:val="Mdeck5tablebodythreelines"/>
        <w:tblW w:w="9927" w:type="dxa"/>
        <w:tblBorders>
          <w:top w:val="single" w:sz="8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706"/>
        <w:gridCol w:w="1097"/>
        <w:gridCol w:w="1546"/>
        <w:gridCol w:w="730"/>
        <w:gridCol w:w="64"/>
        <w:gridCol w:w="910"/>
        <w:gridCol w:w="897"/>
      </w:tblGrid>
      <w:tr w:rsidR="00A42719" w:rsidRPr="00A42719" w:rsidTr="00A42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tcW w:w="0" w:type="auto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  <w:t>Physicochemical characteristic</w:t>
            </w:r>
          </w:p>
        </w:tc>
        <w:tc>
          <w:tcPr>
            <w:tcW w:w="0" w:type="auto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  <w:t>Molecular weight</w:t>
            </w:r>
          </w:p>
        </w:tc>
        <w:tc>
          <w:tcPr>
            <w:tcW w:w="0" w:type="auto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  <w:t xml:space="preserve">Theoretical </w:t>
            </w: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  <w:t>pI</w:t>
            </w:r>
          </w:p>
        </w:tc>
        <w:tc>
          <w:tcPr>
            <w:tcW w:w="1546" w:type="dxa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  <w:t xml:space="preserve">Extinction </w:t>
            </w: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  <w:t>coefficient</w:t>
            </w:r>
          </w:p>
        </w:tc>
        <w:tc>
          <w:tcPr>
            <w:tcW w:w="64" w:type="dxa"/>
            <w:shd w:val="clear" w:color="auto" w:fill="auto"/>
          </w:tcPr>
          <w:p w:rsid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  <w:r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  <w:t xml:space="preserve">Instability </w:t>
            </w: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  <w:r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  <w:t>index</w:t>
            </w:r>
          </w:p>
        </w:tc>
        <w:tc>
          <w:tcPr>
            <w:tcW w:w="64" w:type="dxa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</w:p>
        </w:tc>
        <w:tc>
          <w:tcPr>
            <w:tcW w:w="910" w:type="dxa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  <w:t xml:space="preserve"> GRAVY</w:t>
            </w:r>
          </w:p>
        </w:tc>
        <w:tc>
          <w:tcPr>
            <w:tcW w:w="0" w:type="auto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  <w:t>Aliphatic</w:t>
            </w: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eastAsia="SimSun" w:hAnsiTheme="majorBidi" w:cstheme="majorBidi"/>
                <w:noProof/>
                <w:color w:val="000000"/>
                <w:sz w:val="18"/>
                <w:lang w:eastAsia="zh-CN"/>
              </w:rPr>
              <w:t xml:space="preserve"> index</w:t>
            </w:r>
          </w:p>
        </w:tc>
      </w:tr>
      <w:tr w:rsidR="00A42719" w:rsidRPr="00A42719" w:rsidTr="00A42719">
        <w:trPr>
          <w:trHeight w:val="732"/>
        </w:trPr>
        <w:tc>
          <w:tcPr>
            <w:tcW w:w="0" w:type="auto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  <w:t>Score</w:t>
            </w:r>
          </w:p>
        </w:tc>
        <w:tc>
          <w:tcPr>
            <w:tcW w:w="0" w:type="auto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18"/>
                <w:lang w:val="en-US" w:eastAsia="zh-CN"/>
              </w:rPr>
              <w:t xml:space="preserve">49.83 </w:t>
            </w:r>
            <w:r w:rsidRPr="00A42719"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  <w:t>kDa</w:t>
            </w:r>
          </w:p>
        </w:tc>
        <w:tc>
          <w:tcPr>
            <w:tcW w:w="0" w:type="auto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  <w:t>9.86</w:t>
            </w:r>
          </w:p>
        </w:tc>
        <w:tc>
          <w:tcPr>
            <w:tcW w:w="1546" w:type="dxa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hAnsiTheme="majorBidi" w:cstheme="majorBidi"/>
                <w:noProof/>
                <w:color w:val="000000"/>
                <w:sz w:val="18"/>
                <w:lang w:val="en-US" w:eastAsia="zh-CN"/>
              </w:rPr>
              <w:t>52175</w:t>
            </w:r>
            <w:r>
              <w:rPr>
                <w:rFonts w:asciiTheme="majorBidi" w:hAnsiTheme="majorBidi" w:cstheme="majorBidi"/>
                <w:noProof/>
                <w:color w:val="000000"/>
                <w:sz w:val="18"/>
                <w:lang w:val="en-US" w:eastAsia="zh-CN"/>
              </w:rPr>
              <w:t xml:space="preserve"> </w:t>
            </w:r>
            <w:r w:rsidRPr="00A42719"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  <w:t>M</w:t>
            </w:r>
            <w:r w:rsidRPr="00A42719">
              <w:rPr>
                <w:rFonts w:asciiTheme="majorBidi" w:hAnsiTheme="majorBidi" w:cstheme="majorBidi"/>
                <w:noProof/>
                <w:color w:val="000000"/>
                <w:sz w:val="18"/>
                <w:vertAlign w:val="superscript"/>
                <w:lang w:eastAsia="zh-CN"/>
              </w:rPr>
              <w:t>-1</w:t>
            </w:r>
            <w:r w:rsidRPr="00A42719"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  <w:t xml:space="preserve"> cm</w:t>
            </w:r>
            <w:r w:rsidRPr="00A42719">
              <w:rPr>
                <w:rFonts w:asciiTheme="majorBidi" w:hAnsiTheme="majorBidi" w:cstheme="majorBidi"/>
                <w:noProof/>
                <w:color w:val="000000"/>
                <w:sz w:val="18"/>
                <w:vertAlign w:val="superscript"/>
                <w:lang w:eastAsia="zh-CN"/>
              </w:rPr>
              <w:t>-1</w:t>
            </w:r>
          </w:p>
        </w:tc>
        <w:tc>
          <w:tcPr>
            <w:tcW w:w="64" w:type="dxa"/>
            <w:shd w:val="clear" w:color="auto" w:fill="auto"/>
          </w:tcPr>
          <w:p w:rsid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  <w:t>33.24</w:t>
            </w:r>
          </w:p>
        </w:tc>
        <w:tc>
          <w:tcPr>
            <w:tcW w:w="64" w:type="dxa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</w:p>
        </w:tc>
        <w:tc>
          <w:tcPr>
            <w:tcW w:w="910" w:type="dxa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val="en-US" w:eastAsia="zh-CN"/>
              </w:rPr>
            </w:pP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hAnsiTheme="majorBidi" w:cstheme="majorBidi"/>
                <w:noProof/>
                <w:color w:val="000000"/>
                <w:sz w:val="18"/>
                <w:lang w:val="en-US" w:eastAsia="zh-CN"/>
              </w:rPr>
              <w:t>-0.742</w:t>
            </w: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</w:p>
          <w:p w:rsidR="00A42719" w:rsidRPr="00A42719" w:rsidRDefault="00A42719" w:rsidP="00A42719">
            <w:pPr>
              <w:autoSpaceDE w:val="0"/>
              <w:autoSpaceDN w:val="0"/>
              <w:rPr>
                <w:rFonts w:asciiTheme="majorBidi" w:hAnsiTheme="majorBidi" w:cstheme="majorBidi"/>
                <w:noProof/>
                <w:color w:val="000000"/>
                <w:sz w:val="18"/>
                <w:lang w:eastAsia="zh-CN"/>
              </w:rPr>
            </w:pPr>
            <w:r w:rsidRPr="00A42719">
              <w:rPr>
                <w:rFonts w:asciiTheme="majorBidi" w:hAnsiTheme="majorBidi" w:cstheme="majorBidi"/>
                <w:noProof/>
                <w:color w:val="000000"/>
                <w:sz w:val="18"/>
                <w:lang w:val="en-US" w:eastAsia="zh-CN"/>
              </w:rPr>
              <w:t>53.53</w:t>
            </w:r>
          </w:p>
        </w:tc>
      </w:tr>
    </w:tbl>
    <w:p w:rsidR="00A42719" w:rsidRDefault="00A42719"/>
    <w:p w:rsidR="00A42719" w:rsidRDefault="00A42719"/>
    <w:sectPr w:rsidR="00A42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A8"/>
    <w:rsid w:val="00045E39"/>
    <w:rsid w:val="00077F49"/>
    <w:rsid w:val="00715E35"/>
    <w:rsid w:val="00A42719"/>
    <w:rsid w:val="00F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19"/>
    <w:rPr>
      <w:rFonts w:ascii="Tahoma" w:hAnsi="Tahoma" w:cs="Tahoma"/>
      <w:sz w:val="16"/>
      <w:szCs w:val="16"/>
    </w:rPr>
  </w:style>
  <w:style w:type="table" w:customStyle="1" w:styleId="Mdeck5tablebodythreelines">
    <w:name w:val="M_deck_5_table_body_three_lines"/>
    <w:basedOn w:val="TableNormal"/>
    <w:uiPriority w:val="99"/>
    <w:rsid w:val="00A42719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41tablecaption">
    <w:name w:val="MDPI_4.1_table_caption"/>
    <w:qFormat/>
    <w:rsid w:val="00A42719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19"/>
    <w:rPr>
      <w:rFonts w:ascii="Tahoma" w:hAnsi="Tahoma" w:cs="Tahoma"/>
      <w:sz w:val="16"/>
      <w:szCs w:val="16"/>
    </w:rPr>
  </w:style>
  <w:style w:type="table" w:customStyle="1" w:styleId="Mdeck5tablebodythreelines">
    <w:name w:val="M_deck_5_table_body_three_lines"/>
    <w:basedOn w:val="TableNormal"/>
    <w:uiPriority w:val="99"/>
    <w:rsid w:val="00A42719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41tablecaption">
    <w:name w:val="MDPI_4.1_table_caption"/>
    <w:qFormat/>
    <w:rsid w:val="00A42719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AL-Arabia</dc:creator>
  <cp:keywords/>
  <dc:description/>
  <cp:lastModifiedBy>AL-Arabia</cp:lastModifiedBy>
  <cp:revision>4</cp:revision>
  <dcterms:created xsi:type="dcterms:W3CDTF">2022-10-20T21:07:00Z</dcterms:created>
  <dcterms:modified xsi:type="dcterms:W3CDTF">2023-01-24T01:48:00Z</dcterms:modified>
</cp:coreProperties>
</file>