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CA30A66" w14:textId="5282AD2A" w:rsidR="00817DD6" w:rsidRPr="001549D3" w:rsidRDefault="00F548D2" w:rsidP="0001436A">
      <w:pPr>
        <w:pStyle w:val="Title"/>
      </w:pPr>
      <w:r w:rsidRPr="00F548D2">
        <w:t>Prognostic analysis in children with focal cortical dysplasia II undergoing epilepsy surgery: Clinical and radiological factors</w:t>
      </w:r>
    </w:p>
    <w:p w14:paraId="25D2C293" w14:textId="3344CB3E" w:rsidR="002868E2" w:rsidRPr="00994A3D" w:rsidRDefault="00F548D2" w:rsidP="00F548D2">
      <w:pPr>
        <w:pStyle w:val="AuthorList"/>
      </w:pPr>
      <w:proofErr w:type="spellStart"/>
      <w:r>
        <w:t>Siqi</w:t>
      </w:r>
      <w:proofErr w:type="spellEnd"/>
      <w:r>
        <w:t xml:space="preserve"> Zhang, Yi Luo, Yilin Zhao, </w:t>
      </w:r>
      <w:proofErr w:type="spellStart"/>
      <w:r>
        <w:t>Fengjun</w:t>
      </w:r>
      <w:proofErr w:type="spellEnd"/>
      <w:r>
        <w:t xml:space="preserve"> Zhu, </w:t>
      </w:r>
      <w:proofErr w:type="spellStart"/>
      <w:r>
        <w:t>Xianping</w:t>
      </w:r>
      <w:proofErr w:type="spellEnd"/>
      <w:r>
        <w:t xml:space="preserve"> Jiang,</w:t>
      </w:r>
      <w:r>
        <w:rPr>
          <w:rFonts w:hint="eastAsia"/>
          <w:lang w:eastAsia="zh-CN"/>
        </w:rPr>
        <w:t xml:space="preserve"> </w:t>
      </w:r>
      <w:proofErr w:type="spellStart"/>
      <w:r>
        <w:t>Xiaoyu</w:t>
      </w:r>
      <w:proofErr w:type="spellEnd"/>
      <w:r>
        <w:t xml:space="preserve"> Wang, Tong Mo and Hongwu Zeng</w:t>
      </w:r>
      <w:r w:rsidRPr="00F548D2">
        <w:rPr>
          <w:vertAlign w:val="superscript"/>
        </w:rPr>
        <w:t>*</w:t>
      </w:r>
    </w:p>
    <w:p w14:paraId="217F3AE0" w14:textId="3908083E" w:rsidR="002868E2" w:rsidRDefault="002868E2" w:rsidP="00994A3D">
      <w:pPr>
        <w:spacing w:before="240" w:after="0"/>
        <w:rPr>
          <w:rFonts w:cs="Times New Roman"/>
        </w:rPr>
      </w:pPr>
      <w:r w:rsidRPr="00994A3D">
        <w:rPr>
          <w:rFonts w:cs="Times New Roman"/>
          <w:b/>
        </w:rPr>
        <w:t xml:space="preserve">* Correspondence: </w:t>
      </w:r>
      <w:r w:rsidRPr="00994A3D">
        <w:rPr>
          <w:rFonts w:cs="Times New Roman"/>
        </w:rPr>
        <w:t>Corresponding Author</w:t>
      </w:r>
      <w:r w:rsidR="00994A3D" w:rsidRPr="00994A3D">
        <w:rPr>
          <w:rFonts w:cs="Times New Roman"/>
        </w:rPr>
        <w:t xml:space="preserve">: </w:t>
      </w:r>
      <w:hyperlink r:id="rId12" w:history="1">
        <w:r w:rsidR="00F548D2" w:rsidRPr="00BF22AE">
          <w:rPr>
            <w:rStyle w:val="Hyperlink"/>
            <w:rFonts w:cs="Times New Roman"/>
          </w:rPr>
          <w:t>homerzeng@126.com</w:t>
        </w:r>
      </w:hyperlink>
    </w:p>
    <w:p w14:paraId="0AF998AB" w14:textId="77777777" w:rsidR="00F548D2" w:rsidRPr="00994A3D" w:rsidRDefault="00F548D2" w:rsidP="00994A3D">
      <w:pPr>
        <w:spacing w:before="240" w:after="0"/>
        <w:rPr>
          <w:rFonts w:cs="Times New Roman"/>
        </w:rPr>
      </w:pPr>
    </w:p>
    <w:p w14:paraId="11EC8DA1" w14:textId="6A261CCE" w:rsidR="00994A3D" w:rsidRDefault="00654E8F" w:rsidP="00F548D2">
      <w:pPr>
        <w:pStyle w:val="Heading1"/>
      </w:pPr>
      <w:r w:rsidRPr="00994A3D">
        <w:t>Supplementary Tables</w:t>
      </w:r>
    </w:p>
    <w:p w14:paraId="532BEC3E" w14:textId="77777777" w:rsidR="00F548D2" w:rsidRPr="00F548D2" w:rsidRDefault="00F548D2" w:rsidP="00F548D2"/>
    <w:p w14:paraId="01C8651B" w14:textId="14BC2215" w:rsidR="00F548D2" w:rsidRPr="00F548D2" w:rsidRDefault="00994A3D" w:rsidP="00F548D2">
      <w:pPr>
        <w:rPr>
          <w:szCs w:val="24"/>
          <w:lang w:eastAsia="zh-CN"/>
        </w:rPr>
      </w:pPr>
      <w:r w:rsidRPr="0001436A">
        <w:rPr>
          <w:rFonts w:cs="Times New Roman"/>
          <w:b/>
          <w:szCs w:val="24"/>
        </w:rPr>
        <w:t xml:space="preserve">Supplementary </w:t>
      </w:r>
      <w:r w:rsidR="00F548D2">
        <w:rPr>
          <w:rFonts w:cs="Times New Roman"/>
          <w:b/>
          <w:szCs w:val="24"/>
        </w:rPr>
        <w:t>T</w:t>
      </w:r>
      <w:r w:rsidR="00F548D2">
        <w:rPr>
          <w:rFonts w:cs="Times New Roman" w:hint="eastAsia"/>
          <w:b/>
          <w:szCs w:val="24"/>
          <w:lang w:eastAsia="zh-CN"/>
        </w:rPr>
        <w:t>able</w:t>
      </w:r>
      <w:r w:rsidRPr="0001436A">
        <w:rPr>
          <w:rFonts w:cs="Times New Roman"/>
          <w:b/>
          <w:szCs w:val="24"/>
        </w:rPr>
        <w:t xml:space="preserve">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 w:rsidR="00803D24"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F548D2" w:rsidRPr="00F548D2">
        <w:rPr>
          <w:rFonts w:cs="Times New Roman"/>
          <w:szCs w:val="24"/>
        </w:rPr>
        <w:t>Comparison of SEEG between the seizure-free and non-seizure-free</w:t>
      </w:r>
      <w:r w:rsidR="00F548D2">
        <w:rPr>
          <w:rFonts w:cs="Times New Roman"/>
          <w:szCs w:val="24"/>
        </w:rPr>
        <w:t>.</w:t>
      </w:r>
    </w:p>
    <w:tbl>
      <w:tblPr>
        <w:tblW w:w="9169" w:type="dxa"/>
        <w:tblLayout w:type="fixed"/>
        <w:tblLook w:val="04A0" w:firstRow="1" w:lastRow="0" w:firstColumn="1" w:lastColumn="0" w:noHBand="0" w:noVBand="1"/>
      </w:tblPr>
      <w:tblGrid>
        <w:gridCol w:w="4863"/>
        <w:gridCol w:w="1421"/>
        <w:gridCol w:w="1842"/>
        <w:gridCol w:w="1043"/>
      </w:tblGrid>
      <w:tr w:rsidR="00F548D2" w:rsidRPr="00F548D2" w14:paraId="5BCBE1AB" w14:textId="77777777" w:rsidTr="006B512B">
        <w:trPr>
          <w:trHeight w:val="384"/>
        </w:trPr>
        <w:tc>
          <w:tcPr>
            <w:tcW w:w="4863" w:type="dxa"/>
            <w:tcBorders>
              <w:top w:val="single" w:sz="12" w:space="0" w:color="auto"/>
              <w:bottom w:val="single" w:sz="4" w:space="0" w:color="auto"/>
            </w:tcBorders>
          </w:tcPr>
          <w:p w14:paraId="7FDB7A52" w14:textId="77777777" w:rsidR="00F548D2" w:rsidRPr="00F548D2" w:rsidRDefault="00F548D2" w:rsidP="00F548D2">
            <w:pPr>
              <w:rPr>
                <w:b/>
                <w:bCs/>
                <w:szCs w:val="24"/>
              </w:rPr>
            </w:pPr>
            <w:r w:rsidRPr="00F548D2">
              <w:rPr>
                <w:b/>
                <w:bCs/>
                <w:szCs w:val="24"/>
              </w:rPr>
              <w:t>Variables</w:t>
            </w:r>
          </w:p>
        </w:tc>
        <w:tc>
          <w:tcPr>
            <w:tcW w:w="1421" w:type="dxa"/>
            <w:tcBorders>
              <w:top w:val="single" w:sz="12" w:space="0" w:color="auto"/>
              <w:bottom w:val="single" w:sz="4" w:space="0" w:color="auto"/>
            </w:tcBorders>
          </w:tcPr>
          <w:p w14:paraId="21F0A0DE" w14:textId="77777777" w:rsidR="00F548D2" w:rsidRPr="00F548D2" w:rsidRDefault="00F548D2" w:rsidP="00F548D2">
            <w:pPr>
              <w:jc w:val="center"/>
              <w:rPr>
                <w:b/>
                <w:bCs/>
                <w:szCs w:val="24"/>
              </w:rPr>
            </w:pPr>
            <w:r w:rsidRPr="00F548D2">
              <w:rPr>
                <w:b/>
                <w:bCs/>
                <w:szCs w:val="24"/>
              </w:rPr>
              <w:t>Seizure-free</w:t>
            </w:r>
          </w:p>
          <w:p w14:paraId="27581F9E" w14:textId="77777777" w:rsidR="00F548D2" w:rsidRPr="00F548D2" w:rsidRDefault="00F548D2" w:rsidP="00F548D2">
            <w:pPr>
              <w:jc w:val="center"/>
              <w:rPr>
                <w:b/>
                <w:bCs/>
                <w:szCs w:val="24"/>
              </w:rPr>
            </w:pPr>
            <w:r w:rsidRPr="00F548D2">
              <w:rPr>
                <w:rFonts w:hint="eastAsia"/>
                <w:b/>
                <w:bCs/>
                <w:szCs w:val="24"/>
              </w:rPr>
              <w:t>(</w:t>
            </w:r>
            <w:r w:rsidRPr="00F548D2">
              <w:rPr>
                <w:b/>
                <w:bCs/>
                <w:szCs w:val="24"/>
              </w:rPr>
              <w:t>n = 37</w:t>
            </w:r>
            <w:r w:rsidRPr="00F548D2">
              <w:rPr>
                <w:rFonts w:hint="eastAsia"/>
                <w:b/>
                <w:bCs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4" w:space="0" w:color="auto"/>
            </w:tcBorders>
          </w:tcPr>
          <w:p w14:paraId="7AC1C85C" w14:textId="77777777" w:rsidR="00F548D2" w:rsidRPr="00F548D2" w:rsidRDefault="00F548D2" w:rsidP="00F548D2">
            <w:pPr>
              <w:jc w:val="center"/>
              <w:rPr>
                <w:b/>
                <w:bCs/>
                <w:szCs w:val="24"/>
              </w:rPr>
            </w:pPr>
            <w:r w:rsidRPr="00F548D2">
              <w:rPr>
                <w:b/>
                <w:bCs/>
                <w:szCs w:val="24"/>
              </w:rPr>
              <w:t>Non-seizure-free</w:t>
            </w:r>
          </w:p>
          <w:p w14:paraId="77307B10" w14:textId="77777777" w:rsidR="00F548D2" w:rsidRPr="00F548D2" w:rsidRDefault="00F548D2" w:rsidP="00F548D2">
            <w:pPr>
              <w:jc w:val="center"/>
              <w:rPr>
                <w:b/>
                <w:bCs/>
                <w:szCs w:val="24"/>
              </w:rPr>
            </w:pPr>
            <w:r w:rsidRPr="00F548D2">
              <w:rPr>
                <w:b/>
                <w:bCs/>
                <w:szCs w:val="24"/>
              </w:rPr>
              <w:t xml:space="preserve"> </w:t>
            </w:r>
            <w:r w:rsidRPr="00F548D2">
              <w:rPr>
                <w:rFonts w:hint="eastAsia"/>
                <w:b/>
                <w:bCs/>
                <w:szCs w:val="24"/>
              </w:rPr>
              <w:t>(</w:t>
            </w:r>
            <w:r w:rsidRPr="00F548D2">
              <w:rPr>
                <w:b/>
                <w:bCs/>
                <w:szCs w:val="24"/>
              </w:rPr>
              <w:t>n = 13</w:t>
            </w:r>
            <w:r w:rsidRPr="00F548D2">
              <w:rPr>
                <w:rFonts w:hint="eastAsia"/>
                <w:b/>
                <w:bCs/>
                <w:szCs w:val="24"/>
              </w:rPr>
              <w:t>)</w:t>
            </w:r>
          </w:p>
        </w:tc>
        <w:tc>
          <w:tcPr>
            <w:tcW w:w="1043" w:type="dxa"/>
            <w:tcBorders>
              <w:top w:val="single" w:sz="12" w:space="0" w:color="auto"/>
              <w:bottom w:val="single" w:sz="4" w:space="0" w:color="auto"/>
            </w:tcBorders>
          </w:tcPr>
          <w:p w14:paraId="19EE0894" w14:textId="77777777" w:rsidR="00F548D2" w:rsidRPr="00F548D2" w:rsidRDefault="00F548D2" w:rsidP="00F548D2">
            <w:pPr>
              <w:jc w:val="center"/>
              <w:rPr>
                <w:b/>
                <w:bCs/>
                <w:szCs w:val="24"/>
              </w:rPr>
            </w:pPr>
            <w:r w:rsidRPr="00F548D2">
              <w:rPr>
                <w:b/>
                <w:bCs/>
                <w:i/>
                <w:iCs/>
                <w:szCs w:val="24"/>
              </w:rPr>
              <w:t>p</w:t>
            </w:r>
            <w:r w:rsidRPr="00F548D2">
              <w:rPr>
                <w:b/>
                <w:bCs/>
                <w:szCs w:val="24"/>
              </w:rPr>
              <w:t xml:space="preserve"> -Value</w:t>
            </w:r>
          </w:p>
        </w:tc>
      </w:tr>
      <w:tr w:rsidR="00F548D2" w:rsidRPr="00F548D2" w14:paraId="392BFEE7" w14:textId="77777777" w:rsidTr="006B512B">
        <w:trPr>
          <w:trHeight w:val="384"/>
        </w:trPr>
        <w:tc>
          <w:tcPr>
            <w:tcW w:w="4863" w:type="dxa"/>
            <w:tcBorders>
              <w:top w:val="nil"/>
              <w:bottom w:val="nil"/>
            </w:tcBorders>
            <w:shd w:val="clear" w:color="auto" w:fill="auto"/>
          </w:tcPr>
          <w:p w14:paraId="379D3709" w14:textId="77777777" w:rsidR="00F548D2" w:rsidRPr="00F548D2" w:rsidRDefault="00F548D2" w:rsidP="00F548D2">
            <w:pPr>
              <w:rPr>
                <w:sz w:val="21"/>
                <w:szCs w:val="21"/>
              </w:rPr>
            </w:pPr>
            <w:r w:rsidRPr="00F548D2">
              <w:rPr>
                <w:sz w:val="21"/>
                <w:szCs w:val="21"/>
              </w:rPr>
              <w:t>SEEG, n (%)</w:t>
            </w: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auto" w:fill="auto"/>
          </w:tcPr>
          <w:p w14:paraId="25552CE9" w14:textId="77777777" w:rsidR="00F548D2" w:rsidRPr="00F548D2" w:rsidRDefault="00F548D2" w:rsidP="00F548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14:paraId="4FA8BBEA" w14:textId="77777777" w:rsidR="00F548D2" w:rsidRPr="00F548D2" w:rsidRDefault="00F548D2" w:rsidP="00F548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43" w:type="dxa"/>
            <w:tcBorders>
              <w:top w:val="nil"/>
              <w:bottom w:val="nil"/>
            </w:tcBorders>
            <w:shd w:val="clear" w:color="auto" w:fill="auto"/>
          </w:tcPr>
          <w:p w14:paraId="173DCE9C" w14:textId="77777777" w:rsidR="00F548D2" w:rsidRPr="00F548D2" w:rsidRDefault="00F548D2" w:rsidP="00F548D2">
            <w:pPr>
              <w:jc w:val="center"/>
              <w:rPr>
                <w:sz w:val="21"/>
                <w:szCs w:val="21"/>
              </w:rPr>
            </w:pPr>
            <w:r w:rsidRPr="00F548D2">
              <w:rPr>
                <w:rFonts w:hint="eastAsia"/>
                <w:sz w:val="21"/>
                <w:szCs w:val="21"/>
              </w:rPr>
              <w:t>0</w:t>
            </w:r>
            <w:r w:rsidRPr="00F548D2">
              <w:rPr>
                <w:sz w:val="21"/>
                <w:szCs w:val="21"/>
              </w:rPr>
              <w:t>.086</w:t>
            </w:r>
          </w:p>
        </w:tc>
      </w:tr>
      <w:tr w:rsidR="00F548D2" w:rsidRPr="00F548D2" w14:paraId="2D720745" w14:textId="77777777" w:rsidTr="006B512B">
        <w:trPr>
          <w:trHeight w:val="384"/>
        </w:trPr>
        <w:tc>
          <w:tcPr>
            <w:tcW w:w="4863" w:type="dxa"/>
            <w:tcBorders>
              <w:top w:val="nil"/>
              <w:bottom w:val="nil"/>
            </w:tcBorders>
            <w:shd w:val="clear" w:color="auto" w:fill="auto"/>
          </w:tcPr>
          <w:p w14:paraId="67DEC1A7" w14:textId="77777777" w:rsidR="00F548D2" w:rsidRPr="00F548D2" w:rsidRDefault="00F548D2" w:rsidP="00F548D2">
            <w:pPr>
              <w:ind w:firstLineChars="100" w:firstLine="210"/>
              <w:rPr>
                <w:sz w:val="21"/>
                <w:szCs w:val="21"/>
              </w:rPr>
            </w:pPr>
            <w:r w:rsidRPr="00F548D2">
              <w:rPr>
                <w:sz w:val="21"/>
                <w:szCs w:val="21"/>
              </w:rPr>
              <w:t>MRI-negative</w:t>
            </w: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auto" w:fill="auto"/>
          </w:tcPr>
          <w:p w14:paraId="67B8066C" w14:textId="77777777" w:rsidR="00F548D2" w:rsidRPr="00F548D2" w:rsidRDefault="00F548D2" w:rsidP="00F548D2">
            <w:pPr>
              <w:jc w:val="center"/>
              <w:rPr>
                <w:sz w:val="21"/>
                <w:szCs w:val="21"/>
              </w:rPr>
            </w:pPr>
            <w:r w:rsidRPr="00F548D2">
              <w:rPr>
                <w:sz w:val="21"/>
                <w:szCs w:val="21"/>
              </w:rPr>
              <w:t>2 (5)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14:paraId="19DB4683" w14:textId="77777777" w:rsidR="00F548D2" w:rsidRPr="00F548D2" w:rsidRDefault="00F548D2" w:rsidP="00F548D2">
            <w:pPr>
              <w:jc w:val="center"/>
              <w:rPr>
                <w:sz w:val="21"/>
                <w:szCs w:val="21"/>
              </w:rPr>
            </w:pPr>
            <w:r w:rsidRPr="00F548D2">
              <w:rPr>
                <w:sz w:val="21"/>
                <w:szCs w:val="21"/>
              </w:rPr>
              <w:t>4 (31)</w:t>
            </w:r>
          </w:p>
        </w:tc>
        <w:tc>
          <w:tcPr>
            <w:tcW w:w="1043" w:type="dxa"/>
            <w:tcBorders>
              <w:top w:val="nil"/>
              <w:bottom w:val="nil"/>
            </w:tcBorders>
            <w:shd w:val="clear" w:color="auto" w:fill="auto"/>
          </w:tcPr>
          <w:p w14:paraId="0C2CCAF0" w14:textId="77777777" w:rsidR="00F548D2" w:rsidRPr="00F548D2" w:rsidRDefault="00F548D2" w:rsidP="00F548D2">
            <w:pPr>
              <w:jc w:val="center"/>
              <w:rPr>
                <w:sz w:val="21"/>
                <w:szCs w:val="21"/>
              </w:rPr>
            </w:pPr>
          </w:p>
        </w:tc>
      </w:tr>
      <w:tr w:rsidR="00F548D2" w:rsidRPr="00F548D2" w14:paraId="1A07B520" w14:textId="77777777" w:rsidTr="006B512B">
        <w:trPr>
          <w:trHeight w:val="384"/>
        </w:trPr>
        <w:tc>
          <w:tcPr>
            <w:tcW w:w="4863" w:type="dxa"/>
            <w:tcBorders>
              <w:top w:val="nil"/>
              <w:bottom w:val="nil"/>
            </w:tcBorders>
            <w:shd w:val="clear" w:color="auto" w:fill="auto"/>
          </w:tcPr>
          <w:p w14:paraId="0A8DB0BF" w14:textId="77777777" w:rsidR="00F548D2" w:rsidRPr="00F548D2" w:rsidRDefault="00F548D2" w:rsidP="00F548D2">
            <w:pPr>
              <w:ind w:firstLineChars="100" w:firstLine="210"/>
              <w:rPr>
                <w:sz w:val="21"/>
                <w:szCs w:val="21"/>
              </w:rPr>
            </w:pPr>
            <w:r w:rsidRPr="00F548D2">
              <w:rPr>
                <w:sz w:val="21"/>
                <w:szCs w:val="21"/>
              </w:rPr>
              <w:t>MRI-positive, discordant non-invasive investigation</w:t>
            </w: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auto" w:fill="auto"/>
          </w:tcPr>
          <w:p w14:paraId="78C23838" w14:textId="77777777" w:rsidR="00F548D2" w:rsidRPr="00F548D2" w:rsidRDefault="00F548D2" w:rsidP="00F548D2">
            <w:pPr>
              <w:jc w:val="center"/>
              <w:rPr>
                <w:sz w:val="21"/>
                <w:szCs w:val="21"/>
              </w:rPr>
            </w:pPr>
            <w:r w:rsidRPr="00F548D2">
              <w:rPr>
                <w:sz w:val="21"/>
                <w:szCs w:val="21"/>
              </w:rPr>
              <w:t>23 (62)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14:paraId="4DF3BC52" w14:textId="77777777" w:rsidR="00F548D2" w:rsidRPr="00F548D2" w:rsidRDefault="00F548D2" w:rsidP="00F548D2">
            <w:pPr>
              <w:jc w:val="center"/>
              <w:rPr>
                <w:sz w:val="21"/>
                <w:szCs w:val="21"/>
              </w:rPr>
            </w:pPr>
            <w:r w:rsidRPr="00F548D2">
              <w:rPr>
                <w:sz w:val="21"/>
                <w:szCs w:val="21"/>
              </w:rPr>
              <w:t>6 (46)</w:t>
            </w:r>
          </w:p>
        </w:tc>
        <w:tc>
          <w:tcPr>
            <w:tcW w:w="1043" w:type="dxa"/>
            <w:tcBorders>
              <w:top w:val="nil"/>
              <w:bottom w:val="nil"/>
            </w:tcBorders>
            <w:shd w:val="clear" w:color="auto" w:fill="auto"/>
          </w:tcPr>
          <w:p w14:paraId="1A8C78EC" w14:textId="77777777" w:rsidR="00F548D2" w:rsidRPr="00F548D2" w:rsidRDefault="00F548D2" w:rsidP="00F548D2">
            <w:pPr>
              <w:jc w:val="center"/>
              <w:rPr>
                <w:sz w:val="21"/>
                <w:szCs w:val="21"/>
              </w:rPr>
            </w:pPr>
          </w:p>
        </w:tc>
      </w:tr>
      <w:tr w:rsidR="00F548D2" w:rsidRPr="00F548D2" w14:paraId="46EED21F" w14:textId="77777777" w:rsidTr="006B512B">
        <w:trPr>
          <w:trHeight w:val="384"/>
        </w:trPr>
        <w:tc>
          <w:tcPr>
            <w:tcW w:w="4863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14:paraId="34BC59BA" w14:textId="77777777" w:rsidR="00F548D2" w:rsidRPr="00F548D2" w:rsidRDefault="00F548D2" w:rsidP="00F548D2">
            <w:pPr>
              <w:ind w:firstLineChars="100" w:firstLine="210"/>
              <w:rPr>
                <w:sz w:val="21"/>
                <w:szCs w:val="21"/>
              </w:rPr>
            </w:pPr>
            <w:r w:rsidRPr="00F548D2">
              <w:rPr>
                <w:sz w:val="21"/>
                <w:szCs w:val="21"/>
              </w:rPr>
              <w:t>MRI-positive, define extent of the lesion</w:t>
            </w:r>
          </w:p>
        </w:tc>
        <w:tc>
          <w:tcPr>
            <w:tcW w:w="1421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14:paraId="38CB0AE3" w14:textId="77777777" w:rsidR="00F548D2" w:rsidRPr="00F548D2" w:rsidRDefault="00F548D2" w:rsidP="00F548D2">
            <w:pPr>
              <w:jc w:val="center"/>
              <w:rPr>
                <w:sz w:val="21"/>
                <w:szCs w:val="21"/>
              </w:rPr>
            </w:pPr>
            <w:r w:rsidRPr="00F548D2">
              <w:rPr>
                <w:sz w:val="21"/>
                <w:szCs w:val="21"/>
              </w:rPr>
              <w:t>12 (33)</w:t>
            </w:r>
          </w:p>
        </w:tc>
        <w:tc>
          <w:tcPr>
            <w:tcW w:w="1842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14:paraId="606D89E5" w14:textId="77777777" w:rsidR="00F548D2" w:rsidRPr="00F548D2" w:rsidRDefault="00F548D2" w:rsidP="00F548D2">
            <w:pPr>
              <w:jc w:val="center"/>
              <w:rPr>
                <w:sz w:val="21"/>
                <w:szCs w:val="21"/>
              </w:rPr>
            </w:pPr>
            <w:r w:rsidRPr="00F548D2">
              <w:rPr>
                <w:sz w:val="21"/>
                <w:szCs w:val="21"/>
              </w:rPr>
              <w:t>3 (23)</w:t>
            </w:r>
          </w:p>
        </w:tc>
        <w:tc>
          <w:tcPr>
            <w:tcW w:w="1043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14:paraId="654FF174" w14:textId="77777777" w:rsidR="00F548D2" w:rsidRPr="00F548D2" w:rsidRDefault="00F548D2" w:rsidP="00F548D2">
            <w:pPr>
              <w:jc w:val="center"/>
              <w:rPr>
                <w:sz w:val="21"/>
                <w:szCs w:val="21"/>
              </w:rPr>
            </w:pPr>
          </w:p>
        </w:tc>
      </w:tr>
    </w:tbl>
    <w:p w14:paraId="52FFC714" w14:textId="77777777" w:rsidR="00F548D2" w:rsidRPr="00F548D2" w:rsidRDefault="00F548D2" w:rsidP="00F548D2">
      <w:pPr>
        <w:rPr>
          <w:szCs w:val="24"/>
          <w:lang w:eastAsia="zh-CN"/>
        </w:rPr>
      </w:pPr>
    </w:p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3"/>
      <w:footerReference w:type="even" r:id="rId14"/>
      <w:footerReference w:type="default" r:id="rId15"/>
      <w:headerReference w:type="first" r:id="rId16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07CE0" w14:textId="77777777" w:rsidR="009E1EBE" w:rsidRDefault="009E1EBE" w:rsidP="00117666">
      <w:pPr>
        <w:spacing w:after="0"/>
      </w:pPr>
      <w:r>
        <w:separator/>
      </w:r>
    </w:p>
  </w:endnote>
  <w:endnote w:type="continuationSeparator" w:id="0">
    <w:p w14:paraId="248AC211" w14:textId="77777777" w:rsidR="009E1EBE" w:rsidRDefault="009E1EBE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550E7" w14:textId="77777777" w:rsidR="009E1EBE" w:rsidRDefault="009E1EBE" w:rsidP="00117666">
      <w:pPr>
        <w:spacing w:after="0"/>
      </w:pPr>
      <w:r>
        <w:separator/>
      </w:r>
    </w:p>
  </w:footnote>
  <w:footnote w:type="continuationSeparator" w:id="0">
    <w:p w14:paraId="250A2713" w14:textId="77777777" w:rsidR="009E1EBE" w:rsidRDefault="009E1EBE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46F50"/>
    <w:rsid w:val="00267D18"/>
    <w:rsid w:val="002868E2"/>
    <w:rsid w:val="002869C3"/>
    <w:rsid w:val="002936E4"/>
    <w:rsid w:val="002B4A57"/>
    <w:rsid w:val="002C74CA"/>
    <w:rsid w:val="003544FB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9E1EBE"/>
    <w:rsid w:val="00A174D9"/>
    <w:rsid w:val="00A569CD"/>
    <w:rsid w:val="00A91A8E"/>
    <w:rsid w:val="00AA49D5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37A44"/>
    <w:rsid w:val="00DB59C3"/>
    <w:rsid w:val="00DC259A"/>
    <w:rsid w:val="00DE23E8"/>
    <w:rsid w:val="00E52377"/>
    <w:rsid w:val="00E64E17"/>
    <w:rsid w:val="00E866C9"/>
    <w:rsid w:val="00EA3D3C"/>
    <w:rsid w:val="00F46900"/>
    <w:rsid w:val="00F548D2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548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homerzeng@126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John Magri</cp:lastModifiedBy>
  <cp:revision>6</cp:revision>
  <cp:lastPrinted>2013-10-03T12:51:00Z</cp:lastPrinted>
  <dcterms:created xsi:type="dcterms:W3CDTF">2022-11-17T16:58:00Z</dcterms:created>
  <dcterms:modified xsi:type="dcterms:W3CDTF">2023-02-23T10:21:00Z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GrammarlyDocumentId">
    <vt:lpwstr>17d78c3e7d287c073b6e64bbc68d20ff742d31de1f232ee3fa0c5771016f7366</vt:lpwstr>
  </property>
</Properties>
</file>