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83FB" w14:textId="77777777" w:rsidR="008C399E" w:rsidRPr="00726DE8" w:rsidRDefault="008C399E" w:rsidP="526D2374">
      <w:pPr>
        <w:rPr>
          <w:rFonts w:ascii="Times New Roman" w:eastAsia="Times New Roman" w:hAnsi="Times New Roman" w:cs="Times New Roman"/>
          <w:b/>
          <w:lang w:eastAsia="en-GB"/>
        </w:rPr>
      </w:pPr>
      <w:r w:rsidRPr="00726DE8">
        <w:rPr>
          <w:rFonts w:ascii="Calibri" w:eastAsia="Times New Roman" w:hAnsi="Calibri" w:cs="Times New Roman"/>
          <w:b/>
          <w:color w:val="000000"/>
          <w:shd w:val="clear" w:color="auto" w:fill="FFFFFF"/>
          <w:lang w:eastAsia="en-GB"/>
        </w:rPr>
        <w:t>Supplementary Appendix</w:t>
      </w:r>
    </w:p>
    <w:p w14:paraId="150704A9" w14:textId="77777777" w:rsidR="008C399E" w:rsidRPr="008C399E" w:rsidRDefault="008C399E" w:rsidP="526D2374">
      <w:pPr>
        <w:rPr>
          <w:rFonts w:ascii="Calibri" w:eastAsia="Times New Roman" w:hAnsi="Calibri" w:cs="Times New Roman"/>
          <w:color w:val="000000" w:themeColor="text1"/>
          <w:lang w:eastAsia="en-GB"/>
        </w:rPr>
      </w:pPr>
    </w:p>
    <w:p w14:paraId="494A7E04" w14:textId="77777777" w:rsidR="008C399E" w:rsidRPr="008C399E" w:rsidRDefault="439D5B2C" w:rsidP="008C399E">
      <w:pPr>
        <w:rPr>
          <w:rFonts w:ascii="Times New Roman" w:eastAsia="Times New Roman" w:hAnsi="Times New Roman" w:cs="Times New Roman"/>
          <w:lang w:eastAsia="en-GB"/>
        </w:rPr>
      </w:pPr>
      <w:r w:rsidRPr="008C399E"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 xml:space="preserve">Appendix A: </w:t>
      </w:r>
      <w:r w:rsidR="008C399E" w:rsidRPr="008C399E"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>PERMA-H semantic codebook </w:t>
      </w:r>
      <w:r w:rsidR="008C399E"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>(used for inductive analysis)</w:t>
      </w:r>
    </w:p>
    <w:p w14:paraId="49D14940" w14:textId="77777777" w:rsidR="009155C4" w:rsidRDefault="009155C4"/>
    <w:tbl>
      <w:tblPr>
        <w:tblW w:w="5139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1751"/>
        <w:gridCol w:w="1632"/>
        <w:gridCol w:w="1395"/>
        <w:gridCol w:w="1820"/>
      </w:tblGrid>
      <w:tr w:rsidR="008C399E" w:rsidRPr="008C399E" w14:paraId="56A211F3" w14:textId="77777777" w:rsidTr="008C399E">
        <w:trPr>
          <w:trHeight w:val="840"/>
        </w:trPr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4085E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b/>
                <w:bCs/>
                <w:lang w:eastAsia="en-GB"/>
              </w:rPr>
              <w:t>PERMA-H facet</w:t>
            </w: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20279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b/>
                <w:bCs/>
                <w:lang w:eastAsia="en-GB"/>
              </w:rPr>
              <w:t>Definition</w:t>
            </w: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5AD68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b/>
                <w:bCs/>
                <w:lang w:eastAsia="en-GB"/>
              </w:rPr>
              <w:t>Description</w:t>
            </w: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A3343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b/>
                <w:bCs/>
                <w:lang w:eastAsia="en-GB"/>
              </w:rPr>
              <w:t>Qualifications or exclusions</w:t>
            </w: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D924A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b/>
                <w:bCs/>
                <w:lang w:eastAsia="en-GB"/>
              </w:rPr>
              <w:t>Example</w:t>
            </w: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</w:tr>
      <w:tr w:rsidR="008C399E" w:rsidRPr="008C399E" w14:paraId="3EFEC71A" w14:textId="77777777" w:rsidTr="00921FE7">
        <w:trPr>
          <w:trHeight w:val="20"/>
        </w:trPr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9774DD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b/>
                <w:bCs/>
                <w:lang w:eastAsia="en-GB"/>
              </w:rPr>
              <w:t>P</w:t>
            </w:r>
            <w:r w:rsidRPr="008C399E">
              <w:rPr>
                <w:rFonts w:ascii="Calibri" w:hAnsi="Calibri" w:cs="Segoe UI"/>
                <w:lang w:eastAsia="en-GB"/>
              </w:rPr>
              <w:t>ositive emotions 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6B171B" w14:textId="10E87F7A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 xml:space="preserve">Increase ability to initiate, experience and prolong positive emotional experiences </w:t>
            </w:r>
            <w:r w:rsidRPr="00921FE7">
              <w:rPr>
                <w:rFonts w:ascii="Calibri" w:hAnsi="Calibri" w:cs="Segoe UI"/>
                <w:color w:val="000000"/>
                <w:shd w:val="clear" w:color="auto" w:fill="E1E3E6"/>
                <w:lang w:eastAsia="en-GB"/>
              </w:rPr>
              <w:t>(</w:t>
            </w:r>
            <w:r w:rsidRPr="00921FE7">
              <w:rPr>
                <w:rFonts w:ascii="Calibri" w:hAnsi="Calibri" w:cs="Segoe UI"/>
                <w:color w:val="000000"/>
                <w:shd w:val="clear" w:color="auto" w:fill="FFFFFF" w:themeFill="background1"/>
                <w:lang w:eastAsia="en-GB"/>
              </w:rPr>
              <w:t>Norrish et al., 2013)</w:t>
            </w:r>
            <w:r w:rsidRPr="00921FE7">
              <w:rPr>
                <w:rFonts w:ascii="Calibri" w:hAnsi="Calibri" w:cs="Segoe UI"/>
                <w:shd w:val="clear" w:color="auto" w:fill="FFFFFF" w:themeFill="background1"/>
                <w:lang w:eastAsia="en-GB"/>
              </w:rPr>
              <w:t>.</w:t>
            </w:r>
            <w:r w:rsidRPr="008C399E">
              <w:rPr>
                <w:rFonts w:ascii="Calibri" w:hAnsi="Calibri" w:cs="Segoe UI"/>
                <w:lang w:eastAsia="en-GB"/>
              </w:rPr>
              <w:t xml:space="preserve"> Positive emotions aim to ‘undo’ the effect of negative emotions </w:t>
            </w:r>
            <w:r w:rsidR="00921FE7">
              <w:rPr>
                <w:rFonts w:ascii="Calibri" w:hAnsi="Calibri" w:cs="Segoe UI"/>
                <w:lang w:eastAsia="en-GB"/>
              </w:rPr>
              <w:t>(</w:t>
            </w:r>
            <w:r w:rsidRPr="00921FE7">
              <w:rPr>
                <w:rFonts w:ascii="Calibri" w:hAnsi="Calibri" w:cs="Segoe UI"/>
                <w:color w:val="000000"/>
                <w:shd w:val="clear" w:color="auto" w:fill="FFFFFF" w:themeFill="background1"/>
                <w:lang w:eastAsia="en-GB"/>
              </w:rPr>
              <w:t>Fredrickson &amp; Levenson, 1998)</w:t>
            </w: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231F6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Positive emotions include joy, pride, hope, awe, gratitude, love, interest, amusement, laughter, serenity, inspiration and heart-warming  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38B54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Exclusions: Negative emotions e.g., stress 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4CAA4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“</w:t>
            </w:r>
            <w:r w:rsidRPr="008C399E">
              <w:rPr>
                <w:rFonts w:ascii="Calibri" w:hAnsi="Calibri" w:cs="Segoe UI"/>
                <w:i/>
                <w:iCs/>
                <w:lang w:eastAsia="en-GB"/>
              </w:rPr>
              <w:t xml:space="preserve">I suppose my positive emotions have increased a bit more instead of I suppose how I was before I've definitely learned to recognise positive emotions more and actually </w:t>
            </w:r>
            <w:proofErr w:type="gramStart"/>
            <w:r w:rsidRPr="008C399E">
              <w:rPr>
                <w:rFonts w:ascii="Calibri" w:hAnsi="Calibri" w:cs="Segoe UI"/>
                <w:i/>
                <w:iCs/>
                <w:lang w:eastAsia="en-GB"/>
              </w:rPr>
              <w:t>go</w:t>
            </w:r>
            <w:proofErr w:type="gramEnd"/>
            <w:r w:rsidRPr="008C399E">
              <w:rPr>
                <w:rFonts w:ascii="Calibri" w:hAnsi="Calibri" w:cs="Segoe UI"/>
                <w:i/>
                <w:iCs/>
                <w:lang w:eastAsia="en-GB"/>
              </w:rPr>
              <w:t xml:space="preserve"> I feel today is a good day</w:t>
            </w:r>
            <w:r w:rsidRPr="008C399E">
              <w:rPr>
                <w:rFonts w:ascii="Calibri" w:hAnsi="Calibri" w:cs="Segoe UI"/>
                <w:lang w:eastAsia="en-GB"/>
              </w:rPr>
              <w:t>” (Katie) </w:t>
            </w:r>
          </w:p>
        </w:tc>
      </w:tr>
      <w:tr w:rsidR="008C399E" w:rsidRPr="008C399E" w14:paraId="721A5270" w14:textId="77777777" w:rsidTr="008C399E">
        <w:trPr>
          <w:trHeight w:val="20"/>
        </w:trPr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8FBE6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b/>
                <w:bCs/>
                <w:lang w:eastAsia="en-GB"/>
              </w:rPr>
              <w:t>E</w:t>
            </w:r>
            <w:r w:rsidRPr="008C399E">
              <w:rPr>
                <w:rFonts w:ascii="Calibri" w:hAnsi="Calibri" w:cs="Segoe UI"/>
                <w:lang w:eastAsia="en-GB"/>
              </w:rPr>
              <w:t>ngagement 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47D05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Work (e.g., participation), emotional (e.g., interest), psychological (e.g., sense of belonging) or cognitive (e.g., focused) engagement  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D1A2F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Engagement in all aspects of life, which can be mental or active participation 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2502B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Exclusions: Motivation to engage in tasks 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A6C52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“</w:t>
            </w:r>
            <w:r w:rsidRPr="008C399E">
              <w:rPr>
                <w:rFonts w:ascii="Calibri" w:hAnsi="Calibri" w:cs="Segoe UI"/>
                <w:i/>
                <w:iCs/>
                <w:lang w:eastAsia="en-GB"/>
              </w:rPr>
              <w:t>I was never doing meditation and mindfulness exercises before but after this session I started it and honestly I'm like doing it every day since that day</w:t>
            </w:r>
            <w:r>
              <w:rPr>
                <w:rFonts w:ascii="Calibri" w:hAnsi="Calibri" w:cs="Segoe UI"/>
                <w:lang w:eastAsia="en-GB"/>
              </w:rPr>
              <w:t>” (Paige</w:t>
            </w:r>
            <w:r w:rsidRPr="008C399E">
              <w:rPr>
                <w:rFonts w:ascii="Calibri" w:hAnsi="Calibri" w:cs="Segoe UI"/>
                <w:lang w:eastAsia="en-GB"/>
              </w:rPr>
              <w:t>) </w:t>
            </w:r>
          </w:p>
        </w:tc>
      </w:tr>
      <w:tr w:rsidR="008C399E" w:rsidRPr="008C399E" w14:paraId="2B0812BA" w14:textId="77777777" w:rsidTr="00921FE7">
        <w:trPr>
          <w:trHeight w:val="2880"/>
        </w:trPr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D98BEB" w14:textId="77777777" w:rsidR="008C399E" w:rsidRPr="00921FE7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21FE7">
              <w:rPr>
                <w:rFonts w:ascii="Calibri" w:hAnsi="Calibri" w:cs="Segoe UI"/>
                <w:lang w:eastAsia="en-GB"/>
              </w:rPr>
              <w:t xml:space="preserve">Positive </w:t>
            </w:r>
            <w:r w:rsidRPr="008012C2">
              <w:rPr>
                <w:rFonts w:ascii="Calibri" w:hAnsi="Calibri" w:cs="Segoe UI"/>
                <w:b/>
                <w:bCs/>
                <w:lang w:eastAsia="en-GB"/>
              </w:rPr>
              <w:t>R</w:t>
            </w:r>
            <w:r w:rsidRPr="00921FE7">
              <w:rPr>
                <w:rFonts w:ascii="Calibri" w:hAnsi="Calibri" w:cs="Segoe UI"/>
                <w:lang w:eastAsia="en-GB"/>
              </w:rPr>
              <w:t>elationships 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9B2AE" w14:textId="77777777" w:rsidR="008C399E" w:rsidRPr="00921FE7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21FE7">
              <w:rPr>
                <w:rFonts w:ascii="Calibri" w:hAnsi="Calibri" w:cs="Segoe UI"/>
                <w:lang w:eastAsia="en-GB"/>
              </w:rPr>
              <w:t xml:space="preserve">Relationships with other individuals and communities, including high quality relationships and social ties </w:t>
            </w:r>
            <w:r w:rsidRPr="00921FE7">
              <w:rPr>
                <w:rFonts w:ascii="Calibri" w:hAnsi="Calibri" w:cs="Segoe UI"/>
                <w:color w:val="000000"/>
                <w:lang w:eastAsia="en-GB"/>
              </w:rPr>
              <w:t>(Taylor, 2011)</w:t>
            </w:r>
            <w:r w:rsidRPr="00921FE7">
              <w:rPr>
                <w:rFonts w:ascii="Calibri" w:hAnsi="Calibri" w:cs="Segoe UI"/>
                <w:lang w:eastAsia="en-GB"/>
              </w:rPr>
              <w:t>. 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87DE0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 xml:space="preserve">Relationships to others (internal and external to the wellbeing programme), feelings of connectedness and belonging, feeling supported by others, quality of social ties, giving or supporting others without a reflection </w:t>
            </w:r>
            <w:r w:rsidRPr="008C399E">
              <w:rPr>
                <w:rFonts w:ascii="Calibri" w:hAnsi="Calibri" w:cs="Segoe UI"/>
                <w:lang w:eastAsia="en-GB"/>
              </w:rPr>
              <w:lastRenderedPageBreak/>
              <w:t>about themselves 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1CADA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lastRenderedPageBreak/>
              <w:t> 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FC3D1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“</w:t>
            </w:r>
            <w:r w:rsidRPr="008C399E">
              <w:rPr>
                <w:rFonts w:ascii="Calibri" w:hAnsi="Calibri" w:cs="Segoe UI"/>
                <w:i/>
                <w:iCs/>
                <w:lang w:eastAsia="en-GB"/>
              </w:rPr>
              <w:t>I really enjoyed the social aspect of it [the programme] and being able to relate to other people you know even like sharing like memes and pictures</w:t>
            </w:r>
            <w:r w:rsidRPr="008C399E">
              <w:rPr>
                <w:rFonts w:ascii="Calibri" w:hAnsi="Calibri" w:cs="Segoe UI"/>
                <w:lang w:eastAsia="en-GB"/>
              </w:rPr>
              <w:t>” (</w:t>
            </w:r>
            <w:proofErr w:type="spellStart"/>
            <w:r w:rsidRPr="008C399E">
              <w:rPr>
                <w:rFonts w:ascii="Calibri" w:hAnsi="Calibri" w:cs="Segoe UI"/>
                <w:lang w:eastAsia="en-GB"/>
              </w:rPr>
              <w:t>Mikka</w:t>
            </w:r>
            <w:proofErr w:type="spellEnd"/>
            <w:r w:rsidRPr="008C399E">
              <w:rPr>
                <w:rFonts w:ascii="Calibri" w:hAnsi="Calibri" w:cs="Segoe UI"/>
                <w:lang w:eastAsia="en-GB"/>
              </w:rPr>
              <w:t>) </w:t>
            </w:r>
          </w:p>
        </w:tc>
      </w:tr>
      <w:tr w:rsidR="008C399E" w:rsidRPr="008C399E" w14:paraId="708B0EB0" w14:textId="77777777" w:rsidTr="00921FE7">
        <w:trPr>
          <w:trHeight w:val="2385"/>
        </w:trPr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32F53" w14:textId="77777777" w:rsidR="008C399E" w:rsidRPr="00921FE7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21FE7">
              <w:rPr>
                <w:rFonts w:ascii="Calibri" w:hAnsi="Calibri" w:cs="Segoe UI"/>
                <w:b/>
                <w:bCs/>
                <w:lang w:eastAsia="en-GB"/>
              </w:rPr>
              <w:t>M</w:t>
            </w:r>
            <w:r w:rsidRPr="00921FE7">
              <w:rPr>
                <w:rFonts w:ascii="Calibri" w:hAnsi="Calibri" w:cs="Segoe UI"/>
                <w:lang w:eastAsia="en-GB"/>
              </w:rPr>
              <w:t>eaning/Purpose 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B877A" w14:textId="77777777" w:rsidR="008C399E" w:rsidRPr="00921FE7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21FE7">
              <w:rPr>
                <w:rFonts w:ascii="Calibri" w:hAnsi="Calibri" w:cs="Segoe UI"/>
                <w:lang w:eastAsia="en-GB"/>
              </w:rPr>
              <w:t xml:space="preserve">“Having direction in life, feeling that one’s life is valuable and worthwhile” </w:t>
            </w:r>
            <w:r w:rsidRPr="00921FE7">
              <w:rPr>
                <w:rFonts w:ascii="Calibri" w:hAnsi="Calibri" w:cs="Segoe UI"/>
                <w:color w:val="000000"/>
                <w:shd w:val="clear" w:color="auto" w:fill="FFFFFF" w:themeFill="background1"/>
                <w:lang w:eastAsia="en-GB"/>
              </w:rPr>
              <w:t>(Butler &amp; Kern, 2016, p. 3)</w:t>
            </w:r>
            <w:r w:rsidRPr="00921FE7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924C5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Connecting to something bigger than oneself. Supporting others with a reflection on how they view themselves or how they feel about themselves 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45E0E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8F34F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“</w:t>
            </w:r>
            <w:r w:rsidRPr="008C399E">
              <w:rPr>
                <w:rFonts w:ascii="Calibri" w:hAnsi="Calibri" w:cs="Segoe UI"/>
                <w:i/>
                <w:iCs/>
                <w:lang w:eastAsia="en-GB"/>
              </w:rPr>
              <w:t xml:space="preserve">I definitely feel greater belonging with the course and also the university and even so far as the [university city] </w:t>
            </w:r>
            <w:r>
              <w:rPr>
                <w:rFonts w:ascii="Calibri" w:hAnsi="Calibri" w:cs="Segoe UI"/>
                <w:lang w:eastAsia="en-GB"/>
              </w:rPr>
              <w:t>community” (Louise</w:t>
            </w:r>
            <w:r w:rsidRPr="008C399E">
              <w:rPr>
                <w:rFonts w:ascii="Calibri" w:hAnsi="Calibri" w:cs="Segoe UI"/>
                <w:lang w:eastAsia="en-GB"/>
              </w:rPr>
              <w:t>) </w:t>
            </w:r>
          </w:p>
        </w:tc>
      </w:tr>
      <w:tr w:rsidR="008C399E" w:rsidRPr="008C399E" w14:paraId="20882A5D" w14:textId="77777777" w:rsidTr="00921FE7">
        <w:trPr>
          <w:trHeight w:val="300"/>
        </w:trPr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BF72D8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b/>
                <w:bCs/>
                <w:lang w:eastAsia="en-GB"/>
              </w:rPr>
              <w:t>A</w:t>
            </w:r>
            <w:r w:rsidRPr="008C399E">
              <w:rPr>
                <w:rFonts w:ascii="Calibri" w:hAnsi="Calibri" w:cs="Segoe UI"/>
                <w:lang w:eastAsia="en-GB"/>
              </w:rPr>
              <w:t>ccomplishment/Achievement 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A59A84" w14:textId="77777777" w:rsidR="008C399E" w:rsidRPr="00921FE7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21FE7">
              <w:rPr>
                <w:rFonts w:ascii="Calibri" w:hAnsi="Calibri" w:cs="Segoe UI"/>
                <w:lang w:eastAsia="en-GB"/>
              </w:rPr>
              <w:t xml:space="preserve">“Accomplishment involves a sense of working towards and reaching goals, mastery and efficacy to complete tasks” </w:t>
            </w:r>
            <w:r w:rsidRPr="00921FE7">
              <w:rPr>
                <w:rFonts w:ascii="Calibri" w:hAnsi="Calibri" w:cs="Segoe UI"/>
                <w:color w:val="000000"/>
                <w:shd w:val="clear" w:color="auto" w:fill="FFFFFF" w:themeFill="background1"/>
                <w:lang w:eastAsia="en-GB"/>
              </w:rPr>
              <w:t>(Butler &amp; Kern, 2016, p. 4)</w:t>
            </w:r>
            <w:r w:rsidRPr="00921FE7">
              <w:rPr>
                <w:rFonts w:ascii="Calibri" w:hAnsi="Calibri" w:cs="Segoe UI"/>
                <w:color w:val="FF0000"/>
                <w:shd w:val="clear" w:color="auto" w:fill="FFFFFF" w:themeFill="background1"/>
                <w:lang w:eastAsia="en-GB"/>
              </w:rPr>
              <w:t>.</w:t>
            </w:r>
            <w:r w:rsidRPr="00921FE7">
              <w:rPr>
                <w:rFonts w:ascii="Calibri" w:hAnsi="Calibri" w:cs="Segoe UI"/>
                <w:color w:val="FF0000"/>
                <w:lang w:eastAsia="en-GB"/>
              </w:rPr>
              <w:t> 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58FD3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Increased productivity, greater self-esteem, feeling better or good about oneself, mastery or performance, achievement of status or an accomplishment of a goal or target </w:t>
            </w:r>
          </w:p>
          <w:p w14:paraId="000B4B47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  <w:p w14:paraId="4C538A0E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41BD2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C1B82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“</w:t>
            </w:r>
            <w:r w:rsidRPr="008C399E">
              <w:rPr>
                <w:rFonts w:ascii="Calibri" w:hAnsi="Calibri" w:cs="Segoe UI"/>
                <w:i/>
                <w:iCs/>
                <w:lang w:eastAsia="en-GB"/>
              </w:rPr>
              <w:t>I feel like I was more productive in my work for the rest of that day and even the week really</w:t>
            </w:r>
            <w:r>
              <w:rPr>
                <w:rFonts w:ascii="Calibri" w:hAnsi="Calibri" w:cs="Segoe UI"/>
                <w:lang w:eastAsia="en-GB"/>
              </w:rPr>
              <w:t>” (</w:t>
            </w:r>
            <w:proofErr w:type="spellStart"/>
            <w:r>
              <w:rPr>
                <w:rFonts w:ascii="Calibri" w:hAnsi="Calibri" w:cs="Segoe UI"/>
                <w:lang w:eastAsia="en-GB"/>
              </w:rPr>
              <w:t>Sofyia</w:t>
            </w:r>
            <w:proofErr w:type="spellEnd"/>
            <w:r w:rsidRPr="008C399E">
              <w:rPr>
                <w:rFonts w:ascii="Calibri" w:hAnsi="Calibri" w:cs="Segoe UI"/>
                <w:lang w:eastAsia="en-GB"/>
              </w:rPr>
              <w:t>) </w:t>
            </w:r>
          </w:p>
        </w:tc>
      </w:tr>
      <w:tr w:rsidR="008C399E" w:rsidRPr="008C399E" w14:paraId="5927893B" w14:textId="77777777" w:rsidTr="00921FE7">
        <w:trPr>
          <w:trHeight w:val="300"/>
        </w:trPr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CDE6FD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b/>
                <w:bCs/>
                <w:lang w:eastAsia="en-GB"/>
              </w:rPr>
              <w:t>H</w:t>
            </w:r>
            <w:r w:rsidRPr="008C399E">
              <w:rPr>
                <w:rFonts w:ascii="Calibri" w:hAnsi="Calibri" w:cs="Segoe UI"/>
                <w:lang w:eastAsia="en-GB"/>
              </w:rPr>
              <w:t>ealth 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232A09" w14:textId="77777777" w:rsidR="008C399E" w:rsidRPr="008C399E" w:rsidRDefault="008C399E" w:rsidP="00921FE7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Health refers physical health, including exercise, healthy eating, vitality a</w:t>
            </w:r>
            <w:r w:rsidRPr="00921FE7">
              <w:rPr>
                <w:rFonts w:ascii="Calibri" w:hAnsi="Calibri" w:cs="Segoe UI"/>
                <w:shd w:val="clear" w:color="auto" w:fill="FFFFFF" w:themeFill="background1"/>
                <w:lang w:eastAsia="en-GB"/>
              </w:rPr>
              <w:t xml:space="preserve">nd sleep </w:t>
            </w:r>
            <w:r w:rsidRPr="00921FE7">
              <w:rPr>
                <w:rFonts w:ascii="Calibri" w:hAnsi="Calibri" w:cs="Segoe UI"/>
                <w:color w:val="000000"/>
                <w:shd w:val="clear" w:color="auto" w:fill="FFFFFF" w:themeFill="background1"/>
                <w:lang w:eastAsia="en-GB"/>
              </w:rPr>
              <w:t xml:space="preserve">(Kern, 2022; McQuaid, </w:t>
            </w:r>
            <w:proofErr w:type="spellStart"/>
            <w:r w:rsidRPr="00921FE7">
              <w:rPr>
                <w:rFonts w:ascii="Calibri" w:hAnsi="Calibri" w:cs="Segoe UI"/>
                <w:color w:val="000000"/>
                <w:shd w:val="clear" w:color="auto" w:fill="FFFFFF" w:themeFill="background1"/>
                <w:lang w:eastAsia="en-GB"/>
              </w:rPr>
              <w:t>n.d</w:t>
            </w:r>
            <w:proofErr w:type="spellEnd"/>
            <w:r w:rsidRPr="00921FE7">
              <w:rPr>
                <w:rFonts w:ascii="Calibri" w:hAnsi="Calibri" w:cs="Segoe UI"/>
                <w:color w:val="000000"/>
                <w:shd w:val="clear" w:color="auto" w:fill="FFFFFF" w:themeFill="background1"/>
                <w:lang w:eastAsia="en-GB"/>
              </w:rPr>
              <w:t>)</w:t>
            </w:r>
            <w:r w:rsidRPr="00921FE7">
              <w:rPr>
                <w:rFonts w:ascii="Calibri" w:hAnsi="Calibri" w:cs="Segoe UI"/>
                <w:shd w:val="clear" w:color="auto" w:fill="FFFFFF" w:themeFill="background1"/>
                <w:lang w:eastAsia="en-GB"/>
              </w:rPr>
              <w:t>.  </w:t>
            </w:r>
          </w:p>
          <w:p w14:paraId="701088F6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34293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Physical health and health behaviours such as sleep, diet/eating behaviours, movement or physical activity, vitality, or energy 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DC8F6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 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4AC1" w14:textId="77777777" w:rsidR="008C399E" w:rsidRPr="008C399E" w:rsidRDefault="008C399E" w:rsidP="008C399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C399E">
              <w:rPr>
                <w:rFonts w:ascii="Calibri" w:hAnsi="Calibri" w:cs="Segoe UI"/>
                <w:lang w:eastAsia="en-GB"/>
              </w:rPr>
              <w:t>“</w:t>
            </w:r>
            <w:r w:rsidRPr="008C399E">
              <w:rPr>
                <w:rFonts w:ascii="Calibri" w:hAnsi="Calibri" w:cs="Segoe UI"/>
                <w:i/>
                <w:iCs/>
                <w:lang w:eastAsia="en-GB"/>
              </w:rPr>
              <w:t>I know for myself personally It makes me feel better and I feel less stressed</w:t>
            </w:r>
            <w:r>
              <w:rPr>
                <w:rFonts w:ascii="Calibri" w:hAnsi="Calibri" w:cs="Segoe UI"/>
                <w:lang w:eastAsia="en-GB"/>
              </w:rPr>
              <w:t>” (</w:t>
            </w:r>
            <w:proofErr w:type="spellStart"/>
            <w:r>
              <w:rPr>
                <w:rFonts w:ascii="Calibri" w:hAnsi="Calibri" w:cs="Segoe UI"/>
                <w:lang w:eastAsia="en-GB"/>
              </w:rPr>
              <w:t>Sofiya</w:t>
            </w:r>
            <w:proofErr w:type="spellEnd"/>
            <w:r w:rsidRPr="008C399E">
              <w:rPr>
                <w:rFonts w:ascii="Calibri" w:hAnsi="Calibri" w:cs="Segoe UI"/>
                <w:lang w:eastAsia="en-GB"/>
              </w:rPr>
              <w:t>) </w:t>
            </w:r>
          </w:p>
        </w:tc>
      </w:tr>
    </w:tbl>
    <w:p w14:paraId="5CC88256" w14:textId="77777777" w:rsidR="00726DE8" w:rsidRDefault="00726DE8">
      <w:pPr>
        <w:sectPr w:rsidR="00726DE8" w:rsidSect="00726DE8">
          <w:pgSz w:w="11894" w:h="16819"/>
          <w:pgMar w:top="1440" w:right="1013" w:bottom="1440" w:left="1440" w:header="706" w:footer="706" w:gutter="0"/>
          <w:cols w:space="720"/>
          <w:docGrid w:linePitch="360"/>
        </w:sectPr>
      </w:pPr>
    </w:p>
    <w:p w14:paraId="133CF848" w14:textId="77777777" w:rsidR="008C399E" w:rsidRDefault="00726DE8">
      <w:r>
        <w:lastRenderedPageBreak/>
        <w:t>Appendix B: Flowchart of participants</w:t>
      </w:r>
    </w:p>
    <w:p w14:paraId="250DB03C" w14:textId="77777777" w:rsidR="00726DE8" w:rsidRDefault="00726DE8"/>
    <w:p w14:paraId="192EAB9E" w14:textId="77777777" w:rsidR="00726DE8" w:rsidRPr="00726DE8" w:rsidRDefault="00726DE8" w:rsidP="00726DE8"/>
    <w:p w14:paraId="2E7A7A42" w14:textId="77777777" w:rsidR="00726DE8" w:rsidRPr="00726DE8" w:rsidRDefault="00726DE8" w:rsidP="00726DE8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3DEA4DF3" wp14:editId="60BD3BC4">
                <wp:extent cx="7407276" cy="3966844"/>
                <wp:effectExtent l="0" t="0" r="22225" b="15240"/>
                <wp:docPr id="134796536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7276" cy="3966844"/>
                          <a:chOff x="0" y="0"/>
                          <a:chExt cx="7407276" cy="3968117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1935435" y="0"/>
                            <a:ext cx="1567685" cy="1126161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AABBE6" w14:textId="77777777" w:rsidR="008C12D8" w:rsidRDefault="008012C2" w:rsidP="008C12D8">
                              <w:pPr>
                                <w:spacing w:line="252" w:lineRule="auto"/>
                                <w:jc w:val="center"/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  <w:t>Phase 1: 58 students completed the pre-intervention survey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3930303" y="0"/>
                            <a:ext cx="1567685" cy="1126161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FB398A" w14:textId="77777777" w:rsidR="008C12D8" w:rsidRDefault="008012C2" w:rsidP="008C12D8">
                              <w:pPr>
                                <w:spacing w:line="252" w:lineRule="auto"/>
                                <w:jc w:val="center"/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  <w:t xml:space="preserve">Phase 2: 57 students completed the </w:t>
                              </w:r>
                              <w:r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  <w:t>post-intervention survey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2539216" y="1403683"/>
                            <a:ext cx="2284399" cy="1340223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89D33" w14:textId="77777777" w:rsidR="008C12D8" w:rsidRDefault="008012C2" w:rsidP="008C12D8">
                              <w:pPr>
                                <w:spacing w:line="252" w:lineRule="auto"/>
                                <w:jc w:val="center"/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  <w:t>33 students provided both pre- and post-intervention survey responses for comparison and were entered into the MANCOVA analysis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  <w:t>(all 33 had engeaged in the Flourish-HE programme)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5771557" y="1051581"/>
                            <a:ext cx="1635719" cy="1126161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D0EABB" w14:textId="77777777" w:rsidR="008C12D8" w:rsidRDefault="008012C2" w:rsidP="008C12D8">
                              <w:pPr>
                                <w:spacing w:line="252" w:lineRule="auto"/>
                                <w:jc w:val="center"/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  <w:t>24 students provided only post-intervention surv</w:t>
                              </w:r>
                              <w:r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  <w:t>ey responses and were not included in the MANCOVA analysis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0" y="1051581"/>
                            <a:ext cx="1635719" cy="1126161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378B78" w14:textId="77777777" w:rsidR="008C12D8" w:rsidRDefault="008012C2" w:rsidP="008C12D8">
                              <w:pPr>
                                <w:spacing w:line="252" w:lineRule="auto"/>
                                <w:jc w:val="center"/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  <w:t>25 students provided only pre-intervention survey responses and were not included in the MANCOVA analysis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7" name="Rectangle: Rounded Corners 7"/>
                        <wps:cNvSpPr/>
                        <wps:spPr>
                          <a:xfrm>
                            <a:off x="2539216" y="3009802"/>
                            <a:ext cx="2284399" cy="95831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93FC31" w14:textId="77777777" w:rsidR="008C12D8" w:rsidRDefault="008012C2" w:rsidP="008C12D8">
                              <w:pPr>
                                <w:spacing w:line="252" w:lineRule="auto"/>
                                <w:jc w:val="center"/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  <w:t>Phase 4: 9 students participated in qualitative follow-up interviews (6 of whom had eng</w:t>
                              </w:r>
                              <w:r>
                                <w:rPr>
                                  <w:rFonts w:eastAsia="Calibri" w:hAnsi="Calibri" w:cs="Calibri"/>
                                  <w:color w:val="FFFFFF"/>
                                  <w:lang w:val="en-US"/>
                                </w:rPr>
                                <w:t>aged in the Flourish-HE programme)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8" name="Arrow: Down 8"/>
                        <wps:cNvSpPr/>
                        <wps:spPr>
                          <a:xfrm>
                            <a:off x="2985906" y="1126162"/>
                            <a:ext cx="284184" cy="263281"/>
                          </a:xfrm>
                          <a:prstGeom prst="down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9" name="Arrow: Down 9"/>
                        <wps:cNvSpPr/>
                        <wps:spPr>
                          <a:xfrm>
                            <a:off x="4245830" y="1126162"/>
                            <a:ext cx="284184" cy="277521"/>
                          </a:xfrm>
                          <a:prstGeom prst="down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0" name="Arrow: Bent-Up 10"/>
                        <wps:cNvSpPr/>
                        <wps:spPr>
                          <a:xfrm rot="10800000">
                            <a:off x="1250158" y="563081"/>
                            <a:ext cx="685278" cy="465792"/>
                          </a:xfrm>
                          <a:prstGeom prst="bentUp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1" name="Arrow: Bent-Up 11"/>
                        <wps:cNvSpPr/>
                        <wps:spPr>
                          <a:xfrm rot="10800000" flipH="1">
                            <a:off x="5497988" y="563081"/>
                            <a:ext cx="767704" cy="465792"/>
                          </a:xfrm>
                          <a:prstGeom prst="bentUp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2" name="Arrow: Bent-Up 12"/>
                        <wps:cNvSpPr/>
                        <wps:spPr>
                          <a:xfrm rot="-5400000" flipH="1">
                            <a:off x="3801378" y="2148397"/>
                            <a:ext cx="2491324" cy="446854"/>
                          </a:xfrm>
                          <a:prstGeom prst="bentUp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mv="urn:schemas-microsoft-com:mac:vml" xmlns:mo="http://schemas.microsoft.com/office/mac/office/2008/main"/>
        </mc:AlternateContent>
      </w:r>
    </w:p>
    <w:p w14:paraId="2BB0EFBF" w14:textId="77777777" w:rsidR="00726DE8" w:rsidRDefault="00726DE8"/>
    <w:sectPr w:rsidR="00726DE8" w:rsidSect="00726DE8">
      <w:pgSz w:w="16819" w:h="11894" w:orient="landscape"/>
      <w:pgMar w:top="1440" w:right="1440" w:bottom="1013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9E"/>
    <w:rsid w:val="0003009B"/>
    <w:rsid w:val="000603E7"/>
    <w:rsid w:val="00164430"/>
    <w:rsid w:val="001C341C"/>
    <w:rsid w:val="001E5830"/>
    <w:rsid w:val="003A577A"/>
    <w:rsid w:val="00450BE2"/>
    <w:rsid w:val="00543DEB"/>
    <w:rsid w:val="005456E2"/>
    <w:rsid w:val="00587567"/>
    <w:rsid w:val="005B379B"/>
    <w:rsid w:val="005E5B0D"/>
    <w:rsid w:val="00707C83"/>
    <w:rsid w:val="00726DE8"/>
    <w:rsid w:val="008012C2"/>
    <w:rsid w:val="00836419"/>
    <w:rsid w:val="008C399E"/>
    <w:rsid w:val="009155C4"/>
    <w:rsid w:val="00921FE7"/>
    <w:rsid w:val="00B923D0"/>
    <w:rsid w:val="00E36B26"/>
    <w:rsid w:val="00F32F43"/>
    <w:rsid w:val="439D5B2C"/>
    <w:rsid w:val="47F702B1"/>
    <w:rsid w:val="526D2374"/>
    <w:rsid w:val="54BC5D5C"/>
    <w:rsid w:val="719FC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D4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399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C399E"/>
  </w:style>
  <w:style w:type="character" w:customStyle="1" w:styleId="eop">
    <w:name w:val="eop"/>
    <w:basedOn w:val="DefaultParagraphFont"/>
    <w:rsid w:val="008C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Frontiers Media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Morgan</dc:creator>
  <cp:keywords/>
  <dc:description/>
  <cp:lastModifiedBy>Elisabetta Zancan</cp:lastModifiedBy>
  <cp:revision>2</cp:revision>
  <dcterms:created xsi:type="dcterms:W3CDTF">2023-03-21T09:09:00Z</dcterms:created>
  <dcterms:modified xsi:type="dcterms:W3CDTF">2023-03-21T09:09:00Z</dcterms:modified>
</cp:coreProperties>
</file>