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AA951" w14:textId="79C62842" w:rsidR="00221850" w:rsidRPr="00221850" w:rsidRDefault="00221850" w:rsidP="00221850">
      <w:pPr>
        <w:spacing w:line="240" w:lineRule="auto"/>
        <w:ind w:right="1253"/>
        <w:rPr>
          <w:b/>
          <w:bCs/>
          <w:noProof/>
          <w:lang w:eastAsia="en-GB"/>
        </w:rPr>
      </w:pPr>
      <w:r w:rsidRPr="00221850">
        <w:rPr>
          <w:b/>
          <w:bCs/>
          <w:noProof/>
          <w:lang w:eastAsia="en-GB"/>
        </w:rPr>
        <w:t>Supplementary Table 2.</w:t>
      </w:r>
    </w:p>
    <w:p w14:paraId="09B5238D" w14:textId="4490AA74" w:rsidR="00221850" w:rsidRDefault="00221850" w:rsidP="00221850">
      <w:pPr>
        <w:tabs>
          <w:tab w:val="left" w:pos="9192"/>
        </w:tabs>
        <w:ind w:right="-22"/>
        <w:rPr>
          <w:bCs/>
          <w:color w:val="000000"/>
        </w:rPr>
      </w:pPr>
      <w:r>
        <w:rPr>
          <w:bCs/>
          <w:color w:val="000000"/>
        </w:rPr>
        <w:t>P</w:t>
      </w:r>
      <w:r w:rsidRPr="007520CA">
        <w:rPr>
          <w:bCs/>
          <w:color w:val="000000"/>
        </w:rPr>
        <w:t xml:space="preserve">hotosynthetic </w:t>
      </w:r>
      <w:r>
        <w:rPr>
          <w:bCs/>
          <w:color w:val="000000"/>
        </w:rPr>
        <w:t>traits</w:t>
      </w:r>
      <w:r w:rsidRPr="007520CA">
        <w:rPr>
          <w:bCs/>
          <w:color w:val="000000"/>
        </w:rPr>
        <w:t xml:space="preserve"> of chlorophyll retention mutant</w:t>
      </w:r>
      <w:r>
        <w:rPr>
          <w:bCs/>
          <w:color w:val="000000"/>
        </w:rPr>
        <w:t xml:space="preserve"> (CRM)</w:t>
      </w:r>
      <w:r w:rsidRPr="007520CA">
        <w:rPr>
          <w:bCs/>
          <w:color w:val="000000"/>
        </w:rPr>
        <w:t xml:space="preserve"> rice lines</w:t>
      </w:r>
      <w:r>
        <w:rPr>
          <w:bCs/>
          <w:color w:val="000000"/>
        </w:rPr>
        <w:t xml:space="preserve"> relative to the parental wild type (WT) IR64 from spot measurements and </w:t>
      </w:r>
      <w:proofErr w:type="spellStart"/>
      <w:r>
        <w:rPr>
          <w:bCs/>
          <w:color w:val="000000"/>
        </w:rPr>
        <w:t>ACi</w:t>
      </w:r>
      <w:proofErr w:type="spellEnd"/>
      <w:r>
        <w:rPr>
          <w:bCs/>
          <w:color w:val="000000"/>
        </w:rPr>
        <w:t xml:space="preserve"> curves. Means and standard error of the means are shown where n≥3 for </w:t>
      </w:r>
      <w:r w:rsidRPr="00517DB7">
        <w:rPr>
          <w:bCs/>
          <w:color w:val="000000"/>
        </w:rPr>
        <w:t>A400</w:t>
      </w:r>
      <w:r>
        <w:rPr>
          <w:bCs/>
          <w:color w:val="000000"/>
        </w:rPr>
        <w:t xml:space="preserve"> (</w:t>
      </w:r>
      <w:proofErr w:type="spellStart"/>
      <w:r w:rsidRPr="00C377D2">
        <w:rPr>
          <w:bCs/>
          <w:color w:val="000000"/>
        </w:rPr>
        <w:t>μmol</w:t>
      </w:r>
      <w:proofErr w:type="spellEnd"/>
      <w:r w:rsidRPr="00C377D2">
        <w:rPr>
          <w:bCs/>
          <w:color w:val="000000"/>
        </w:rPr>
        <w:t xml:space="preserve"> m</w:t>
      </w:r>
      <w:r w:rsidRPr="00C377D2">
        <w:rPr>
          <w:bCs/>
          <w:color w:val="000000"/>
          <w:vertAlign w:val="superscript"/>
        </w:rPr>
        <w:t>−2</w:t>
      </w:r>
      <w:r w:rsidRPr="00C377D2">
        <w:rPr>
          <w:bCs/>
          <w:color w:val="000000"/>
        </w:rPr>
        <w:t xml:space="preserve"> s</w:t>
      </w:r>
      <w:r w:rsidRPr="00C377D2">
        <w:rPr>
          <w:bCs/>
          <w:color w:val="000000"/>
          <w:vertAlign w:val="superscript"/>
        </w:rPr>
        <w:t>−1</w:t>
      </w:r>
      <w:r>
        <w:rPr>
          <w:bCs/>
          <w:color w:val="000000"/>
        </w:rPr>
        <w:t>)</w:t>
      </w:r>
      <w:r w:rsidRPr="00517DB7">
        <w:rPr>
          <w:bCs/>
          <w:color w:val="000000"/>
        </w:rPr>
        <w:t>: Photosynthetic rate at 400 ppm CO</w:t>
      </w:r>
      <w:r w:rsidRPr="00F760E0">
        <w:rPr>
          <w:bCs/>
          <w:color w:val="000000"/>
          <w:vertAlign w:val="subscript"/>
        </w:rPr>
        <w:t>2</w:t>
      </w:r>
      <w:r w:rsidRPr="00517DB7">
        <w:rPr>
          <w:bCs/>
          <w:color w:val="000000"/>
        </w:rPr>
        <w:t xml:space="preserve"> concentration; Г</w:t>
      </w:r>
      <w:r>
        <w:rPr>
          <w:bCs/>
          <w:color w:val="000000"/>
        </w:rPr>
        <w:t xml:space="preserve"> (</w:t>
      </w:r>
      <w:proofErr w:type="spellStart"/>
      <w:r w:rsidRPr="00C377D2">
        <w:rPr>
          <w:bCs/>
          <w:color w:val="000000"/>
        </w:rPr>
        <w:t>μmol</w:t>
      </w:r>
      <w:proofErr w:type="spellEnd"/>
      <w:r w:rsidRPr="00C377D2">
        <w:rPr>
          <w:bCs/>
          <w:color w:val="000000"/>
        </w:rPr>
        <w:t xml:space="preserve"> m</w:t>
      </w:r>
      <w:r>
        <w:rPr>
          <w:bCs/>
          <w:color w:val="000000"/>
        </w:rPr>
        <w:t>ol</w:t>
      </w:r>
      <w:r w:rsidRPr="00C377D2">
        <w:rPr>
          <w:bCs/>
          <w:color w:val="000000"/>
          <w:vertAlign w:val="superscript"/>
        </w:rPr>
        <w:t>−1</w:t>
      </w:r>
      <w:r>
        <w:rPr>
          <w:bCs/>
          <w:color w:val="000000"/>
        </w:rPr>
        <w:t>)</w:t>
      </w:r>
      <w:r w:rsidRPr="00517DB7">
        <w:rPr>
          <w:bCs/>
          <w:color w:val="000000"/>
        </w:rPr>
        <w:t>: CO</w:t>
      </w:r>
      <w:r w:rsidRPr="00F760E0">
        <w:rPr>
          <w:bCs/>
          <w:color w:val="000000"/>
          <w:vertAlign w:val="subscript"/>
        </w:rPr>
        <w:t xml:space="preserve">2 </w:t>
      </w:r>
      <w:r w:rsidRPr="00517DB7">
        <w:rPr>
          <w:bCs/>
          <w:color w:val="000000"/>
        </w:rPr>
        <w:t>compensation point</w:t>
      </w:r>
      <w:r>
        <w:rPr>
          <w:bCs/>
          <w:color w:val="000000"/>
        </w:rPr>
        <w:t>;</w:t>
      </w:r>
      <w:r w:rsidRPr="00517DB7">
        <w:rPr>
          <w:bCs/>
          <w:color w:val="000000"/>
        </w:rPr>
        <w:t xml:space="preserve"> CE</w:t>
      </w:r>
      <w:r>
        <w:rPr>
          <w:bCs/>
          <w:color w:val="000000"/>
        </w:rPr>
        <w:t xml:space="preserve"> (</w:t>
      </w:r>
      <w:r w:rsidRPr="00C377D2">
        <w:rPr>
          <w:bCs/>
          <w:color w:val="000000"/>
        </w:rPr>
        <w:t>mol m</w:t>
      </w:r>
      <w:r w:rsidRPr="00C377D2">
        <w:rPr>
          <w:bCs/>
          <w:color w:val="000000"/>
          <w:vertAlign w:val="superscript"/>
        </w:rPr>
        <w:t>−2</w:t>
      </w:r>
      <w:r w:rsidRPr="00C377D2">
        <w:rPr>
          <w:bCs/>
          <w:color w:val="000000"/>
        </w:rPr>
        <w:t xml:space="preserve"> s</w:t>
      </w:r>
      <w:r w:rsidRPr="00C377D2">
        <w:rPr>
          <w:bCs/>
          <w:color w:val="000000"/>
          <w:vertAlign w:val="superscript"/>
        </w:rPr>
        <w:t>−1</w:t>
      </w:r>
      <w:r>
        <w:rPr>
          <w:bCs/>
          <w:color w:val="000000"/>
        </w:rPr>
        <w:t>)</w:t>
      </w:r>
      <w:r w:rsidRPr="00517DB7">
        <w:rPr>
          <w:bCs/>
          <w:color w:val="000000"/>
        </w:rPr>
        <w:t>: carboxylation efficiency; Ci</w:t>
      </w:r>
      <w:r>
        <w:rPr>
          <w:bCs/>
          <w:color w:val="000000"/>
        </w:rPr>
        <w:t xml:space="preserve"> (</w:t>
      </w:r>
      <w:proofErr w:type="spellStart"/>
      <w:r w:rsidRPr="00C377D2">
        <w:rPr>
          <w:bCs/>
          <w:color w:val="000000"/>
        </w:rPr>
        <w:t>μmol</w:t>
      </w:r>
      <w:proofErr w:type="spellEnd"/>
      <w:r w:rsidRPr="00C377D2">
        <w:rPr>
          <w:bCs/>
          <w:color w:val="000000"/>
        </w:rPr>
        <w:t xml:space="preserve"> m</w:t>
      </w:r>
      <w:r>
        <w:rPr>
          <w:bCs/>
          <w:color w:val="000000"/>
        </w:rPr>
        <w:t>ol</w:t>
      </w:r>
      <w:r w:rsidRPr="00C377D2">
        <w:rPr>
          <w:bCs/>
          <w:color w:val="000000"/>
          <w:vertAlign w:val="superscript"/>
        </w:rPr>
        <w:t>−1</w:t>
      </w:r>
      <w:r>
        <w:rPr>
          <w:bCs/>
          <w:color w:val="000000"/>
        </w:rPr>
        <w:t>)</w:t>
      </w:r>
      <w:r w:rsidRPr="00517DB7">
        <w:rPr>
          <w:bCs/>
          <w:color w:val="000000"/>
        </w:rPr>
        <w:t xml:space="preserve">: </w:t>
      </w:r>
      <w:r>
        <w:rPr>
          <w:bCs/>
          <w:color w:val="000000"/>
        </w:rPr>
        <w:t>i</w:t>
      </w:r>
      <w:r w:rsidRPr="00517DB7">
        <w:rPr>
          <w:bCs/>
          <w:color w:val="000000"/>
        </w:rPr>
        <w:t>ntercellular CO</w:t>
      </w:r>
      <w:r w:rsidRPr="00F760E0">
        <w:rPr>
          <w:bCs/>
          <w:color w:val="000000"/>
          <w:vertAlign w:val="subscript"/>
        </w:rPr>
        <w:t>2</w:t>
      </w:r>
      <w:r w:rsidRPr="00517DB7">
        <w:rPr>
          <w:bCs/>
          <w:color w:val="000000"/>
        </w:rPr>
        <w:t xml:space="preserve"> concentration; </w:t>
      </w:r>
      <w:proofErr w:type="spellStart"/>
      <w:r w:rsidRPr="00F760E0">
        <w:rPr>
          <w:bCs/>
          <w:i/>
          <w:iCs/>
          <w:color w:val="000000"/>
        </w:rPr>
        <w:t>gs</w:t>
      </w:r>
      <w:proofErr w:type="spellEnd"/>
      <w:r>
        <w:rPr>
          <w:bCs/>
          <w:i/>
          <w:iCs/>
          <w:color w:val="000000"/>
        </w:rPr>
        <w:t xml:space="preserve"> </w:t>
      </w:r>
      <w:r>
        <w:rPr>
          <w:bCs/>
          <w:color w:val="000000"/>
        </w:rPr>
        <w:t>(m</w:t>
      </w:r>
      <w:r w:rsidRPr="00C377D2">
        <w:rPr>
          <w:bCs/>
          <w:color w:val="000000"/>
        </w:rPr>
        <w:t>mol m</w:t>
      </w:r>
      <w:r w:rsidRPr="00C377D2">
        <w:rPr>
          <w:bCs/>
          <w:color w:val="000000"/>
          <w:vertAlign w:val="superscript"/>
        </w:rPr>
        <w:t>−2</w:t>
      </w:r>
      <w:r w:rsidRPr="00C377D2">
        <w:rPr>
          <w:bCs/>
          <w:color w:val="000000"/>
        </w:rPr>
        <w:t xml:space="preserve"> s</w:t>
      </w:r>
      <w:r w:rsidRPr="00C377D2">
        <w:rPr>
          <w:bCs/>
          <w:color w:val="000000"/>
          <w:vertAlign w:val="superscript"/>
        </w:rPr>
        <w:t>−1</w:t>
      </w:r>
      <w:r>
        <w:rPr>
          <w:bCs/>
          <w:color w:val="000000"/>
        </w:rPr>
        <w:t>)</w:t>
      </w:r>
      <w:r w:rsidRPr="00517DB7">
        <w:rPr>
          <w:bCs/>
          <w:color w:val="000000"/>
        </w:rPr>
        <w:t>: Stomatal conductance. *</w:t>
      </w:r>
      <w:r>
        <w:rPr>
          <w:bCs/>
          <w:color w:val="000000"/>
        </w:rPr>
        <w:t xml:space="preserve"> and **</w:t>
      </w:r>
      <w:r w:rsidRPr="00517DB7">
        <w:rPr>
          <w:bCs/>
          <w:color w:val="000000"/>
        </w:rPr>
        <w:t xml:space="preserve"> indicates significant differences between </w:t>
      </w:r>
      <w:r>
        <w:rPr>
          <w:bCs/>
          <w:color w:val="000000"/>
        </w:rPr>
        <w:t>lines according to ANOVA at P &lt; 0.01 and P &lt; 0.001, respectively</w:t>
      </w:r>
      <w:r w:rsidRPr="00517DB7">
        <w:rPr>
          <w:bCs/>
          <w:color w:val="000000"/>
        </w:rPr>
        <w:t xml:space="preserve"> (p&lt;0.05</w:t>
      </w:r>
      <w:r w:rsidRPr="00E4718F">
        <w:rPr>
          <w:bCs/>
          <w:color w:val="000000"/>
        </w:rPr>
        <w:t xml:space="preserve">). </w:t>
      </w:r>
      <w:r w:rsidR="00E4718F" w:rsidRPr="00E4718F">
        <w:rPr>
          <w:bCs/>
          <w:color w:val="000000"/>
        </w:rPr>
        <w:t>L</w:t>
      </w:r>
      <w:r w:rsidRPr="00E4718F">
        <w:rPr>
          <w:bCs/>
          <w:color w:val="000000"/>
        </w:rPr>
        <w:t>etters indicat</w:t>
      </w:r>
      <w:r w:rsidR="00E4718F" w:rsidRPr="00E4718F">
        <w:rPr>
          <w:bCs/>
          <w:color w:val="000000"/>
        </w:rPr>
        <w:t>e</w:t>
      </w:r>
      <w:r w:rsidRPr="00E4718F">
        <w:rPr>
          <w:bCs/>
          <w:color w:val="000000"/>
        </w:rPr>
        <w:t xml:space="preserve"> differences according to post-hoc Bonferroni test.</w:t>
      </w:r>
      <w:r w:rsidRPr="007520CA" w:rsidDel="006F3F68">
        <w:rPr>
          <w:bCs/>
          <w:color w:val="000000"/>
        </w:rPr>
        <w:t xml:space="preserve"> </w:t>
      </w:r>
    </w:p>
    <w:p w14:paraId="4203607E" w14:textId="77777777" w:rsidR="00221850" w:rsidRDefault="00221850" w:rsidP="00221850">
      <w:pPr>
        <w:spacing w:line="240" w:lineRule="auto"/>
        <w:ind w:right="1253"/>
        <w:rPr>
          <w:noProof/>
          <w:lang w:eastAsia="en-GB"/>
        </w:rPr>
      </w:pPr>
    </w:p>
    <w:p w14:paraId="495C90FF" w14:textId="41F8C72A" w:rsidR="00221850" w:rsidRDefault="00221850" w:rsidP="00221850">
      <w:pPr>
        <w:spacing w:line="240" w:lineRule="auto"/>
        <w:ind w:right="1253"/>
        <w:rPr>
          <w:noProof/>
          <w:lang w:eastAsia="en-GB"/>
        </w:rPr>
      </w:pPr>
    </w:p>
    <w:p w14:paraId="7FFD6D9F" w14:textId="77777777" w:rsidR="00221850" w:rsidRDefault="00221850" w:rsidP="00221850">
      <w:pPr>
        <w:spacing w:line="240" w:lineRule="auto"/>
        <w:ind w:right="1253"/>
        <w:rPr>
          <w:noProof/>
          <w:lang w:eastAsia="en-GB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4"/>
        <w:gridCol w:w="1361"/>
        <w:gridCol w:w="1304"/>
        <w:gridCol w:w="1502"/>
        <w:gridCol w:w="1276"/>
        <w:gridCol w:w="1247"/>
        <w:gridCol w:w="1304"/>
      </w:tblGrid>
      <w:tr w:rsidR="00221850" w:rsidRPr="00DC32BB" w14:paraId="6E26F032" w14:textId="77777777" w:rsidTr="00F760E0">
        <w:trPr>
          <w:jc w:val="center"/>
        </w:trPr>
        <w:tc>
          <w:tcPr>
            <w:tcW w:w="964" w:type="dxa"/>
            <w:vAlign w:val="center"/>
          </w:tcPr>
          <w:p w14:paraId="606E6184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18"/>
                <w:szCs w:val="18"/>
              </w:rPr>
            </w:pPr>
            <w:r w:rsidRPr="001675E4">
              <w:rPr>
                <w:rFonts w:eastAsia="Times New Roman"/>
                <w:b/>
                <w:bCs/>
                <w:sz w:val="18"/>
                <w:szCs w:val="18"/>
                <w:lang w:val="en-US" w:eastAsia="en-GB" w:bidi="ta-IN"/>
              </w:rPr>
              <w:t>Genotype</w:t>
            </w:r>
          </w:p>
        </w:tc>
        <w:tc>
          <w:tcPr>
            <w:tcW w:w="1361" w:type="dxa"/>
            <w:vAlign w:val="center"/>
          </w:tcPr>
          <w:p w14:paraId="059FDDA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A400</w:t>
            </w:r>
            <w:r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**</w:t>
            </w:r>
          </w:p>
        </w:tc>
        <w:tc>
          <w:tcPr>
            <w:tcW w:w="1304" w:type="dxa"/>
            <w:vAlign w:val="center"/>
          </w:tcPr>
          <w:p w14:paraId="6107C55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Ci</w:t>
            </w:r>
            <w:r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*</w:t>
            </w:r>
          </w:p>
        </w:tc>
        <w:tc>
          <w:tcPr>
            <w:tcW w:w="1502" w:type="dxa"/>
            <w:vAlign w:val="center"/>
          </w:tcPr>
          <w:p w14:paraId="022B24E8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g</w:t>
            </w:r>
            <w:r w:rsidRPr="00DC32BB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s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**</w:t>
            </w:r>
          </w:p>
        </w:tc>
        <w:tc>
          <w:tcPr>
            <w:tcW w:w="1276" w:type="dxa"/>
            <w:vAlign w:val="center"/>
          </w:tcPr>
          <w:p w14:paraId="4C337A8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Г</w:t>
            </w:r>
            <w:r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**</w:t>
            </w:r>
          </w:p>
        </w:tc>
        <w:tc>
          <w:tcPr>
            <w:tcW w:w="1247" w:type="dxa"/>
            <w:vAlign w:val="center"/>
          </w:tcPr>
          <w:p w14:paraId="6DF040E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CE</w:t>
            </w:r>
            <w:r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**</w:t>
            </w:r>
          </w:p>
        </w:tc>
        <w:tc>
          <w:tcPr>
            <w:tcW w:w="1304" w:type="dxa"/>
            <w:vAlign w:val="center"/>
          </w:tcPr>
          <w:p w14:paraId="34F67658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Ro</w:t>
            </w:r>
            <w:r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**</w:t>
            </w:r>
          </w:p>
        </w:tc>
      </w:tr>
      <w:tr w:rsidR="00221850" w:rsidRPr="00DC32BB" w14:paraId="4EDE3F46" w14:textId="77777777" w:rsidTr="00F760E0">
        <w:trPr>
          <w:jc w:val="center"/>
        </w:trPr>
        <w:tc>
          <w:tcPr>
            <w:tcW w:w="964" w:type="dxa"/>
          </w:tcPr>
          <w:p w14:paraId="66D9B362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</w:pPr>
            <w:r w:rsidRPr="001675E4">
              <w:rPr>
                <w:b/>
                <w:bCs/>
                <w:sz w:val="20"/>
                <w:szCs w:val="20"/>
              </w:rPr>
              <w:t>WT</w:t>
            </w:r>
          </w:p>
        </w:tc>
        <w:tc>
          <w:tcPr>
            <w:tcW w:w="1361" w:type="dxa"/>
            <w:vAlign w:val="center"/>
          </w:tcPr>
          <w:p w14:paraId="48C3B54E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22.15±0.78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170F511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314.60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7.07</w:t>
            </w:r>
          </w:p>
        </w:tc>
        <w:tc>
          <w:tcPr>
            <w:tcW w:w="1502" w:type="dxa"/>
          </w:tcPr>
          <w:p w14:paraId="41A6E4CE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0.59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abcdefg</w:t>
            </w:r>
          </w:p>
        </w:tc>
        <w:tc>
          <w:tcPr>
            <w:tcW w:w="1276" w:type="dxa"/>
          </w:tcPr>
          <w:p w14:paraId="3AA47992" w14:textId="77777777" w:rsidR="00221850" w:rsidRPr="001D60C6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vertAlign w:val="superscript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58.76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1.67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47" w:type="dxa"/>
          </w:tcPr>
          <w:p w14:paraId="52D89B7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0.11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5AD23F9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6.45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0.25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350D6E65" w14:textId="77777777" w:rsidTr="00F760E0">
        <w:trPr>
          <w:jc w:val="center"/>
        </w:trPr>
        <w:tc>
          <w:tcPr>
            <w:tcW w:w="964" w:type="dxa"/>
          </w:tcPr>
          <w:p w14:paraId="3F2E3BD8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24</w:t>
            </w:r>
          </w:p>
        </w:tc>
        <w:tc>
          <w:tcPr>
            <w:tcW w:w="1361" w:type="dxa"/>
            <w:vAlign w:val="center"/>
          </w:tcPr>
          <w:p w14:paraId="6BBA980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20.96±0.72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7066EDC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326.07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1.72</w:t>
            </w:r>
          </w:p>
        </w:tc>
        <w:tc>
          <w:tcPr>
            <w:tcW w:w="1502" w:type="dxa"/>
          </w:tcPr>
          <w:p w14:paraId="37BBDB5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0.60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abcdefgh</w:t>
            </w:r>
          </w:p>
        </w:tc>
        <w:tc>
          <w:tcPr>
            <w:tcW w:w="1276" w:type="dxa"/>
          </w:tcPr>
          <w:p w14:paraId="3CDB0E98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65.58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1.58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3ACBC392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361A968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6.35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0.36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55616CC1" w14:textId="77777777" w:rsidTr="00F760E0">
        <w:trPr>
          <w:jc w:val="center"/>
        </w:trPr>
        <w:tc>
          <w:tcPr>
            <w:tcW w:w="964" w:type="dxa"/>
          </w:tcPr>
          <w:p w14:paraId="5F50D8C1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25</w:t>
            </w:r>
          </w:p>
        </w:tc>
        <w:tc>
          <w:tcPr>
            <w:tcW w:w="1361" w:type="dxa"/>
            <w:vAlign w:val="center"/>
          </w:tcPr>
          <w:p w14:paraId="3B98499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19.31±0.77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5C4B1744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322.39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6.85</w:t>
            </w:r>
          </w:p>
        </w:tc>
        <w:tc>
          <w:tcPr>
            <w:tcW w:w="1502" w:type="dxa"/>
          </w:tcPr>
          <w:p w14:paraId="47C8728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0.55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0.06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</w:t>
            </w:r>
          </w:p>
        </w:tc>
        <w:tc>
          <w:tcPr>
            <w:tcW w:w="1276" w:type="dxa"/>
          </w:tcPr>
          <w:p w14:paraId="6FDDA0C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66.22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4.51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246E751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0.09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3C8F028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6.20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0.44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1DA4E896" w14:textId="77777777" w:rsidTr="00F760E0">
        <w:trPr>
          <w:jc w:val="center"/>
        </w:trPr>
        <w:tc>
          <w:tcPr>
            <w:tcW w:w="964" w:type="dxa"/>
          </w:tcPr>
          <w:p w14:paraId="15961549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26</w:t>
            </w:r>
          </w:p>
        </w:tc>
        <w:tc>
          <w:tcPr>
            <w:tcW w:w="1361" w:type="dxa"/>
            <w:vAlign w:val="center"/>
          </w:tcPr>
          <w:p w14:paraId="39BB5DF2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25.93±0.94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640FF13E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337.30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2.09</w:t>
            </w:r>
          </w:p>
        </w:tc>
        <w:tc>
          <w:tcPr>
            <w:tcW w:w="1502" w:type="dxa"/>
          </w:tcPr>
          <w:p w14:paraId="52A6B9AE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0.88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0.05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befgh</w:t>
            </w:r>
          </w:p>
        </w:tc>
        <w:tc>
          <w:tcPr>
            <w:tcW w:w="1276" w:type="dxa"/>
          </w:tcPr>
          <w:p w14:paraId="612E201A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55.19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2.34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47" w:type="dxa"/>
          </w:tcPr>
          <w:p w14:paraId="419261C2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c</w:t>
            </w:r>
          </w:p>
        </w:tc>
        <w:tc>
          <w:tcPr>
            <w:tcW w:w="1304" w:type="dxa"/>
          </w:tcPr>
          <w:p w14:paraId="27BD20E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8.41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0.64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</w:tr>
      <w:tr w:rsidR="00221850" w:rsidRPr="00DC32BB" w14:paraId="021523FC" w14:textId="77777777" w:rsidTr="00F760E0">
        <w:trPr>
          <w:jc w:val="center"/>
        </w:trPr>
        <w:tc>
          <w:tcPr>
            <w:tcW w:w="964" w:type="dxa"/>
          </w:tcPr>
          <w:p w14:paraId="5A7B76B7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27</w:t>
            </w:r>
          </w:p>
        </w:tc>
        <w:tc>
          <w:tcPr>
            <w:tcW w:w="1361" w:type="dxa"/>
            <w:vAlign w:val="center"/>
          </w:tcPr>
          <w:p w14:paraId="4D863B7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25.40±1.79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31A4678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305.55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7.12</w:t>
            </w:r>
          </w:p>
        </w:tc>
        <w:tc>
          <w:tcPr>
            <w:tcW w:w="1502" w:type="dxa"/>
          </w:tcPr>
          <w:p w14:paraId="0B236B7A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0.58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0.05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</w:t>
            </w:r>
          </w:p>
        </w:tc>
        <w:tc>
          <w:tcPr>
            <w:tcW w:w="1276" w:type="dxa"/>
          </w:tcPr>
          <w:p w14:paraId="68DECFD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57.25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3.04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47" w:type="dxa"/>
          </w:tcPr>
          <w:p w14:paraId="46D8E8AA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c</w:t>
            </w:r>
          </w:p>
        </w:tc>
        <w:tc>
          <w:tcPr>
            <w:tcW w:w="1304" w:type="dxa"/>
          </w:tcPr>
          <w:p w14:paraId="0A628F03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8.57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0.27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bd</w:t>
            </w:r>
          </w:p>
        </w:tc>
      </w:tr>
      <w:tr w:rsidR="00221850" w:rsidRPr="00DC32BB" w14:paraId="70D8BD29" w14:textId="77777777" w:rsidTr="00F760E0">
        <w:trPr>
          <w:jc w:val="center"/>
        </w:trPr>
        <w:tc>
          <w:tcPr>
            <w:tcW w:w="964" w:type="dxa"/>
          </w:tcPr>
          <w:p w14:paraId="00122F60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29</w:t>
            </w:r>
          </w:p>
        </w:tc>
        <w:tc>
          <w:tcPr>
            <w:tcW w:w="1361" w:type="dxa"/>
            <w:vAlign w:val="center"/>
          </w:tcPr>
          <w:p w14:paraId="54B02B8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24.65±0.62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0582A69E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339.90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3.40</w:t>
            </w:r>
          </w:p>
        </w:tc>
        <w:tc>
          <w:tcPr>
            <w:tcW w:w="1502" w:type="dxa"/>
          </w:tcPr>
          <w:p w14:paraId="003EB65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0.95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0.05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fh</w:t>
            </w:r>
          </w:p>
        </w:tc>
        <w:tc>
          <w:tcPr>
            <w:tcW w:w="1276" w:type="dxa"/>
          </w:tcPr>
          <w:p w14:paraId="00E70C1E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49.02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0.31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47" w:type="dxa"/>
          </w:tcPr>
          <w:p w14:paraId="3AC897D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3C7508A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5.75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0.30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02C83FD8" w14:textId="77777777" w:rsidTr="00F760E0">
        <w:trPr>
          <w:jc w:val="center"/>
        </w:trPr>
        <w:tc>
          <w:tcPr>
            <w:tcW w:w="964" w:type="dxa"/>
          </w:tcPr>
          <w:p w14:paraId="45DDC255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31</w:t>
            </w:r>
          </w:p>
        </w:tc>
        <w:tc>
          <w:tcPr>
            <w:tcW w:w="1361" w:type="dxa"/>
            <w:vAlign w:val="center"/>
          </w:tcPr>
          <w:p w14:paraId="67751B3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22.58±1.49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12A1A26A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313.06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4.67</w:t>
            </w:r>
          </w:p>
        </w:tc>
        <w:tc>
          <w:tcPr>
            <w:tcW w:w="1502" w:type="dxa"/>
          </w:tcPr>
          <w:p w14:paraId="5DE06E0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0.50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276" w:type="dxa"/>
          </w:tcPr>
          <w:p w14:paraId="05EA2B9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60.32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3.11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0396C494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4A00264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7.54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0.74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21781026" w14:textId="77777777" w:rsidTr="00F760E0">
        <w:trPr>
          <w:jc w:val="center"/>
        </w:trPr>
        <w:tc>
          <w:tcPr>
            <w:tcW w:w="964" w:type="dxa"/>
          </w:tcPr>
          <w:p w14:paraId="5745E5BC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32</w:t>
            </w:r>
          </w:p>
        </w:tc>
        <w:tc>
          <w:tcPr>
            <w:tcW w:w="1361" w:type="dxa"/>
            <w:vAlign w:val="center"/>
          </w:tcPr>
          <w:p w14:paraId="2F8B33D8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20.95±0.83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0A50A81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320.43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4.37</w:t>
            </w:r>
          </w:p>
        </w:tc>
        <w:tc>
          <w:tcPr>
            <w:tcW w:w="1502" w:type="dxa"/>
          </w:tcPr>
          <w:p w14:paraId="534CF37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0.53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276" w:type="dxa"/>
          </w:tcPr>
          <w:p w14:paraId="4A24DAC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64.97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3.65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02EA914A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0.00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7BD47AC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6.26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0.16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1C5070AD" w14:textId="77777777" w:rsidTr="00F760E0">
        <w:trPr>
          <w:jc w:val="center"/>
        </w:trPr>
        <w:tc>
          <w:tcPr>
            <w:tcW w:w="964" w:type="dxa"/>
          </w:tcPr>
          <w:p w14:paraId="16104E29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33</w:t>
            </w:r>
          </w:p>
        </w:tc>
        <w:tc>
          <w:tcPr>
            <w:tcW w:w="1361" w:type="dxa"/>
            <w:vAlign w:val="center"/>
          </w:tcPr>
          <w:p w14:paraId="0A9331E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22.19±0.60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4BEDDE1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319.88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3.28</w:t>
            </w:r>
          </w:p>
        </w:tc>
        <w:tc>
          <w:tcPr>
            <w:tcW w:w="1502" w:type="dxa"/>
          </w:tcPr>
          <w:p w14:paraId="7F6E8952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0.57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</w:t>
            </w:r>
          </w:p>
        </w:tc>
        <w:tc>
          <w:tcPr>
            <w:tcW w:w="1276" w:type="dxa"/>
          </w:tcPr>
          <w:p w14:paraId="4E9714F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59.87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1.08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150CEDA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2C06CF6E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6.53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0.37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6D89BA99" w14:textId="77777777" w:rsidTr="00F760E0">
        <w:trPr>
          <w:jc w:val="center"/>
        </w:trPr>
        <w:tc>
          <w:tcPr>
            <w:tcW w:w="964" w:type="dxa"/>
          </w:tcPr>
          <w:p w14:paraId="54FF5BC9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34</w:t>
            </w:r>
          </w:p>
        </w:tc>
        <w:tc>
          <w:tcPr>
            <w:tcW w:w="1361" w:type="dxa"/>
            <w:vAlign w:val="center"/>
          </w:tcPr>
          <w:p w14:paraId="63711E0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19.08±1.37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304" w:type="dxa"/>
          </w:tcPr>
          <w:p w14:paraId="059A2E5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313.78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7.77</w:t>
            </w:r>
          </w:p>
        </w:tc>
        <w:tc>
          <w:tcPr>
            <w:tcW w:w="1502" w:type="dxa"/>
          </w:tcPr>
          <w:p w14:paraId="06EF944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0.47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0.08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76" w:type="dxa"/>
          </w:tcPr>
          <w:p w14:paraId="3016FEE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61.68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0.77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7D3E4287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0.09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588B27F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5.55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0.53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</w:tr>
      <w:tr w:rsidR="00221850" w:rsidRPr="00DC32BB" w14:paraId="2D94A832" w14:textId="77777777" w:rsidTr="00F760E0">
        <w:trPr>
          <w:jc w:val="center"/>
        </w:trPr>
        <w:tc>
          <w:tcPr>
            <w:tcW w:w="964" w:type="dxa"/>
          </w:tcPr>
          <w:p w14:paraId="57C8676E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35</w:t>
            </w:r>
          </w:p>
        </w:tc>
        <w:tc>
          <w:tcPr>
            <w:tcW w:w="1361" w:type="dxa"/>
            <w:vAlign w:val="center"/>
          </w:tcPr>
          <w:p w14:paraId="3E34DDD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13.90±4.30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304" w:type="dxa"/>
          </w:tcPr>
          <w:p w14:paraId="0D3097F8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291.96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24.31</w:t>
            </w:r>
          </w:p>
        </w:tc>
        <w:tc>
          <w:tcPr>
            <w:tcW w:w="1502" w:type="dxa"/>
          </w:tcPr>
          <w:p w14:paraId="1C42C46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0.38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0.07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76" w:type="dxa"/>
          </w:tcPr>
          <w:p w14:paraId="4875B647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79.83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9.74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</w:t>
            </w:r>
          </w:p>
        </w:tc>
        <w:tc>
          <w:tcPr>
            <w:tcW w:w="1247" w:type="dxa"/>
          </w:tcPr>
          <w:p w14:paraId="66DE9C3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0.08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0.02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304" w:type="dxa"/>
          </w:tcPr>
          <w:p w14:paraId="051C667E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5.56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1.02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</w:tr>
      <w:tr w:rsidR="00221850" w:rsidRPr="00DC32BB" w14:paraId="4B76AE7B" w14:textId="77777777" w:rsidTr="00F760E0">
        <w:trPr>
          <w:jc w:val="center"/>
        </w:trPr>
        <w:tc>
          <w:tcPr>
            <w:tcW w:w="964" w:type="dxa"/>
          </w:tcPr>
          <w:p w14:paraId="3B055763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36</w:t>
            </w:r>
          </w:p>
        </w:tc>
        <w:tc>
          <w:tcPr>
            <w:tcW w:w="1361" w:type="dxa"/>
            <w:vAlign w:val="center"/>
          </w:tcPr>
          <w:p w14:paraId="56F646E8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21.44±1.21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410B193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322.50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4.10</w:t>
            </w:r>
          </w:p>
        </w:tc>
        <w:tc>
          <w:tcPr>
            <w:tcW w:w="1502" w:type="dxa"/>
          </w:tcPr>
          <w:p w14:paraId="61D3DC4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0.58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0.06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</w:t>
            </w:r>
          </w:p>
        </w:tc>
        <w:tc>
          <w:tcPr>
            <w:tcW w:w="1276" w:type="dxa"/>
          </w:tcPr>
          <w:p w14:paraId="17B7571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61.75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1.46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6F9483B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2F8CE69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6.78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0.80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5236A7C8" w14:textId="77777777" w:rsidTr="00F760E0">
        <w:trPr>
          <w:jc w:val="center"/>
        </w:trPr>
        <w:tc>
          <w:tcPr>
            <w:tcW w:w="964" w:type="dxa"/>
          </w:tcPr>
          <w:p w14:paraId="2310820C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37</w:t>
            </w:r>
          </w:p>
        </w:tc>
        <w:tc>
          <w:tcPr>
            <w:tcW w:w="1361" w:type="dxa"/>
            <w:vAlign w:val="center"/>
          </w:tcPr>
          <w:p w14:paraId="4B59C64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22.78±1.02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4E1842F2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324.87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5.24</w:t>
            </w:r>
          </w:p>
        </w:tc>
        <w:tc>
          <w:tcPr>
            <w:tcW w:w="1502" w:type="dxa"/>
          </w:tcPr>
          <w:p w14:paraId="13CD1DC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0.70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0.04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abcdefgh</w:t>
            </w:r>
          </w:p>
        </w:tc>
        <w:tc>
          <w:tcPr>
            <w:tcW w:w="1276" w:type="dxa"/>
          </w:tcPr>
          <w:p w14:paraId="3EFB0E7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53.27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1.59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47" w:type="dxa"/>
          </w:tcPr>
          <w:p w14:paraId="4065C7AA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1BA98A98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6.24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0.74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12A156F6" w14:textId="77777777" w:rsidTr="00F760E0">
        <w:trPr>
          <w:jc w:val="center"/>
        </w:trPr>
        <w:tc>
          <w:tcPr>
            <w:tcW w:w="964" w:type="dxa"/>
          </w:tcPr>
          <w:p w14:paraId="15CF9733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38</w:t>
            </w:r>
          </w:p>
        </w:tc>
        <w:tc>
          <w:tcPr>
            <w:tcW w:w="1361" w:type="dxa"/>
            <w:vAlign w:val="center"/>
          </w:tcPr>
          <w:p w14:paraId="57E83673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25.19±1.13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027DB917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307.48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8.36</w:t>
            </w:r>
          </w:p>
        </w:tc>
        <w:tc>
          <w:tcPr>
            <w:tcW w:w="1502" w:type="dxa"/>
          </w:tcPr>
          <w:p w14:paraId="2C325CA2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0.62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0.04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abcdefgh</w:t>
            </w:r>
          </w:p>
        </w:tc>
        <w:tc>
          <w:tcPr>
            <w:tcW w:w="1276" w:type="dxa"/>
          </w:tcPr>
          <w:p w14:paraId="23186BF4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63.99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6.77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7AF2237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364866E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8.40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0.37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</w:tr>
      <w:tr w:rsidR="00221850" w:rsidRPr="00DC32BB" w14:paraId="3B098910" w14:textId="77777777" w:rsidTr="00F760E0">
        <w:trPr>
          <w:jc w:val="center"/>
        </w:trPr>
        <w:tc>
          <w:tcPr>
            <w:tcW w:w="964" w:type="dxa"/>
          </w:tcPr>
          <w:p w14:paraId="5291CC12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39</w:t>
            </w:r>
          </w:p>
        </w:tc>
        <w:tc>
          <w:tcPr>
            <w:tcW w:w="1361" w:type="dxa"/>
            <w:vAlign w:val="center"/>
          </w:tcPr>
          <w:p w14:paraId="3E4EAAE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24.39±1.66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6B001E83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323.10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2.72</w:t>
            </w:r>
          </w:p>
        </w:tc>
        <w:tc>
          <w:tcPr>
            <w:tcW w:w="1502" w:type="dxa"/>
          </w:tcPr>
          <w:p w14:paraId="7E9F6E5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0.64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76" w:type="dxa"/>
          </w:tcPr>
          <w:p w14:paraId="4557F477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61.14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2.83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5A4A476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0.14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</w:t>
            </w:r>
          </w:p>
        </w:tc>
        <w:tc>
          <w:tcPr>
            <w:tcW w:w="1304" w:type="dxa"/>
          </w:tcPr>
          <w:p w14:paraId="6EA13F62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8.50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0.59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</w:tr>
      <w:tr w:rsidR="00221850" w:rsidRPr="00DC32BB" w14:paraId="0A6EE343" w14:textId="77777777" w:rsidTr="00F760E0">
        <w:trPr>
          <w:jc w:val="center"/>
        </w:trPr>
        <w:tc>
          <w:tcPr>
            <w:tcW w:w="964" w:type="dxa"/>
          </w:tcPr>
          <w:p w14:paraId="77DC0B64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40</w:t>
            </w:r>
          </w:p>
        </w:tc>
        <w:tc>
          <w:tcPr>
            <w:tcW w:w="1361" w:type="dxa"/>
            <w:vAlign w:val="center"/>
          </w:tcPr>
          <w:p w14:paraId="4FAE00B3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23.66±1.17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615DB927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318.78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8.50</w:t>
            </w:r>
          </w:p>
        </w:tc>
        <w:tc>
          <w:tcPr>
            <w:tcW w:w="1502" w:type="dxa"/>
          </w:tcPr>
          <w:p w14:paraId="6394FD1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0.66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0.13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abcdefgh</w:t>
            </w:r>
          </w:p>
        </w:tc>
        <w:tc>
          <w:tcPr>
            <w:tcW w:w="1276" w:type="dxa"/>
          </w:tcPr>
          <w:p w14:paraId="65BF033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55.24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2.59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47" w:type="dxa"/>
          </w:tcPr>
          <w:p w14:paraId="6BEC6D3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6825BA74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6.49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0.45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03DAE5BD" w14:textId="77777777" w:rsidTr="00F760E0">
        <w:trPr>
          <w:jc w:val="center"/>
        </w:trPr>
        <w:tc>
          <w:tcPr>
            <w:tcW w:w="964" w:type="dxa"/>
          </w:tcPr>
          <w:p w14:paraId="5B114320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41</w:t>
            </w:r>
          </w:p>
        </w:tc>
        <w:tc>
          <w:tcPr>
            <w:tcW w:w="1361" w:type="dxa"/>
            <w:vAlign w:val="center"/>
          </w:tcPr>
          <w:p w14:paraId="40490EE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24.19±0.84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4DCD531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312.17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1.93</w:t>
            </w:r>
          </w:p>
        </w:tc>
        <w:tc>
          <w:tcPr>
            <w:tcW w:w="1502" w:type="dxa"/>
          </w:tcPr>
          <w:p w14:paraId="58F9626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0.56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</w:t>
            </w:r>
          </w:p>
        </w:tc>
        <w:tc>
          <w:tcPr>
            <w:tcW w:w="1276" w:type="dxa"/>
          </w:tcPr>
          <w:p w14:paraId="724133C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55.90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1.64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47" w:type="dxa"/>
          </w:tcPr>
          <w:p w14:paraId="4A6D419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5C7B5E3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7.21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0.56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2EC16622" w14:textId="77777777" w:rsidTr="00F760E0">
        <w:trPr>
          <w:jc w:val="center"/>
        </w:trPr>
        <w:tc>
          <w:tcPr>
            <w:tcW w:w="964" w:type="dxa"/>
          </w:tcPr>
          <w:p w14:paraId="7FAC3123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42</w:t>
            </w:r>
          </w:p>
        </w:tc>
        <w:tc>
          <w:tcPr>
            <w:tcW w:w="1361" w:type="dxa"/>
            <w:vAlign w:val="center"/>
          </w:tcPr>
          <w:p w14:paraId="0BE615B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21.95±2.25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14DC974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296.23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13.40</w:t>
            </w:r>
          </w:p>
        </w:tc>
        <w:tc>
          <w:tcPr>
            <w:tcW w:w="1502" w:type="dxa"/>
          </w:tcPr>
          <w:p w14:paraId="6DA356C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0.48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0.12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76" w:type="dxa"/>
          </w:tcPr>
          <w:p w14:paraId="2E45ED8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62.32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4.94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4BB66C5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30685CE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6.78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0.64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35F14D62" w14:textId="77777777" w:rsidTr="00F760E0">
        <w:trPr>
          <w:jc w:val="center"/>
        </w:trPr>
        <w:tc>
          <w:tcPr>
            <w:tcW w:w="964" w:type="dxa"/>
          </w:tcPr>
          <w:p w14:paraId="4C77FA1F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44</w:t>
            </w:r>
          </w:p>
        </w:tc>
        <w:tc>
          <w:tcPr>
            <w:tcW w:w="1361" w:type="dxa"/>
          </w:tcPr>
          <w:p w14:paraId="31C353F3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21.50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±1.76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2D785F34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305.91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4.36</w:t>
            </w:r>
          </w:p>
        </w:tc>
        <w:tc>
          <w:tcPr>
            <w:tcW w:w="1502" w:type="dxa"/>
          </w:tcPr>
          <w:p w14:paraId="7DE9242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0.44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0.04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76" w:type="dxa"/>
          </w:tcPr>
          <w:p w14:paraId="741C08C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60.75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2.78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728AF318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579CD05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6.70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0.59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1E2947EB" w14:textId="77777777" w:rsidTr="00F760E0">
        <w:trPr>
          <w:jc w:val="center"/>
        </w:trPr>
        <w:tc>
          <w:tcPr>
            <w:tcW w:w="964" w:type="dxa"/>
          </w:tcPr>
          <w:p w14:paraId="05326FCA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lastRenderedPageBreak/>
              <w:t>CRM 54</w:t>
            </w:r>
          </w:p>
        </w:tc>
        <w:tc>
          <w:tcPr>
            <w:tcW w:w="1361" w:type="dxa"/>
          </w:tcPr>
          <w:p w14:paraId="7AF73AE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18.85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±4.10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304" w:type="dxa"/>
          </w:tcPr>
          <w:p w14:paraId="799C65D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319.09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11.84</w:t>
            </w:r>
          </w:p>
        </w:tc>
        <w:tc>
          <w:tcPr>
            <w:tcW w:w="1502" w:type="dxa"/>
          </w:tcPr>
          <w:p w14:paraId="7FFB0D5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0.49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0.14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76" w:type="dxa"/>
          </w:tcPr>
          <w:p w14:paraId="5D3AC92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69.87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6.56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33437FD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0.08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304" w:type="dxa"/>
          </w:tcPr>
          <w:p w14:paraId="3F8CF89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5.35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1.39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</w:tr>
      <w:tr w:rsidR="00221850" w:rsidRPr="00DC32BB" w14:paraId="1122D470" w14:textId="77777777" w:rsidTr="00F760E0">
        <w:trPr>
          <w:jc w:val="center"/>
        </w:trPr>
        <w:tc>
          <w:tcPr>
            <w:tcW w:w="964" w:type="dxa"/>
          </w:tcPr>
          <w:p w14:paraId="30B8C968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55</w:t>
            </w:r>
          </w:p>
        </w:tc>
        <w:tc>
          <w:tcPr>
            <w:tcW w:w="1361" w:type="dxa"/>
          </w:tcPr>
          <w:p w14:paraId="3C1355C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21.01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±1.36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4CCD7EB7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337.88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2.70</w:t>
            </w:r>
          </w:p>
        </w:tc>
        <w:tc>
          <w:tcPr>
            <w:tcW w:w="1502" w:type="dxa"/>
          </w:tcPr>
          <w:p w14:paraId="028315C4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0.72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abcdefgh</w:t>
            </w:r>
          </w:p>
        </w:tc>
        <w:tc>
          <w:tcPr>
            <w:tcW w:w="1276" w:type="dxa"/>
          </w:tcPr>
          <w:p w14:paraId="79E6A72A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66.71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6.31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20A7E17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0.00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638219C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6.67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0.63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7997D1C6" w14:textId="77777777" w:rsidTr="00F760E0">
        <w:trPr>
          <w:jc w:val="center"/>
        </w:trPr>
        <w:tc>
          <w:tcPr>
            <w:tcW w:w="964" w:type="dxa"/>
          </w:tcPr>
          <w:p w14:paraId="003C7F91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56</w:t>
            </w:r>
          </w:p>
        </w:tc>
        <w:tc>
          <w:tcPr>
            <w:tcW w:w="1361" w:type="dxa"/>
          </w:tcPr>
          <w:p w14:paraId="2BF69DF7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23.29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±0.56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2F16E0BA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326.14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1.54</w:t>
            </w:r>
          </w:p>
        </w:tc>
        <w:tc>
          <w:tcPr>
            <w:tcW w:w="1502" w:type="dxa"/>
          </w:tcPr>
          <w:p w14:paraId="1BB8193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0.64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abcdefgh</w:t>
            </w:r>
          </w:p>
        </w:tc>
        <w:tc>
          <w:tcPr>
            <w:tcW w:w="1276" w:type="dxa"/>
          </w:tcPr>
          <w:p w14:paraId="00AB033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62.50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1.96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3BA6C7A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0.00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0845D20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7.01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0.26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24AA6A95" w14:textId="77777777" w:rsidTr="00F760E0">
        <w:trPr>
          <w:jc w:val="center"/>
        </w:trPr>
        <w:tc>
          <w:tcPr>
            <w:tcW w:w="964" w:type="dxa"/>
          </w:tcPr>
          <w:p w14:paraId="50579AB4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58</w:t>
            </w:r>
          </w:p>
        </w:tc>
        <w:tc>
          <w:tcPr>
            <w:tcW w:w="1361" w:type="dxa"/>
          </w:tcPr>
          <w:p w14:paraId="4BD6DC4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23.69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±0.99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0CCE9247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325.01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4.31</w:t>
            </w:r>
          </w:p>
        </w:tc>
        <w:tc>
          <w:tcPr>
            <w:tcW w:w="1502" w:type="dxa"/>
          </w:tcPr>
          <w:p w14:paraId="6BCE5D8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0.66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0.05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abcdefgh</w:t>
            </w:r>
          </w:p>
        </w:tc>
        <w:tc>
          <w:tcPr>
            <w:tcW w:w="1276" w:type="dxa"/>
          </w:tcPr>
          <w:p w14:paraId="66E6AC34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60.95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1.46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3A692E84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702A5FC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7.29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0.34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2FD2DE97" w14:textId="77777777" w:rsidTr="00F760E0">
        <w:trPr>
          <w:jc w:val="center"/>
        </w:trPr>
        <w:tc>
          <w:tcPr>
            <w:tcW w:w="964" w:type="dxa"/>
          </w:tcPr>
          <w:p w14:paraId="38C79CA3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64</w:t>
            </w:r>
          </w:p>
        </w:tc>
        <w:tc>
          <w:tcPr>
            <w:tcW w:w="1361" w:type="dxa"/>
          </w:tcPr>
          <w:p w14:paraId="5CD0F02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20.66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±2.63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569916C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309.11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13.44</w:t>
            </w:r>
          </w:p>
        </w:tc>
        <w:tc>
          <w:tcPr>
            <w:tcW w:w="1502" w:type="dxa"/>
          </w:tcPr>
          <w:p w14:paraId="4A0C972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0.48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0.11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76" w:type="dxa"/>
          </w:tcPr>
          <w:p w14:paraId="600EB2F7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63.06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8.95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2EF48FB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0.08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0.03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304" w:type="dxa"/>
          </w:tcPr>
          <w:p w14:paraId="773B0F9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4.73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1.44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</w:tr>
      <w:tr w:rsidR="00221850" w:rsidRPr="00DC32BB" w14:paraId="5F4ABB3C" w14:textId="77777777" w:rsidTr="00F760E0">
        <w:trPr>
          <w:jc w:val="center"/>
        </w:trPr>
        <w:tc>
          <w:tcPr>
            <w:tcW w:w="964" w:type="dxa"/>
          </w:tcPr>
          <w:p w14:paraId="47B217B4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65</w:t>
            </w:r>
          </w:p>
        </w:tc>
        <w:tc>
          <w:tcPr>
            <w:tcW w:w="1361" w:type="dxa"/>
          </w:tcPr>
          <w:p w14:paraId="16442DD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28.18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±1.89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bd</w:t>
            </w:r>
          </w:p>
        </w:tc>
        <w:tc>
          <w:tcPr>
            <w:tcW w:w="1304" w:type="dxa"/>
          </w:tcPr>
          <w:p w14:paraId="509FFFC0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331.61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3.97</w:t>
            </w:r>
          </w:p>
        </w:tc>
        <w:tc>
          <w:tcPr>
            <w:tcW w:w="1502" w:type="dxa"/>
          </w:tcPr>
          <w:p w14:paraId="252356B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0.87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0.04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bdefgh</w:t>
            </w:r>
          </w:p>
        </w:tc>
        <w:tc>
          <w:tcPr>
            <w:tcW w:w="1276" w:type="dxa"/>
          </w:tcPr>
          <w:p w14:paraId="57C3A9BD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49.19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sz w:val="20"/>
                <w:szCs w:val="20"/>
              </w:rPr>
              <w:t>0.77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47" w:type="dxa"/>
          </w:tcPr>
          <w:p w14:paraId="08539506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c</w:t>
            </w:r>
          </w:p>
        </w:tc>
        <w:tc>
          <w:tcPr>
            <w:tcW w:w="1304" w:type="dxa"/>
          </w:tcPr>
          <w:p w14:paraId="0988C71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7.40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0.61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3073CFA0" w14:textId="77777777" w:rsidTr="00F760E0">
        <w:trPr>
          <w:jc w:val="center"/>
        </w:trPr>
        <w:tc>
          <w:tcPr>
            <w:tcW w:w="964" w:type="dxa"/>
          </w:tcPr>
          <w:p w14:paraId="50FDCCA1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67</w:t>
            </w:r>
          </w:p>
        </w:tc>
        <w:tc>
          <w:tcPr>
            <w:tcW w:w="1361" w:type="dxa"/>
          </w:tcPr>
          <w:p w14:paraId="33A0228B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23.90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±1.6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1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bcd</w:t>
            </w:r>
          </w:p>
        </w:tc>
        <w:tc>
          <w:tcPr>
            <w:tcW w:w="1304" w:type="dxa"/>
          </w:tcPr>
          <w:p w14:paraId="2159F11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324.61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6.99</w:t>
            </w:r>
          </w:p>
        </w:tc>
        <w:tc>
          <w:tcPr>
            <w:tcW w:w="1502" w:type="dxa"/>
          </w:tcPr>
          <w:p w14:paraId="12838502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0.70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0.04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abcdefgh</w:t>
            </w:r>
          </w:p>
        </w:tc>
        <w:tc>
          <w:tcPr>
            <w:tcW w:w="1276" w:type="dxa"/>
          </w:tcPr>
          <w:p w14:paraId="5A925C4A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52.20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0.99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</w:t>
            </w:r>
          </w:p>
        </w:tc>
        <w:tc>
          <w:tcPr>
            <w:tcW w:w="1247" w:type="dxa"/>
          </w:tcPr>
          <w:p w14:paraId="3BEB766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0.13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0.00</w:t>
            </w:r>
            <w:r w:rsidRPr="00B71B73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532AEA85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6.71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0.10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3277E610" w14:textId="77777777" w:rsidTr="00F760E0">
        <w:trPr>
          <w:jc w:val="center"/>
        </w:trPr>
        <w:tc>
          <w:tcPr>
            <w:tcW w:w="964" w:type="dxa"/>
          </w:tcPr>
          <w:p w14:paraId="65F108C3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color w:val="000000"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CRM 68</w:t>
            </w:r>
          </w:p>
        </w:tc>
        <w:tc>
          <w:tcPr>
            <w:tcW w:w="1361" w:type="dxa"/>
          </w:tcPr>
          <w:p w14:paraId="6AEA004C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22.27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±1.57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  <w:tc>
          <w:tcPr>
            <w:tcW w:w="1304" w:type="dxa"/>
          </w:tcPr>
          <w:p w14:paraId="2E1A4D2F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314.15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5.47</w:t>
            </w:r>
          </w:p>
        </w:tc>
        <w:tc>
          <w:tcPr>
            <w:tcW w:w="1502" w:type="dxa"/>
          </w:tcPr>
          <w:p w14:paraId="420FDB5E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rFonts w:eastAsia="Times New Roman"/>
                <w:sz w:val="20"/>
                <w:szCs w:val="20"/>
                <w:lang w:val="en-US" w:eastAsia="en-GB" w:bidi="ta-IN"/>
              </w:rPr>
            </w:pPr>
            <w:r w:rsidRPr="00DC32BB">
              <w:rPr>
                <w:sz w:val="20"/>
                <w:szCs w:val="20"/>
              </w:rPr>
              <w:t>0.55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0.07</w:t>
            </w:r>
            <w:r w:rsidRPr="00B1009C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abcde</w:t>
            </w:r>
          </w:p>
        </w:tc>
        <w:tc>
          <w:tcPr>
            <w:tcW w:w="1276" w:type="dxa"/>
          </w:tcPr>
          <w:p w14:paraId="755F7013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59.17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4.63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</w:t>
            </w:r>
          </w:p>
        </w:tc>
        <w:tc>
          <w:tcPr>
            <w:tcW w:w="1247" w:type="dxa"/>
          </w:tcPr>
          <w:p w14:paraId="695B7B51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0.10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0.01</w:t>
            </w:r>
            <w:r w:rsidRPr="00F3441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</w:t>
            </w:r>
          </w:p>
        </w:tc>
        <w:tc>
          <w:tcPr>
            <w:tcW w:w="1304" w:type="dxa"/>
          </w:tcPr>
          <w:p w14:paraId="7596BA59" w14:textId="77777777" w:rsidR="00221850" w:rsidRPr="00DC32BB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Cs/>
                <w:color w:val="000000"/>
                <w:sz w:val="20"/>
                <w:szCs w:val="20"/>
              </w:rPr>
            </w:pPr>
            <w:r w:rsidRPr="00DC32BB">
              <w:rPr>
                <w:sz w:val="20"/>
                <w:szCs w:val="20"/>
              </w:rPr>
              <w:t>5.82</w:t>
            </w:r>
            <w:r w:rsidRPr="00DC32BB">
              <w:rPr>
                <w:rFonts w:eastAsia="Times New Roman"/>
                <w:sz w:val="20"/>
                <w:szCs w:val="20"/>
                <w:lang w:val="en-US" w:eastAsia="en-GB" w:bidi="ta-IN"/>
              </w:rPr>
              <w:t>±</w:t>
            </w:r>
            <w:r>
              <w:rPr>
                <w:rFonts w:eastAsia="Times New Roman"/>
                <w:sz w:val="20"/>
                <w:szCs w:val="20"/>
                <w:lang w:val="en-US" w:eastAsia="en-GB" w:bidi="ta-IN"/>
              </w:rPr>
              <w:t>0.23</w:t>
            </w:r>
            <w:r w:rsidRPr="00A6180F">
              <w:rPr>
                <w:rFonts w:eastAsia="Times New Roman"/>
                <w:i/>
                <w:iCs/>
                <w:sz w:val="20"/>
                <w:szCs w:val="20"/>
                <w:vertAlign w:val="superscript"/>
                <w:lang w:val="en-US" w:eastAsia="en-GB" w:bidi="ta-IN"/>
              </w:rPr>
              <w:t>abcd</w:t>
            </w:r>
          </w:p>
        </w:tc>
      </w:tr>
      <w:tr w:rsidR="00221850" w:rsidRPr="00DC32BB" w14:paraId="3F0F2C79" w14:textId="77777777" w:rsidTr="00F760E0">
        <w:trPr>
          <w:jc w:val="center"/>
        </w:trPr>
        <w:tc>
          <w:tcPr>
            <w:tcW w:w="964" w:type="dxa"/>
          </w:tcPr>
          <w:p w14:paraId="3CC1C5DC" w14:textId="77777777" w:rsidR="00221850" w:rsidRPr="001675E4" w:rsidRDefault="00221850" w:rsidP="00F760E0">
            <w:pPr>
              <w:tabs>
                <w:tab w:val="left" w:pos="9192"/>
              </w:tabs>
              <w:spacing w:line="240" w:lineRule="auto"/>
              <w:ind w:right="-22"/>
              <w:rPr>
                <w:b/>
                <w:bCs/>
                <w:sz w:val="20"/>
                <w:szCs w:val="20"/>
              </w:rPr>
            </w:pPr>
            <w:r w:rsidRPr="001675E4">
              <w:rPr>
                <w:b/>
                <w:bCs/>
                <w:sz w:val="20"/>
                <w:szCs w:val="20"/>
              </w:rPr>
              <w:t>Mean CRM</w:t>
            </w:r>
          </w:p>
        </w:tc>
        <w:tc>
          <w:tcPr>
            <w:tcW w:w="1361" w:type="dxa"/>
          </w:tcPr>
          <w:p w14:paraId="70D05EC9" w14:textId="77777777" w:rsidR="00221850" w:rsidRPr="009C25B2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/>
                <w:bCs/>
                <w:sz w:val="20"/>
                <w:szCs w:val="20"/>
              </w:rPr>
            </w:pPr>
            <w:r w:rsidRPr="009C25B2">
              <w:rPr>
                <w:b/>
                <w:bCs/>
                <w:sz w:val="20"/>
                <w:szCs w:val="20"/>
              </w:rPr>
              <w:t>22.38</w:t>
            </w:r>
            <w:r w:rsidRPr="009C25B2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±0.5</w:t>
            </w:r>
          </w:p>
        </w:tc>
        <w:tc>
          <w:tcPr>
            <w:tcW w:w="1304" w:type="dxa"/>
          </w:tcPr>
          <w:p w14:paraId="04D14B5F" w14:textId="77777777" w:rsidR="00221850" w:rsidRPr="009C25B2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/>
                <w:bCs/>
                <w:sz w:val="20"/>
                <w:szCs w:val="20"/>
              </w:rPr>
            </w:pPr>
            <w:r w:rsidRPr="009C25B2">
              <w:rPr>
                <w:b/>
                <w:bCs/>
                <w:sz w:val="20"/>
                <w:szCs w:val="20"/>
              </w:rPr>
              <w:t>318.46</w:t>
            </w:r>
            <w:r w:rsidRPr="009C25B2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±2.32</w:t>
            </w:r>
          </w:p>
        </w:tc>
        <w:tc>
          <w:tcPr>
            <w:tcW w:w="1502" w:type="dxa"/>
          </w:tcPr>
          <w:p w14:paraId="6C4522D9" w14:textId="77777777" w:rsidR="00221850" w:rsidRPr="009C25B2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/>
                <w:bCs/>
                <w:sz w:val="20"/>
                <w:szCs w:val="20"/>
              </w:rPr>
            </w:pPr>
            <w:r w:rsidRPr="009C25B2">
              <w:rPr>
                <w:b/>
                <w:bCs/>
                <w:sz w:val="20"/>
                <w:szCs w:val="20"/>
              </w:rPr>
              <w:t>0.61</w:t>
            </w:r>
            <w:r w:rsidRPr="009C25B2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±0.03</w:t>
            </w:r>
          </w:p>
        </w:tc>
        <w:tc>
          <w:tcPr>
            <w:tcW w:w="1276" w:type="dxa"/>
          </w:tcPr>
          <w:p w14:paraId="3356C689" w14:textId="77777777" w:rsidR="00221850" w:rsidRPr="009C25B2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/>
                <w:bCs/>
                <w:sz w:val="20"/>
                <w:szCs w:val="20"/>
              </w:rPr>
            </w:pPr>
            <w:r w:rsidRPr="009C25B2">
              <w:rPr>
                <w:b/>
                <w:bCs/>
                <w:sz w:val="20"/>
                <w:szCs w:val="20"/>
              </w:rPr>
              <w:t>60.69</w:t>
            </w:r>
            <w:r w:rsidRPr="009C25B2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±1.31</w:t>
            </w:r>
          </w:p>
        </w:tc>
        <w:tc>
          <w:tcPr>
            <w:tcW w:w="1247" w:type="dxa"/>
          </w:tcPr>
          <w:p w14:paraId="230B383C" w14:textId="77777777" w:rsidR="00221850" w:rsidRPr="009C25B2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/>
                <w:bCs/>
                <w:sz w:val="20"/>
                <w:szCs w:val="20"/>
              </w:rPr>
            </w:pPr>
            <w:r w:rsidRPr="009C25B2">
              <w:rPr>
                <w:b/>
                <w:bCs/>
                <w:sz w:val="20"/>
                <w:szCs w:val="20"/>
              </w:rPr>
              <w:t>0.11</w:t>
            </w:r>
            <w:r w:rsidRPr="009C25B2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±0.004</w:t>
            </w:r>
          </w:p>
        </w:tc>
        <w:tc>
          <w:tcPr>
            <w:tcW w:w="1304" w:type="dxa"/>
          </w:tcPr>
          <w:p w14:paraId="00790DB3" w14:textId="77777777" w:rsidR="00221850" w:rsidRPr="009C25B2" w:rsidRDefault="00221850" w:rsidP="00F760E0">
            <w:pPr>
              <w:tabs>
                <w:tab w:val="left" w:pos="9192"/>
              </w:tabs>
              <w:spacing w:line="240" w:lineRule="auto"/>
              <w:ind w:right="-22"/>
              <w:jc w:val="center"/>
              <w:rPr>
                <w:b/>
                <w:bCs/>
                <w:sz w:val="20"/>
                <w:szCs w:val="20"/>
              </w:rPr>
            </w:pPr>
            <w:r w:rsidRPr="009C25B2">
              <w:rPr>
                <w:b/>
                <w:bCs/>
                <w:sz w:val="20"/>
                <w:szCs w:val="20"/>
              </w:rPr>
              <w:t>6.72</w:t>
            </w:r>
            <w:r w:rsidRPr="009C25B2">
              <w:rPr>
                <w:rFonts w:eastAsia="Times New Roman"/>
                <w:b/>
                <w:bCs/>
                <w:sz w:val="20"/>
                <w:szCs w:val="20"/>
                <w:lang w:val="en-US" w:eastAsia="en-GB" w:bidi="ta-IN"/>
              </w:rPr>
              <w:t>±0.20</w:t>
            </w:r>
          </w:p>
        </w:tc>
      </w:tr>
    </w:tbl>
    <w:p w14:paraId="4429EA63" w14:textId="77777777" w:rsidR="00221850" w:rsidRPr="00500DE9" w:rsidRDefault="00221850" w:rsidP="00221850">
      <w:pPr>
        <w:spacing w:line="240" w:lineRule="auto"/>
        <w:ind w:right="1253"/>
        <w:rPr>
          <w:noProof/>
          <w:lang w:eastAsia="en-GB"/>
        </w:rPr>
        <w:sectPr w:rsidR="00221850" w:rsidRPr="00500DE9" w:rsidSect="00EE037F">
          <w:pgSz w:w="11906" w:h="16838"/>
          <w:pgMar w:top="1132" w:right="1440" w:bottom="1436" w:left="1440" w:header="708" w:footer="708" w:gutter="0"/>
          <w:cols w:space="708"/>
          <w:docGrid w:linePitch="360"/>
        </w:sectPr>
      </w:pPr>
      <w:r w:rsidRPr="0037336B">
        <w:rPr>
          <w:noProof/>
          <w:lang w:eastAsia="en-GB"/>
        </w:rPr>
        <w:t xml:space="preserve">                       </w:t>
      </w:r>
    </w:p>
    <w:p w14:paraId="5B041E94" w14:textId="77777777" w:rsidR="00C9091A" w:rsidRDefault="00C9091A"/>
    <w:sectPr w:rsidR="00C9091A" w:rsidSect="002849C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850"/>
    <w:rsid w:val="00221850"/>
    <w:rsid w:val="002849C6"/>
    <w:rsid w:val="00586F2C"/>
    <w:rsid w:val="006E320C"/>
    <w:rsid w:val="008201CE"/>
    <w:rsid w:val="00A74C81"/>
    <w:rsid w:val="00C9091A"/>
    <w:rsid w:val="00D40047"/>
    <w:rsid w:val="00E273C9"/>
    <w:rsid w:val="00E4718F"/>
    <w:rsid w:val="00EE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5F87F"/>
  <w15:chartTrackingRefBased/>
  <w15:docId w15:val="{77B6DDF8-9DA1-1245-87A1-09A431CB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850"/>
    <w:pPr>
      <w:spacing w:after="200" w:line="360" w:lineRule="auto"/>
      <w:jc w:val="both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1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221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Murchie (staff)</dc:creator>
  <cp:keywords/>
  <dc:description/>
  <cp:lastModifiedBy>Laura Goodfellow</cp:lastModifiedBy>
  <cp:revision>2</cp:revision>
  <dcterms:created xsi:type="dcterms:W3CDTF">2023-02-03T11:08:00Z</dcterms:created>
  <dcterms:modified xsi:type="dcterms:W3CDTF">2023-02-03T11:08:00Z</dcterms:modified>
</cp:coreProperties>
</file>