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6A19E" w14:textId="77777777" w:rsidR="00D378DE" w:rsidRPr="009009C6" w:rsidRDefault="00D378DE" w:rsidP="00D378DE">
      <w:pPr>
        <w:spacing w:after="200" w:line="276" w:lineRule="auto"/>
        <w:jc w:val="left"/>
        <w:rPr>
          <w:b/>
          <w:lang w:val="en-US"/>
        </w:rPr>
      </w:pPr>
      <w:r>
        <w:rPr>
          <w:b/>
          <w:lang w:val="en-US"/>
        </w:rPr>
        <w:t>S</w:t>
      </w:r>
      <w:r w:rsidRPr="009009C6">
        <w:rPr>
          <w:b/>
          <w:lang w:val="en-US"/>
        </w:rPr>
        <w:t xml:space="preserve">upplementary </w:t>
      </w:r>
      <w:r>
        <w:rPr>
          <w:b/>
          <w:lang w:val="en-US"/>
        </w:rPr>
        <w:t>Information</w:t>
      </w:r>
      <w:r w:rsidRPr="009009C6">
        <w:rPr>
          <w:b/>
          <w:lang w:val="en-US"/>
        </w:rPr>
        <w:t xml:space="preserve"> </w:t>
      </w:r>
    </w:p>
    <w:p w14:paraId="12545CB8" w14:textId="70C79B8C" w:rsidR="00811D56" w:rsidRPr="009009C6" w:rsidRDefault="00811D56" w:rsidP="00811D56">
      <w:pPr>
        <w:spacing w:after="200" w:line="276" w:lineRule="auto"/>
        <w:jc w:val="left"/>
        <w:rPr>
          <w:lang w:val="en-US"/>
        </w:rPr>
      </w:pPr>
      <w:r w:rsidRPr="009009C6">
        <w:rPr>
          <w:lang w:val="en-US"/>
        </w:rPr>
        <w:t xml:space="preserve">Sup. Fig. 1. </w:t>
      </w:r>
      <w:r>
        <w:rPr>
          <w:lang w:val="en-US"/>
        </w:rPr>
        <w:t>Pictures of t</w:t>
      </w:r>
      <w:r w:rsidRPr="009009C6">
        <w:rPr>
          <w:lang w:val="en-US"/>
        </w:rPr>
        <w:t xml:space="preserve">rees </w:t>
      </w:r>
      <w:r>
        <w:rPr>
          <w:lang w:val="en-US"/>
        </w:rPr>
        <w:t>from</w:t>
      </w:r>
      <w:r w:rsidRPr="009009C6">
        <w:rPr>
          <w:lang w:val="en-US"/>
        </w:rPr>
        <w:t xml:space="preserve"> the Rivas natural population</w:t>
      </w:r>
      <w:r>
        <w:rPr>
          <w:lang w:val="en-US"/>
        </w:rPr>
        <w:t>.</w:t>
      </w:r>
    </w:p>
    <w:p w14:paraId="6932D6C1" w14:textId="50C8E0B0" w:rsidR="00D378DE" w:rsidRDefault="00811D56" w:rsidP="00D378DE">
      <w:pPr>
        <w:spacing w:after="200" w:line="276" w:lineRule="auto"/>
        <w:jc w:val="left"/>
        <w:rPr>
          <w:lang w:val="en-US"/>
        </w:rPr>
      </w:pPr>
      <w:r>
        <w:rPr>
          <w:lang w:val="en-US"/>
        </w:rPr>
        <w:t>Sup. Fig. 2. Rarefaction curves for the 29 samples collected.</w:t>
      </w:r>
    </w:p>
    <w:p w14:paraId="474FC016" w14:textId="47554EEF" w:rsidR="00811D56" w:rsidRDefault="00811D56" w:rsidP="00D378DE">
      <w:pPr>
        <w:spacing w:after="200" w:line="276" w:lineRule="auto"/>
        <w:jc w:val="left"/>
        <w:rPr>
          <w:lang w:val="en-US"/>
        </w:rPr>
      </w:pPr>
      <w:r w:rsidRPr="00D378DE">
        <w:rPr>
          <w:lang w:val="en-US"/>
        </w:rPr>
        <w:t>Sup. Fig. 3. Rarefaction curves grouped by collection site</w:t>
      </w:r>
      <w:r>
        <w:rPr>
          <w:lang w:val="en-US"/>
        </w:rPr>
        <w:t>.</w:t>
      </w:r>
    </w:p>
    <w:p w14:paraId="747BAD6E" w14:textId="46967957" w:rsidR="00811D56" w:rsidRDefault="00811D56" w:rsidP="00D378DE">
      <w:pPr>
        <w:spacing w:after="200" w:line="276" w:lineRule="auto"/>
        <w:jc w:val="left"/>
        <w:rPr>
          <w:lang w:val="en-US"/>
        </w:rPr>
      </w:pPr>
      <w:r>
        <w:rPr>
          <w:lang w:val="en-US"/>
        </w:rPr>
        <w:t>Sup. Table 1. Susceptibility to DED in the trees of the clonal bank.</w:t>
      </w:r>
    </w:p>
    <w:p w14:paraId="4E93CE45" w14:textId="28E3FFD3" w:rsidR="00811D56" w:rsidRDefault="00811D56" w:rsidP="00811D56">
      <w:pPr>
        <w:pStyle w:val="BodyText"/>
        <w:rPr>
          <w:color w:val="000000" w:themeColor="text1"/>
          <w:lang w:val="en-US"/>
        </w:rPr>
      </w:pPr>
      <w:r>
        <w:rPr>
          <w:color w:val="000000" w:themeColor="text1"/>
          <w:lang w:val="en-US"/>
        </w:rPr>
        <w:t>Sup. Text. Detailed methods.</w:t>
      </w:r>
    </w:p>
    <w:p w14:paraId="64B9FFB6" w14:textId="3C819C64" w:rsidR="00811D56" w:rsidRDefault="00811D56" w:rsidP="00811D56">
      <w:pPr>
        <w:pStyle w:val="BodyText"/>
        <w:rPr>
          <w:lang w:val="en-US"/>
        </w:rPr>
      </w:pPr>
      <w:r>
        <w:rPr>
          <w:color w:val="000000" w:themeColor="text1"/>
          <w:lang w:val="en-US"/>
        </w:rPr>
        <w:t>Supplementary references.</w:t>
      </w:r>
    </w:p>
    <w:p w14:paraId="7F338D64" w14:textId="77777777" w:rsidR="00D378DE" w:rsidRDefault="00D378DE">
      <w:pPr>
        <w:spacing w:after="160" w:line="259" w:lineRule="auto"/>
        <w:jc w:val="left"/>
        <w:rPr>
          <w:lang w:val="en-US"/>
        </w:rPr>
      </w:pPr>
      <w:r>
        <w:rPr>
          <w:lang w:val="en-US"/>
        </w:rPr>
        <w:br w:type="page"/>
      </w:r>
    </w:p>
    <w:p w14:paraId="3517171C" w14:textId="77777777" w:rsidR="00440B12" w:rsidRDefault="00440B12" w:rsidP="00440B12">
      <w:pPr>
        <w:pStyle w:val="ListParagraph"/>
        <w:numPr>
          <w:ilvl w:val="0"/>
          <w:numId w:val="1"/>
        </w:numPr>
      </w:pPr>
      <w:r>
        <w:lastRenderedPageBreak/>
        <w:t>RIV1</w:t>
      </w:r>
    </w:p>
    <w:p w14:paraId="51DE69EF" w14:textId="77777777" w:rsidR="00440B12" w:rsidRDefault="00440B12" w:rsidP="00440B12">
      <w:pPr>
        <w:jc w:val="center"/>
      </w:pPr>
      <w:r>
        <w:rPr>
          <w:noProof/>
          <w:lang w:val="en-US"/>
        </w:rPr>
        <w:drawing>
          <wp:inline distT="0" distB="0" distL="0" distR="0" wp14:anchorId="0ABA4187" wp14:editId="26708CB8">
            <wp:extent cx="4886153" cy="73150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7413" cy="7316978"/>
                    </a:xfrm>
                    <a:prstGeom prst="rect">
                      <a:avLst/>
                    </a:prstGeom>
                    <a:noFill/>
                    <a:ln>
                      <a:noFill/>
                    </a:ln>
                  </pic:spPr>
                </pic:pic>
              </a:graphicData>
            </a:graphic>
          </wp:inline>
        </w:drawing>
      </w:r>
    </w:p>
    <w:p w14:paraId="5C92CAB7" w14:textId="77777777" w:rsidR="00440B12" w:rsidRDefault="00440B12" w:rsidP="00440B12">
      <w:r>
        <w:br w:type="page"/>
      </w:r>
    </w:p>
    <w:p w14:paraId="0677C6F8" w14:textId="77777777" w:rsidR="00440B12" w:rsidRDefault="00440B12" w:rsidP="00440B12">
      <w:pPr>
        <w:pStyle w:val="ListParagraph"/>
        <w:numPr>
          <w:ilvl w:val="0"/>
          <w:numId w:val="1"/>
        </w:numPr>
      </w:pPr>
      <w:r>
        <w:lastRenderedPageBreak/>
        <w:t>RIV2</w:t>
      </w:r>
    </w:p>
    <w:p w14:paraId="3C18CE91" w14:textId="77777777" w:rsidR="00440B12" w:rsidRDefault="00440B12" w:rsidP="00440B12">
      <w:pPr>
        <w:jc w:val="center"/>
      </w:pPr>
      <w:r>
        <w:rPr>
          <w:noProof/>
          <w:lang w:val="en-US"/>
        </w:rPr>
        <w:drawing>
          <wp:inline distT="0" distB="0" distL="0" distR="0" wp14:anchorId="46D33CEB" wp14:editId="30D4E78D">
            <wp:extent cx="4886226"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528" cy="7321641"/>
                    </a:xfrm>
                    <a:prstGeom prst="rect">
                      <a:avLst/>
                    </a:prstGeom>
                    <a:noFill/>
                    <a:ln>
                      <a:noFill/>
                    </a:ln>
                  </pic:spPr>
                </pic:pic>
              </a:graphicData>
            </a:graphic>
          </wp:inline>
        </w:drawing>
      </w:r>
    </w:p>
    <w:p w14:paraId="1EB96C8A" w14:textId="77777777" w:rsidR="00440B12" w:rsidRDefault="00440B12" w:rsidP="00440B12">
      <w:r>
        <w:br w:type="page"/>
      </w:r>
    </w:p>
    <w:p w14:paraId="4A85B822" w14:textId="77777777" w:rsidR="00440B12" w:rsidRDefault="00440B12" w:rsidP="00440B12">
      <w:pPr>
        <w:pStyle w:val="ListParagraph"/>
        <w:numPr>
          <w:ilvl w:val="0"/>
          <w:numId w:val="1"/>
        </w:numPr>
      </w:pPr>
      <w:r>
        <w:lastRenderedPageBreak/>
        <w:t>RIV3</w:t>
      </w:r>
    </w:p>
    <w:p w14:paraId="06F5CD91" w14:textId="77777777" w:rsidR="00440B12" w:rsidRDefault="00440B12" w:rsidP="00440B12">
      <w:pPr>
        <w:jc w:val="center"/>
      </w:pPr>
      <w:r>
        <w:rPr>
          <w:noProof/>
          <w:lang w:val="en-US"/>
        </w:rPr>
        <w:drawing>
          <wp:inline distT="0" distB="0" distL="0" distR="0" wp14:anchorId="72C3E070" wp14:editId="5F862F2F">
            <wp:extent cx="5011681" cy="750302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257" cy="7509872"/>
                    </a:xfrm>
                    <a:prstGeom prst="rect">
                      <a:avLst/>
                    </a:prstGeom>
                    <a:noFill/>
                    <a:ln>
                      <a:noFill/>
                    </a:ln>
                  </pic:spPr>
                </pic:pic>
              </a:graphicData>
            </a:graphic>
          </wp:inline>
        </w:drawing>
      </w:r>
    </w:p>
    <w:p w14:paraId="1EDBE5A8" w14:textId="77777777" w:rsidR="00440B12" w:rsidRDefault="00440B12" w:rsidP="00440B12">
      <w:r>
        <w:br w:type="page"/>
      </w:r>
    </w:p>
    <w:p w14:paraId="7506176C" w14:textId="77777777" w:rsidR="00440B12" w:rsidRDefault="00440B12" w:rsidP="00440B12">
      <w:pPr>
        <w:pStyle w:val="ListParagraph"/>
        <w:numPr>
          <w:ilvl w:val="0"/>
          <w:numId w:val="1"/>
        </w:numPr>
      </w:pPr>
      <w:r>
        <w:lastRenderedPageBreak/>
        <w:t>RIV4</w:t>
      </w:r>
    </w:p>
    <w:p w14:paraId="05BD8FB0" w14:textId="77777777" w:rsidR="00440B12" w:rsidRDefault="00440B12" w:rsidP="00440B12">
      <w:pPr>
        <w:jc w:val="center"/>
      </w:pPr>
      <w:r>
        <w:rPr>
          <w:noProof/>
          <w:lang w:val="en-US"/>
        </w:rPr>
        <w:drawing>
          <wp:inline distT="0" distB="0" distL="0" distR="0" wp14:anchorId="39CCF9B6" wp14:editId="07949A94">
            <wp:extent cx="5033582" cy="753580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174" cy="7538192"/>
                    </a:xfrm>
                    <a:prstGeom prst="rect">
                      <a:avLst/>
                    </a:prstGeom>
                    <a:noFill/>
                    <a:ln>
                      <a:noFill/>
                    </a:ln>
                  </pic:spPr>
                </pic:pic>
              </a:graphicData>
            </a:graphic>
          </wp:inline>
        </w:drawing>
      </w:r>
    </w:p>
    <w:p w14:paraId="543DF361" w14:textId="77777777" w:rsidR="00440B12" w:rsidRDefault="00440B12" w:rsidP="00440B12">
      <w:r>
        <w:br w:type="page"/>
      </w:r>
    </w:p>
    <w:p w14:paraId="67AEC307" w14:textId="77777777" w:rsidR="00440B12" w:rsidRDefault="00440B12" w:rsidP="00440B12">
      <w:pPr>
        <w:pStyle w:val="ListParagraph"/>
        <w:numPr>
          <w:ilvl w:val="0"/>
          <w:numId w:val="1"/>
        </w:numPr>
      </w:pPr>
      <w:r>
        <w:lastRenderedPageBreak/>
        <w:t>RIV5</w:t>
      </w:r>
    </w:p>
    <w:p w14:paraId="367CC7DF" w14:textId="77777777" w:rsidR="00440B12" w:rsidRDefault="00440B12" w:rsidP="00440B12">
      <w:pPr>
        <w:jc w:val="center"/>
      </w:pPr>
      <w:r>
        <w:rPr>
          <w:noProof/>
          <w:lang w:val="en-US"/>
        </w:rPr>
        <w:drawing>
          <wp:inline distT="0" distB="0" distL="0" distR="0" wp14:anchorId="6AFAE2F9" wp14:editId="35E2680A">
            <wp:extent cx="5106930" cy="7645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0270" cy="7650620"/>
                    </a:xfrm>
                    <a:prstGeom prst="rect">
                      <a:avLst/>
                    </a:prstGeom>
                    <a:noFill/>
                    <a:ln>
                      <a:noFill/>
                    </a:ln>
                  </pic:spPr>
                </pic:pic>
              </a:graphicData>
            </a:graphic>
          </wp:inline>
        </w:drawing>
      </w:r>
    </w:p>
    <w:p w14:paraId="6C0C982A" w14:textId="77777777" w:rsidR="00440B12" w:rsidRDefault="00440B12" w:rsidP="00440B12">
      <w:r>
        <w:br w:type="page"/>
      </w:r>
    </w:p>
    <w:p w14:paraId="3A368183" w14:textId="77777777" w:rsidR="00440B12" w:rsidRDefault="00440B12" w:rsidP="00440B12">
      <w:pPr>
        <w:pStyle w:val="ListParagraph"/>
        <w:numPr>
          <w:ilvl w:val="0"/>
          <w:numId w:val="1"/>
        </w:numPr>
      </w:pPr>
      <w:r>
        <w:lastRenderedPageBreak/>
        <w:t>RIV6</w:t>
      </w:r>
    </w:p>
    <w:p w14:paraId="58135AFA" w14:textId="77777777" w:rsidR="00440B12" w:rsidRDefault="00440B12" w:rsidP="00440B12">
      <w:r>
        <w:rPr>
          <w:noProof/>
          <w:lang w:val="en-US"/>
        </w:rPr>
        <w:drawing>
          <wp:inline distT="0" distB="0" distL="0" distR="0" wp14:anchorId="49BE0B98" wp14:editId="1ACF9665">
            <wp:extent cx="5770179" cy="3841854"/>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1722" cy="3842881"/>
                    </a:xfrm>
                    <a:prstGeom prst="rect">
                      <a:avLst/>
                    </a:prstGeom>
                    <a:noFill/>
                    <a:ln>
                      <a:noFill/>
                    </a:ln>
                  </pic:spPr>
                </pic:pic>
              </a:graphicData>
            </a:graphic>
          </wp:inline>
        </w:drawing>
      </w:r>
    </w:p>
    <w:p w14:paraId="7996013C" w14:textId="77777777" w:rsidR="00440B12" w:rsidRDefault="00440B12" w:rsidP="00440B12">
      <w:r>
        <w:rPr>
          <w:noProof/>
          <w:lang w:val="en-US"/>
        </w:rPr>
        <w:drawing>
          <wp:inline distT="0" distB="0" distL="0" distR="0" wp14:anchorId="28C961CE" wp14:editId="22FC295E">
            <wp:extent cx="5736642" cy="381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084" cy="3823148"/>
                    </a:xfrm>
                    <a:prstGeom prst="rect">
                      <a:avLst/>
                    </a:prstGeom>
                    <a:noFill/>
                    <a:ln>
                      <a:noFill/>
                    </a:ln>
                  </pic:spPr>
                </pic:pic>
              </a:graphicData>
            </a:graphic>
          </wp:inline>
        </w:drawing>
      </w:r>
    </w:p>
    <w:p w14:paraId="3C521F39" w14:textId="26E8A272" w:rsidR="00D378DE" w:rsidRDefault="00D378DE" w:rsidP="007B3AF6">
      <w:pPr>
        <w:spacing w:after="200" w:line="276" w:lineRule="auto"/>
        <w:jc w:val="left"/>
        <w:rPr>
          <w:lang w:val="en-US"/>
        </w:rPr>
      </w:pPr>
      <w:r w:rsidRPr="00E91D51">
        <w:rPr>
          <w:b/>
          <w:lang w:val="en-US"/>
        </w:rPr>
        <w:t>Sup. Fig. 1.</w:t>
      </w:r>
      <w:r w:rsidRPr="009009C6">
        <w:rPr>
          <w:lang w:val="en-US"/>
        </w:rPr>
        <w:t xml:space="preserve"> </w:t>
      </w:r>
      <w:r>
        <w:rPr>
          <w:lang w:val="en-US"/>
        </w:rPr>
        <w:t>T</w:t>
      </w:r>
      <w:r w:rsidRPr="009009C6">
        <w:rPr>
          <w:lang w:val="en-US"/>
        </w:rPr>
        <w:t xml:space="preserve">rees </w:t>
      </w:r>
      <w:r>
        <w:rPr>
          <w:lang w:val="en-US"/>
        </w:rPr>
        <w:t>from</w:t>
      </w:r>
      <w:r w:rsidRPr="009009C6">
        <w:rPr>
          <w:lang w:val="en-US"/>
        </w:rPr>
        <w:t xml:space="preserve"> the Rivas natural population </w:t>
      </w:r>
      <w:r>
        <w:rPr>
          <w:lang w:val="en-US"/>
        </w:rPr>
        <w:t>during</w:t>
      </w:r>
      <w:r w:rsidRPr="009009C6">
        <w:rPr>
          <w:lang w:val="en-US"/>
        </w:rPr>
        <w:t xml:space="preserve"> sample collection: A) RIV1; B) RIV2; C) RIV3; D) RIV4; E) RIV5; F) RIV6. </w:t>
      </w:r>
      <w:r>
        <w:rPr>
          <w:lang w:val="en-US"/>
        </w:rPr>
        <w:br w:type="page"/>
      </w:r>
    </w:p>
    <w:p w14:paraId="5C3EFC24" w14:textId="18F98C53" w:rsidR="00D378DE" w:rsidRDefault="00D378DE" w:rsidP="00D378DE">
      <w:pPr>
        <w:spacing w:after="200" w:line="276" w:lineRule="auto"/>
        <w:jc w:val="left"/>
        <w:rPr>
          <w:lang w:val="en-US"/>
        </w:rPr>
      </w:pPr>
      <w:r>
        <w:rPr>
          <w:noProof/>
          <w:lang w:val="en-US"/>
        </w:rPr>
        <w:lastRenderedPageBreak/>
        <w:drawing>
          <wp:inline distT="0" distB="0" distL="0" distR="0" wp14:anchorId="38891A87" wp14:editId="0F34CD9D">
            <wp:extent cx="5400040" cy="2700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_Rarefaction.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p>
    <w:p w14:paraId="7B4643D1" w14:textId="77777777" w:rsidR="00E57F18" w:rsidRDefault="00D378DE" w:rsidP="00E57F18">
      <w:pPr>
        <w:spacing w:after="200" w:line="276" w:lineRule="auto"/>
        <w:jc w:val="left"/>
        <w:rPr>
          <w:lang w:val="en-US"/>
        </w:rPr>
        <w:sectPr w:rsidR="00E57F18" w:rsidSect="00700F65">
          <w:footerReference w:type="default" r:id="rId16"/>
          <w:pgSz w:w="11906" w:h="16838"/>
          <w:pgMar w:top="1417" w:right="1701" w:bottom="1417" w:left="1701" w:header="708" w:footer="708" w:gutter="0"/>
          <w:cols w:space="708"/>
          <w:docGrid w:linePitch="360"/>
        </w:sectPr>
      </w:pPr>
      <w:r w:rsidRPr="00E91D51">
        <w:rPr>
          <w:b/>
          <w:lang w:val="en-US"/>
        </w:rPr>
        <w:t>Sup. Fig. 2.</w:t>
      </w:r>
      <w:r>
        <w:rPr>
          <w:lang w:val="en-US"/>
        </w:rPr>
        <w:t xml:space="preserve"> Rarefaction curves for the 29 samples collected, displaying an increasing sequencing effort from 0 to 2000 reads. </w:t>
      </w:r>
    </w:p>
    <w:p w14:paraId="3A2599AD" w14:textId="4FF16897" w:rsidR="00D378DE" w:rsidRDefault="00D378DE" w:rsidP="00E57F18">
      <w:pPr>
        <w:spacing w:after="200" w:line="276" w:lineRule="auto"/>
        <w:jc w:val="left"/>
        <w:rPr>
          <w:highlight w:val="yellow"/>
          <w:lang w:val="en-US"/>
        </w:rPr>
      </w:pPr>
    </w:p>
    <w:p w14:paraId="1C22A21A" w14:textId="11CC18BD" w:rsidR="00D378DE" w:rsidRPr="00D378DE" w:rsidRDefault="00D378DE" w:rsidP="00D378DE">
      <w:pPr>
        <w:spacing w:after="200" w:line="276" w:lineRule="auto"/>
        <w:jc w:val="left"/>
        <w:rPr>
          <w:lang w:val="en-US"/>
        </w:rPr>
      </w:pPr>
      <w:r w:rsidRPr="00D378DE">
        <w:rPr>
          <w:noProof/>
          <w:lang w:val="en-US"/>
        </w:rPr>
        <w:drawing>
          <wp:inline distT="0" distB="0" distL="0" distR="0" wp14:anchorId="7EF4782F" wp14:editId="5A7BB3E3">
            <wp:extent cx="8848725" cy="4424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002" cy="4431502"/>
                    </a:xfrm>
                    <a:prstGeom prst="rect">
                      <a:avLst/>
                    </a:prstGeom>
                    <a:noFill/>
                    <a:ln>
                      <a:noFill/>
                    </a:ln>
                  </pic:spPr>
                </pic:pic>
              </a:graphicData>
            </a:graphic>
          </wp:inline>
        </w:drawing>
      </w:r>
    </w:p>
    <w:p w14:paraId="3A796872" w14:textId="77777777" w:rsidR="00E57F18" w:rsidRDefault="00D378DE" w:rsidP="00E57F18">
      <w:pPr>
        <w:spacing w:after="200" w:line="276" w:lineRule="auto"/>
        <w:jc w:val="left"/>
        <w:rPr>
          <w:lang w:val="en-US"/>
        </w:rPr>
        <w:sectPr w:rsidR="00E57F18" w:rsidSect="00E57F18">
          <w:pgSz w:w="16838" w:h="11906" w:orient="landscape"/>
          <w:pgMar w:top="1701" w:right="1417" w:bottom="1701" w:left="1417" w:header="708" w:footer="708" w:gutter="0"/>
          <w:cols w:space="708"/>
          <w:docGrid w:linePitch="360"/>
        </w:sectPr>
      </w:pPr>
      <w:r w:rsidRPr="00E91D51">
        <w:rPr>
          <w:b/>
          <w:lang w:val="en-US"/>
        </w:rPr>
        <w:t>Sup. Fig. 3.</w:t>
      </w:r>
      <w:r w:rsidRPr="00D378DE">
        <w:rPr>
          <w:lang w:val="en-US"/>
        </w:rPr>
        <w:t xml:space="preserve"> Rarefaction curves for the samples collected, grouped by collection site,</w:t>
      </w:r>
      <w:r w:rsidRPr="009009C6">
        <w:rPr>
          <w:lang w:val="en-US"/>
        </w:rPr>
        <w:t xml:space="preserve"> </w:t>
      </w:r>
      <w:r>
        <w:rPr>
          <w:lang w:val="en-US"/>
        </w:rPr>
        <w:t>showing</w:t>
      </w:r>
      <w:r w:rsidRPr="009009C6">
        <w:rPr>
          <w:lang w:val="en-US"/>
        </w:rPr>
        <w:t xml:space="preserve"> an increasing sequencing effort. A) Landmark tree; B) Clonal bank; C) Rivas population; D) Burgos population.</w:t>
      </w:r>
    </w:p>
    <w:p w14:paraId="56B95966" w14:textId="235F05A6" w:rsidR="008E72A4" w:rsidRDefault="008E72A4" w:rsidP="008E72A4">
      <w:pPr>
        <w:spacing w:after="200" w:line="276" w:lineRule="auto"/>
        <w:jc w:val="left"/>
        <w:rPr>
          <w:lang w:val="en-US"/>
        </w:rPr>
      </w:pPr>
      <w:r w:rsidRPr="00E91D51">
        <w:rPr>
          <w:b/>
          <w:lang w:val="en-US"/>
        </w:rPr>
        <w:lastRenderedPageBreak/>
        <w:t>Sup. Table 1.</w:t>
      </w:r>
      <w:r>
        <w:rPr>
          <w:lang w:val="en-US"/>
        </w:rPr>
        <w:t xml:space="preserve"> </w:t>
      </w:r>
      <w:r w:rsidR="009348F4">
        <w:rPr>
          <w:lang w:val="en-US"/>
        </w:rPr>
        <w:t xml:space="preserve">Tree resistance </w:t>
      </w:r>
      <w:r>
        <w:rPr>
          <w:lang w:val="en-US"/>
        </w:rPr>
        <w:t xml:space="preserve">to DED, measured as </w:t>
      </w:r>
      <w:r w:rsidR="00DA660E">
        <w:rPr>
          <w:lang w:val="en-US"/>
        </w:rPr>
        <w:t>the</w:t>
      </w:r>
      <w:r>
        <w:rPr>
          <w:lang w:val="en-US"/>
        </w:rPr>
        <w:t xml:space="preserve"> percentage of the </w:t>
      </w:r>
      <w:r w:rsidR="009348F4">
        <w:rPr>
          <w:lang w:val="en-US"/>
        </w:rPr>
        <w:t>foliage</w:t>
      </w:r>
      <w:r>
        <w:rPr>
          <w:lang w:val="en-US"/>
        </w:rPr>
        <w:t xml:space="preserve"> wilting, shown by the 10 selected </w:t>
      </w:r>
      <w:proofErr w:type="spellStart"/>
      <w:r w:rsidRPr="008A79C6">
        <w:rPr>
          <w:i/>
          <w:lang w:val="en-US"/>
        </w:rPr>
        <w:t>Ulmus</w:t>
      </w:r>
      <w:proofErr w:type="spellEnd"/>
      <w:r w:rsidRPr="008A79C6">
        <w:rPr>
          <w:i/>
          <w:lang w:val="en-US"/>
        </w:rPr>
        <w:t xml:space="preserve"> minor</w:t>
      </w:r>
      <w:r>
        <w:rPr>
          <w:lang w:val="en-US"/>
        </w:rPr>
        <w:t xml:space="preserve"> genotypes </w:t>
      </w:r>
      <w:r w:rsidR="009348F4">
        <w:rPr>
          <w:lang w:val="en-US"/>
        </w:rPr>
        <w:t xml:space="preserve">in different inoculation tests performed </w:t>
      </w:r>
      <w:r>
        <w:rPr>
          <w:lang w:val="en-US"/>
        </w:rPr>
        <w:t xml:space="preserve">at Puerta de </w:t>
      </w:r>
      <w:proofErr w:type="spellStart"/>
      <w:r>
        <w:rPr>
          <w:lang w:val="en-US"/>
        </w:rPr>
        <w:t>Hierro</w:t>
      </w:r>
      <w:proofErr w:type="spellEnd"/>
      <w:r>
        <w:rPr>
          <w:lang w:val="en-US"/>
        </w:rPr>
        <w:t xml:space="preserve"> Forest Breeding Centre</w:t>
      </w:r>
      <w:r w:rsidR="009348F4">
        <w:rPr>
          <w:lang w:val="en-US"/>
        </w:rPr>
        <w:t xml:space="preserve"> (Madrid, Spain)</w:t>
      </w:r>
      <w:r>
        <w:rPr>
          <w:lang w:val="en-US"/>
        </w:rPr>
        <w:t>.</w:t>
      </w:r>
      <w:r w:rsidR="00DA660E">
        <w:rPr>
          <w:lang w:val="en-US"/>
        </w:rPr>
        <w:t xml:space="preserve"> </w:t>
      </w:r>
      <w:r w:rsidR="0021423E">
        <w:rPr>
          <w:lang w:val="en-US"/>
        </w:rPr>
        <w:t>In each year, f</w:t>
      </w:r>
      <w:r w:rsidR="00DA660E">
        <w:rPr>
          <w:lang w:val="en-US"/>
        </w:rPr>
        <w:t xml:space="preserve">oliage wilting values were recorded 60 days after inoculation with </w:t>
      </w:r>
      <w:proofErr w:type="spellStart"/>
      <w:r w:rsidR="00DA660E" w:rsidRPr="00BD1CC4">
        <w:rPr>
          <w:i/>
          <w:lang w:val="en-US"/>
        </w:rPr>
        <w:t>Ophiostoma</w:t>
      </w:r>
      <w:proofErr w:type="spellEnd"/>
      <w:r w:rsidR="00DA660E" w:rsidRPr="00BD1CC4">
        <w:rPr>
          <w:i/>
          <w:lang w:val="en-US"/>
        </w:rPr>
        <w:t xml:space="preserve"> novo-</w:t>
      </w:r>
      <w:proofErr w:type="spellStart"/>
      <w:r w:rsidR="00DA660E" w:rsidRPr="00BD1CC4">
        <w:rPr>
          <w:i/>
          <w:lang w:val="en-US"/>
        </w:rPr>
        <w:t>ulmi</w:t>
      </w:r>
      <w:proofErr w:type="spellEnd"/>
      <w:r w:rsidR="00DA660E">
        <w:rPr>
          <w:lang w:val="en-US"/>
        </w:rPr>
        <w:t>.</w:t>
      </w:r>
      <w:r>
        <w:rPr>
          <w:lang w:val="en-US"/>
        </w:rPr>
        <w:t xml:space="preserve"> </w:t>
      </w:r>
    </w:p>
    <w:tbl>
      <w:tblPr>
        <w:tblStyle w:val="TableGrid"/>
        <w:tblW w:w="12077" w:type="dxa"/>
        <w:tblLayout w:type="fixed"/>
        <w:tblCellMar>
          <w:left w:w="113" w:type="dxa"/>
          <w:right w:w="85" w:type="dxa"/>
        </w:tblCellMar>
        <w:tblLook w:val="04A0" w:firstRow="1" w:lastRow="0" w:firstColumn="1" w:lastColumn="0" w:noHBand="0" w:noVBand="1"/>
      </w:tblPr>
      <w:tblGrid>
        <w:gridCol w:w="879"/>
        <w:gridCol w:w="2126"/>
        <w:gridCol w:w="1275"/>
        <w:gridCol w:w="1276"/>
        <w:gridCol w:w="1276"/>
        <w:gridCol w:w="1276"/>
        <w:gridCol w:w="1276"/>
        <w:gridCol w:w="1276"/>
        <w:gridCol w:w="1417"/>
      </w:tblGrid>
      <w:tr w:rsidR="008E72A4" w:rsidRPr="008A79C6" w14:paraId="6AB5EF00" w14:textId="77777777" w:rsidTr="009C1263">
        <w:trPr>
          <w:trHeight w:val="300"/>
        </w:trPr>
        <w:tc>
          <w:tcPr>
            <w:tcW w:w="879" w:type="dxa"/>
            <w:vMerge w:val="restart"/>
            <w:tcBorders>
              <w:left w:val="nil"/>
              <w:right w:val="nil"/>
            </w:tcBorders>
            <w:noWrap/>
            <w:tcMar>
              <w:left w:w="28" w:type="dxa"/>
              <w:right w:w="28" w:type="dxa"/>
            </w:tcMar>
            <w:vAlign w:val="center"/>
          </w:tcPr>
          <w:p w14:paraId="1FA77B45" w14:textId="77777777" w:rsidR="008E72A4" w:rsidRPr="00BD1CC4" w:rsidRDefault="008E72A4" w:rsidP="009C1263">
            <w:pPr>
              <w:spacing w:after="0" w:line="240" w:lineRule="auto"/>
              <w:jc w:val="left"/>
              <w:rPr>
                <w:rFonts w:ascii="Arial Narrow" w:eastAsia="Times New Roman" w:hAnsi="Arial Narrow" w:cs="Times New Roman"/>
                <w:b/>
                <w:color w:val="000000"/>
                <w:sz w:val="20"/>
                <w:szCs w:val="20"/>
                <w:lang w:val="en-US"/>
              </w:rPr>
            </w:pPr>
            <w:r w:rsidRPr="00BD1CC4">
              <w:rPr>
                <w:rFonts w:ascii="Arial Narrow" w:eastAsia="Times New Roman" w:hAnsi="Arial Narrow" w:cs="Times New Roman"/>
                <w:b/>
                <w:color w:val="000000"/>
                <w:sz w:val="20"/>
                <w:szCs w:val="20"/>
                <w:lang w:val="en-US"/>
              </w:rPr>
              <w:t>Genotype</w:t>
            </w:r>
          </w:p>
        </w:tc>
        <w:tc>
          <w:tcPr>
            <w:tcW w:w="2126" w:type="dxa"/>
            <w:vMerge w:val="restart"/>
            <w:tcBorders>
              <w:left w:val="nil"/>
              <w:right w:val="nil"/>
            </w:tcBorders>
            <w:tcMar>
              <w:left w:w="28" w:type="dxa"/>
              <w:right w:w="28" w:type="dxa"/>
            </w:tcMar>
            <w:vAlign w:val="center"/>
          </w:tcPr>
          <w:p w14:paraId="7730B80A" w14:textId="77777777" w:rsidR="008E72A4" w:rsidRPr="00BD1CC4" w:rsidRDefault="008E72A4" w:rsidP="009C1263">
            <w:pPr>
              <w:spacing w:after="0" w:line="240" w:lineRule="auto"/>
              <w:jc w:val="left"/>
              <w:rPr>
                <w:rFonts w:ascii="Arial Narrow" w:eastAsia="Times New Roman" w:hAnsi="Arial Narrow" w:cs="Times New Roman"/>
                <w:b/>
                <w:color w:val="000000"/>
                <w:sz w:val="20"/>
                <w:szCs w:val="20"/>
                <w:lang w:val="en-US"/>
              </w:rPr>
            </w:pPr>
            <w:r w:rsidRPr="00BD1CC4">
              <w:rPr>
                <w:rFonts w:ascii="Arial Narrow" w:eastAsia="Times New Roman" w:hAnsi="Arial Narrow" w:cs="Times New Roman"/>
                <w:b/>
                <w:color w:val="000000"/>
                <w:sz w:val="20"/>
                <w:szCs w:val="20"/>
                <w:lang w:val="en-US"/>
              </w:rPr>
              <w:t>Origin in Spain</w:t>
            </w:r>
          </w:p>
        </w:tc>
        <w:tc>
          <w:tcPr>
            <w:tcW w:w="7655" w:type="dxa"/>
            <w:gridSpan w:val="6"/>
            <w:tcBorders>
              <w:left w:val="nil"/>
              <w:bottom w:val="single" w:sz="4" w:space="0" w:color="auto"/>
              <w:right w:val="nil"/>
            </w:tcBorders>
            <w:noWrap/>
            <w:tcMar>
              <w:left w:w="28" w:type="dxa"/>
              <w:right w:w="28" w:type="dxa"/>
            </w:tcMar>
            <w:vAlign w:val="center"/>
          </w:tcPr>
          <w:p w14:paraId="23115DC2" w14:textId="366196A0" w:rsidR="008E72A4" w:rsidRPr="008E72A4" w:rsidRDefault="009348F4" w:rsidP="009348F4">
            <w:pPr>
              <w:spacing w:line="240" w:lineRule="auto"/>
              <w:jc w:val="center"/>
              <w:rPr>
                <w:rFonts w:ascii="Arial Narrow" w:eastAsia="Times New Roman" w:hAnsi="Arial Narrow" w:cs="Times New Roman"/>
                <w:b/>
                <w:color w:val="000000"/>
                <w:sz w:val="20"/>
                <w:szCs w:val="20"/>
                <w:lang w:val="en-US"/>
              </w:rPr>
            </w:pPr>
            <w:r>
              <w:rPr>
                <w:rFonts w:ascii="Arial Narrow" w:eastAsia="Times New Roman" w:hAnsi="Arial Narrow" w:cs="Times New Roman"/>
                <w:b/>
                <w:color w:val="000000"/>
                <w:sz w:val="20"/>
                <w:szCs w:val="20"/>
                <w:lang w:val="en-US"/>
              </w:rPr>
              <w:t>Foliage</w:t>
            </w:r>
            <w:r w:rsidRPr="008E72A4">
              <w:rPr>
                <w:rFonts w:ascii="Arial Narrow" w:eastAsia="Times New Roman" w:hAnsi="Arial Narrow" w:cs="Times New Roman"/>
                <w:b/>
                <w:color w:val="000000"/>
                <w:sz w:val="20"/>
                <w:szCs w:val="20"/>
                <w:lang w:val="en-US"/>
              </w:rPr>
              <w:t xml:space="preserve"> </w:t>
            </w:r>
            <w:r w:rsidR="008E72A4" w:rsidRPr="008E72A4">
              <w:rPr>
                <w:rFonts w:ascii="Arial Narrow" w:eastAsia="Times New Roman" w:hAnsi="Arial Narrow" w:cs="Times New Roman"/>
                <w:b/>
                <w:color w:val="000000"/>
                <w:sz w:val="20"/>
                <w:szCs w:val="20"/>
                <w:lang w:val="en-US"/>
              </w:rPr>
              <w:t xml:space="preserve">wilting percentage </w:t>
            </w:r>
            <w:r>
              <w:rPr>
                <w:rFonts w:ascii="Arial Narrow" w:eastAsia="Times New Roman" w:hAnsi="Arial Narrow" w:cs="Times New Roman"/>
                <w:b/>
                <w:color w:val="000000"/>
                <w:sz w:val="20"/>
                <w:szCs w:val="20"/>
                <w:lang w:val="en-US"/>
              </w:rPr>
              <w:t xml:space="preserve">(mean ± SE) </w:t>
            </w:r>
            <w:r w:rsidR="008E72A4" w:rsidRPr="008E72A4">
              <w:rPr>
                <w:rFonts w:ascii="Arial Narrow" w:eastAsia="Times New Roman" w:hAnsi="Arial Narrow" w:cs="Times New Roman"/>
                <w:b/>
                <w:color w:val="000000"/>
                <w:sz w:val="20"/>
                <w:szCs w:val="20"/>
                <w:lang w:val="en-US"/>
              </w:rPr>
              <w:t>(and number of replicates)</w:t>
            </w:r>
          </w:p>
        </w:tc>
        <w:tc>
          <w:tcPr>
            <w:tcW w:w="1417" w:type="dxa"/>
            <w:vMerge w:val="restart"/>
            <w:tcBorders>
              <w:left w:val="nil"/>
              <w:right w:val="nil"/>
            </w:tcBorders>
            <w:tcMar>
              <w:left w:w="85" w:type="dxa"/>
              <w:right w:w="28" w:type="dxa"/>
            </w:tcMar>
            <w:vAlign w:val="center"/>
          </w:tcPr>
          <w:p w14:paraId="6C469458" w14:textId="71D41F53" w:rsidR="008E72A4" w:rsidRPr="008A79C6" w:rsidRDefault="008E72A4" w:rsidP="009C1263">
            <w:pPr>
              <w:spacing w:after="0" w:line="240" w:lineRule="auto"/>
              <w:jc w:val="left"/>
              <w:rPr>
                <w:rFonts w:ascii="Arial Narrow" w:eastAsia="Times New Roman" w:hAnsi="Arial Narrow" w:cs="Times New Roman"/>
                <w:b/>
                <w:color w:val="000000"/>
                <w:sz w:val="20"/>
                <w:szCs w:val="20"/>
              </w:rPr>
            </w:pPr>
            <w:r w:rsidRPr="008A79C6">
              <w:rPr>
                <w:rFonts w:ascii="Arial Narrow" w:eastAsia="Times New Roman" w:hAnsi="Arial Narrow" w:cs="Times New Roman"/>
                <w:b/>
                <w:color w:val="000000"/>
                <w:sz w:val="20"/>
                <w:szCs w:val="20"/>
              </w:rPr>
              <w:t>Average</w:t>
            </w:r>
            <w:r w:rsidR="009348F4">
              <w:rPr>
                <w:rFonts w:ascii="Arial Narrow" w:eastAsia="Times New Roman" w:hAnsi="Arial Narrow" w:cs="Times New Roman"/>
                <w:b/>
                <w:color w:val="000000"/>
                <w:sz w:val="20"/>
                <w:szCs w:val="20"/>
              </w:rPr>
              <w:t xml:space="preserve"> foliage wilting (%)</w:t>
            </w:r>
          </w:p>
        </w:tc>
      </w:tr>
      <w:tr w:rsidR="008E72A4" w:rsidRPr="008A79C6" w14:paraId="06F7F7FC" w14:textId="77777777" w:rsidTr="009C1263">
        <w:trPr>
          <w:trHeight w:val="300"/>
        </w:trPr>
        <w:tc>
          <w:tcPr>
            <w:tcW w:w="879" w:type="dxa"/>
            <w:vMerge/>
            <w:tcBorders>
              <w:left w:val="nil"/>
              <w:bottom w:val="single" w:sz="4" w:space="0" w:color="auto"/>
              <w:right w:val="nil"/>
            </w:tcBorders>
            <w:noWrap/>
            <w:tcMar>
              <w:left w:w="28" w:type="dxa"/>
              <w:right w:w="28" w:type="dxa"/>
            </w:tcMar>
            <w:vAlign w:val="center"/>
            <w:hideMark/>
          </w:tcPr>
          <w:p w14:paraId="609EB6BA" w14:textId="77777777" w:rsidR="008E72A4" w:rsidRPr="008A79C6" w:rsidRDefault="008E72A4" w:rsidP="009C1263">
            <w:pPr>
              <w:spacing w:line="240" w:lineRule="auto"/>
              <w:jc w:val="left"/>
              <w:rPr>
                <w:rFonts w:ascii="Arial Narrow" w:eastAsia="Times New Roman" w:hAnsi="Arial Narrow" w:cs="Times New Roman"/>
                <w:b/>
                <w:color w:val="000000"/>
                <w:sz w:val="20"/>
                <w:szCs w:val="20"/>
              </w:rPr>
            </w:pPr>
          </w:p>
        </w:tc>
        <w:tc>
          <w:tcPr>
            <w:tcW w:w="2126" w:type="dxa"/>
            <w:vMerge/>
            <w:tcBorders>
              <w:left w:val="nil"/>
              <w:bottom w:val="single" w:sz="4" w:space="0" w:color="auto"/>
              <w:right w:val="nil"/>
            </w:tcBorders>
            <w:tcMar>
              <w:left w:w="28" w:type="dxa"/>
              <w:right w:w="28" w:type="dxa"/>
            </w:tcMar>
            <w:vAlign w:val="center"/>
          </w:tcPr>
          <w:p w14:paraId="43D4F4B5" w14:textId="77777777" w:rsidR="008E72A4" w:rsidRPr="008A79C6" w:rsidRDefault="008E72A4" w:rsidP="009C1263">
            <w:pPr>
              <w:spacing w:line="240" w:lineRule="auto"/>
              <w:jc w:val="left"/>
              <w:rPr>
                <w:rFonts w:ascii="Arial Narrow" w:eastAsia="Times New Roman" w:hAnsi="Arial Narrow" w:cs="Times New Roman"/>
                <w:b/>
                <w:color w:val="000000"/>
                <w:sz w:val="20"/>
                <w:szCs w:val="20"/>
              </w:rPr>
            </w:pPr>
          </w:p>
        </w:tc>
        <w:tc>
          <w:tcPr>
            <w:tcW w:w="1275" w:type="dxa"/>
            <w:tcBorders>
              <w:left w:val="nil"/>
              <w:bottom w:val="single" w:sz="4" w:space="0" w:color="auto"/>
              <w:right w:val="nil"/>
            </w:tcBorders>
            <w:noWrap/>
            <w:tcMar>
              <w:left w:w="28" w:type="dxa"/>
              <w:right w:w="28" w:type="dxa"/>
            </w:tcMar>
            <w:vAlign w:val="center"/>
            <w:hideMark/>
          </w:tcPr>
          <w:p w14:paraId="5BBC9640" w14:textId="77811F5E"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2002</w:t>
            </w:r>
          </w:p>
        </w:tc>
        <w:tc>
          <w:tcPr>
            <w:tcW w:w="1276" w:type="dxa"/>
            <w:tcBorders>
              <w:left w:val="nil"/>
              <w:bottom w:val="single" w:sz="4" w:space="0" w:color="auto"/>
              <w:right w:val="nil"/>
            </w:tcBorders>
            <w:noWrap/>
            <w:tcMar>
              <w:left w:w="28" w:type="dxa"/>
              <w:right w:w="28" w:type="dxa"/>
            </w:tcMar>
            <w:vAlign w:val="center"/>
            <w:hideMark/>
          </w:tcPr>
          <w:p w14:paraId="6CDCEE90" w14:textId="2F9D5D8C"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2008</w:t>
            </w:r>
          </w:p>
        </w:tc>
        <w:tc>
          <w:tcPr>
            <w:tcW w:w="1276" w:type="dxa"/>
            <w:tcBorders>
              <w:left w:val="nil"/>
              <w:bottom w:val="single" w:sz="4" w:space="0" w:color="auto"/>
              <w:right w:val="nil"/>
            </w:tcBorders>
            <w:noWrap/>
            <w:tcMar>
              <w:left w:w="28" w:type="dxa"/>
              <w:right w:w="28" w:type="dxa"/>
            </w:tcMar>
            <w:vAlign w:val="center"/>
            <w:hideMark/>
          </w:tcPr>
          <w:p w14:paraId="72B8F7EE" w14:textId="431A9C33"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2009</w:t>
            </w:r>
          </w:p>
        </w:tc>
        <w:tc>
          <w:tcPr>
            <w:tcW w:w="1276" w:type="dxa"/>
            <w:tcBorders>
              <w:left w:val="nil"/>
              <w:bottom w:val="single" w:sz="4" w:space="0" w:color="auto"/>
              <w:right w:val="nil"/>
            </w:tcBorders>
            <w:noWrap/>
            <w:tcMar>
              <w:left w:w="28" w:type="dxa"/>
              <w:right w:w="28" w:type="dxa"/>
            </w:tcMar>
            <w:vAlign w:val="center"/>
            <w:hideMark/>
          </w:tcPr>
          <w:p w14:paraId="3D0C5BC6" w14:textId="6EE73048"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2010</w:t>
            </w:r>
          </w:p>
        </w:tc>
        <w:tc>
          <w:tcPr>
            <w:tcW w:w="1276" w:type="dxa"/>
            <w:tcBorders>
              <w:left w:val="nil"/>
              <w:bottom w:val="single" w:sz="4" w:space="0" w:color="auto"/>
              <w:right w:val="nil"/>
            </w:tcBorders>
            <w:noWrap/>
            <w:tcMar>
              <w:left w:w="28" w:type="dxa"/>
              <w:right w:w="28" w:type="dxa"/>
            </w:tcMar>
            <w:vAlign w:val="center"/>
            <w:hideMark/>
          </w:tcPr>
          <w:p w14:paraId="1E298D94" w14:textId="36343F9B"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2011</w:t>
            </w:r>
          </w:p>
        </w:tc>
        <w:tc>
          <w:tcPr>
            <w:tcW w:w="1276" w:type="dxa"/>
            <w:tcBorders>
              <w:left w:val="nil"/>
              <w:bottom w:val="single" w:sz="4" w:space="0" w:color="auto"/>
              <w:right w:val="nil"/>
            </w:tcBorders>
            <w:noWrap/>
            <w:tcMar>
              <w:left w:w="28" w:type="dxa"/>
              <w:right w:w="28" w:type="dxa"/>
            </w:tcMar>
            <w:vAlign w:val="center"/>
            <w:hideMark/>
          </w:tcPr>
          <w:p w14:paraId="3B2927A7" w14:textId="0D78E41F" w:rsidR="008E72A4" w:rsidRPr="008A79C6" w:rsidRDefault="009348F4" w:rsidP="009C1263">
            <w:pPr>
              <w:spacing w:line="240" w:lineRule="auto"/>
              <w:jc w:val="left"/>
              <w:rPr>
                <w:rFonts w:ascii="Arial Narrow" w:eastAsia="Times New Roman" w:hAnsi="Arial Narrow" w:cs="Times New Roman"/>
                <w:b/>
                <w:color w:val="000000"/>
                <w:sz w:val="20"/>
                <w:szCs w:val="20"/>
              </w:rPr>
            </w:pPr>
            <w:r>
              <w:rPr>
                <w:rFonts w:ascii="Arial Narrow" w:eastAsia="Times New Roman" w:hAnsi="Arial Narrow" w:cs="Times New Roman"/>
                <w:b/>
                <w:color w:val="000000"/>
                <w:sz w:val="20"/>
                <w:szCs w:val="20"/>
              </w:rPr>
              <w:t xml:space="preserve">Year </w:t>
            </w:r>
            <w:r w:rsidR="008E72A4" w:rsidRPr="008A79C6">
              <w:rPr>
                <w:rFonts w:ascii="Arial Narrow" w:eastAsia="Times New Roman" w:hAnsi="Arial Narrow" w:cs="Times New Roman"/>
                <w:b/>
                <w:color w:val="000000"/>
                <w:sz w:val="20"/>
                <w:szCs w:val="20"/>
              </w:rPr>
              <w:t>2012</w:t>
            </w:r>
          </w:p>
        </w:tc>
        <w:tc>
          <w:tcPr>
            <w:tcW w:w="1417" w:type="dxa"/>
            <w:vMerge/>
            <w:tcBorders>
              <w:left w:val="nil"/>
              <w:bottom w:val="single" w:sz="4" w:space="0" w:color="auto"/>
              <w:right w:val="nil"/>
            </w:tcBorders>
            <w:tcMar>
              <w:left w:w="28" w:type="dxa"/>
              <w:right w:w="28" w:type="dxa"/>
            </w:tcMar>
            <w:vAlign w:val="center"/>
          </w:tcPr>
          <w:p w14:paraId="34E3170C" w14:textId="77777777" w:rsidR="008E72A4" w:rsidRPr="008A79C6" w:rsidRDefault="008E72A4" w:rsidP="009C1263">
            <w:pPr>
              <w:spacing w:line="240" w:lineRule="auto"/>
              <w:jc w:val="left"/>
              <w:rPr>
                <w:rFonts w:ascii="Arial Narrow" w:eastAsia="Times New Roman" w:hAnsi="Arial Narrow" w:cs="Times New Roman"/>
                <w:b/>
                <w:color w:val="000000"/>
                <w:sz w:val="20"/>
                <w:szCs w:val="20"/>
              </w:rPr>
            </w:pPr>
          </w:p>
        </w:tc>
      </w:tr>
      <w:tr w:rsidR="008E72A4" w:rsidRPr="008A79C6" w14:paraId="174E1797" w14:textId="77777777" w:rsidTr="009C1263">
        <w:trPr>
          <w:trHeight w:val="300"/>
        </w:trPr>
        <w:tc>
          <w:tcPr>
            <w:tcW w:w="879" w:type="dxa"/>
            <w:tcBorders>
              <w:left w:val="nil"/>
              <w:bottom w:val="nil"/>
              <w:right w:val="nil"/>
            </w:tcBorders>
            <w:noWrap/>
            <w:tcMar>
              <w:left w:w="28" w:type="dxa"/>
              <w:right w:w="28" w:type="dxa"/>
            </w:tcMar>
            <w:vAlign w:val="center"/>
            <w:hideMark/>
          </w:tcPr>
          <w:p w14:paraId="71F1431B"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CR-RD2</w:t>
            </w:r>
          </w:p>
        </w:tc>
        <w:tc>
          <w:tcPr>
            <w:tcW w:w="2126" w:type="dxa"/>
            <w:tcBorders>
              <w:left w:val="nil"/>
              <w:bottom w:val="nil"/>
              <w:right w:val="nil"/>
            </w:tcBorders>
            <w:tcMar>
              <w:left w:w="28" w:type="dxa"/>
              <w:right w:w="28" w:type="dxa"/>
            </w:tcMar>
            <w:vAlign w:val="center"/>
          </w:tcPr>
          <w:p w14:paraId="4FA8445D"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Ruidera, Ciudad Real</w:t>
            </w:r>
          </w:p>
        </w:tc>
        <w:tc>
          <w:tcPr>
            <w:tcW w:w="1275" w:type="dxa"/>
            <w:tcBorders>
              <w:left w:val="nil"/>
              <w:bottom w:val="nil"/>
              <w:right w:val="nil"/>
            </w:tcBorders>
            <w:noWrap/>
            <w:tcMar>
              <w:left w:w="28" w:type="dxa"/>
              <w:right w:w="28" w:type="dxa"/>
            </w:tcMar>
            <w:vAlign w:val="center"/>
            <w:hideMark/>
          </w:tcPr>
          <w:p w14:paraId="055390CF"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93.7 ± 8.3 (8)</w:t>
            </w:r>
          </w:p>
        </w:tc>
        <w:tc>
          <w:tcPr>
            <w:tcW w:w="1276" w:type="dxa"/>
            <w:tcBorders>
              <w:left w:val="nil"/>
              <w:bottom w:val="nil"/>
              <w:right w:val="nil"/>
            </w:tcBorders>
            <w:noWrap/>
            <w:tcMar>
              <w:left w:w="28" w:type="dxa"/>
              <w:right w:w="28" w:type="dxa"/>
            </w:tcMar>
            <w:vAlign w:val="center"/>
            <w:hideMark/>
          </w:tcPr>
          <w:p w14:paraId="71E713B0"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left w:val="nil"/>
              <w:bottom w:val="nil"/>
              <w:right w:val="nil"/>
            </w:tcBorders>
            <w:noWrap/>
            <w:tcMar>
              <w:left w:w="28" w:type="dxa"/>
              <w:right w:w="28" w:type="dxa"/>
            </w:tcMar>
            <w:vAlign w:val="center"/>
            <w:hideMark/>
          </w:tcPr>
          <w:p w14:paraId="48EB338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left w:val="nil"/>
              <w:bottom w:val="nil"/>
              <w:right w:val="nil"/>
            </w:tcBorders>
            <w:noWrap/>
            <w:tcMar>
              <w:left w:w="28" w:type="dxa"/>
              <w:right w:w="28" w:type="dxa"/>
            </w:tcMar>
            <w:vAlign w:val="center"/>
            <w:hideMark/>
          </w:tcPr>
          <w:p w14:paraId="0223E3B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left w:val="nil"/>
              <w:bottom w:val="nil"/>
              <w:right w:val="nil"/>
            </w:tcBorders>
            <w:noWrap/>
            <w:tcMar>
              <w:left w:w="28" w:type="dxa"/>
              <w:right w:w="28" w:type="dxa"/>
            </w:tcMar>
            <w:vAlign w:val="center"/>
            <w:hideMark/>
          </w:tcPr>
          <w:p w14:paraId="35E37CA8"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left w:val="nil"/>
              <w:bottom w:val="nil"/>
              <w:right w:val="nil"/>
            </w:tcBorders>
            <w:noWrap/>
            <w:tcMar>
              <w:left w:w="28" w:type="dxa"/>
              <w:right w:w="28" w:type="dxa"/>
            </w:tcMar>
            <w:vAlign w:val="center"/>
            <w:hideMark/>
          </w:tcPr>
          <w:p w14:paraId="7332141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left w:val="nil"/>
              <w:bottom w:val="nil"/>
              <w:right w:val="nil"/>
            </w:tcBorders>
            <w:tcMar>
              <w:left w:w="85" w:type="dxa"/>
              <w:right w:w="28" w:type="dxa"/>
            </w:tcMar>
            <w:vAlign w:val="center"/>
          </w:tcPr>
          <w:p w14:paraId="6338DB9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93.7 ± 8.3</w:t>
            </w:r>
          </w:p>
        </w:tc>
      </w:tr>
      <w:tr w:rsidR="008E72A4" w:rsidRPr="008A79C6" w14:paraId="1EE6E32C"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29EBB18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GR-DF3</w:t>
            </w:r>
          </w:p>
        </w:tc>
        <w:tc>
          <w:tcPr>
            <w:tcW w:w="2126" w:type="dxa"/>
            <w:tcBorders>
              <w:top w:val="nil"/>
              <w:left w:val="nil"/>
              <w:bottom w:val="nil"/>
              <w:right w:val="nil"/>
            </w:tcBorders>
            <w:tcMar>
              <w:left w:w="28" w:type="dxa"/>
              <w:right w:w="28" w:type="dxa"/>
            </w:tcMar>
            <w:vAlign w:val="center"/>
          </w:tcPr>
          <w:p w14:paraId="52057DCD"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Deifontes, Granada</w:t>
            </w:r>
          </w:p>
        </w:tc>
        <w:tc>
          <w:tcPr>
            <w:tcW w:w="1275" w:type="dxa"/>
            <w:tcBorders>
              <w:top w:val="nil"/>
              <w:left w:val="nil"/>
              <w:bottom w:val="nil"/>
              <w:right w:val="nil"/>
            </w:tcBorders>
            <w:noWrap/>
            <w:tcMar>
              <w:left w:w="28" w:type="dxa"/>
              <w:right w:w="28" w:type="dxa"/>
            </w:tcMar>
            <w:vAlign w:val="center"/>
            <w:hideMark/>
          </w:tcPr>
          <w:p w14:paraId="37B7F67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37.6 ±8.9 (7)</w:t>
            </w:r>
          </w:p>
        </w:tc>
        <w:tc>
          <w:tcPr>
            <w:tcW w:w="1276" w:type="dxa"/>
            <w:tcBorders>
              <w:top w:val="nil"/>
              <w:left w:val="nil"/>
              <w:bottom w:val="nil"/>
              <w:right w:val="nil"/>
            </w:tcBorders>
            <w:noWrap/>
            <w:tcMar>
              <w:left w:w="28" w:type="dxa"/>
              <w:right w:w="28" w:type="dxa"/>
            </w:tcMar>
            <w:vAlign w:val="center"/>
            <w:hideMark/>
          </w:tcPr>
          <w:p w14:paraId="2776262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AA20BCA"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28.7 ± 4.8 (9)</w:t>
            </w:r>
          </w:p>
        </w:tc>
        <w:tc>
          <w:tcPr>
            <w:tcW w:w="1276" w:type="dxa"/>
            <w:tcBorders>
              <w:top w:val="nil"/>
              <w:left w:val="nil"/>
              <w:bottom w:val="nil"/>
              <w:right w:val="nil"/>
            </w:tcBorders>
            <w:noWrap/>
            <w:tcMar>
              <w:left w:w="28" w:type="dxa"/>
              <w:right w:w="28" w:type="dxa"/>
            </w:tcMar>
            <w:vAlign w:val="center"/>
            <w:hideMark/>
          </w:tcPr>
          <w:p w14:paraId="35AB46FC"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 xml:space="preserve">47.7 ± 7.4 (9) </w:t>
            </w:r>
          </w:p>
        </w:tc>
        <w:tc>
          <w:tcPr>
            <w:tcW w:w="1276" w:type="dxa"/>
            <w:tcBorders>
              <w:top w:val="nil"/>
              <w:left w:val="nil"/>
              <w:bottom w:val="nil"/>
              <w:right w:val="nil"/>
            </w:tcBorders>
            <w:noWrap/>
            <w:tcMar>
              <w:left w:w="28" w:type="dxa"/>
              <w:right w:w="28" w:type="dxa"/>
            </w:tcMar>
            <w:vAlign w:val="center"/>
            <w:hideMark/>
          </w:tcPr>
          <w:p w14:paraId="06CEFC1B"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34.4 ± 4.4 (9)</w:t>
            </w:r>
          </w:p>
        </w:tc>
        <w:tc>
          <w:tcPr>
            <w:tcW w:w="1276" w:type="dxa"/>
            <w:tcBorders>
              <w:top w:val="nil"/>
              <w:left w:val="nil"/>
              <w:bottom w:val="nil"/>
              <w:right w:val="nil"/>
            </w:tcBorders>
            <w:noWrap/>
            <w:tcMar>
              <w:left w:w="28" w:type="dxa"/>
              <w:right w:w="28" w:type="dxa"/>
            </w:tcMar>
            <w:vAlign w:val="center"/>
            <w:hideMark/>
          </w:tcPr>
          <w:p w14:paraId="4DAA410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top w:val="nil"/>
              <w:left w:val="nil"/>
              <w:bottom w:val="nil"/>
              <w:right w:val="nil"/>
            </w:tcBorders>
            <w:tcMar>
              <w:left w:w="85" w:type="dxa"/>
              <w:right w:w="28" w:type="dxa"/>
            </w:tcMar>
            <w:vAlign w:val="center"/>
          </w:tcPr>
          <w:p w14:paraId="178D32E9"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37.1 ± 4.0</w:t>
            </w:r>
          </w:p>
        </w:tc>
      </w:tr>
      <w:tr w:rsidR="008E72A4" w:rsidRPr="008A79C6" w14:paraId="50F339EF"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1AA5D040"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GR-HL2</w:t>
            </w:r>
          </w:p>
        </w:tc>
        <w:tc>
          <w:tcPr>
            <w:tcW w:w="2126" w:type="dxa"/>
            <w:tcBorders>
              <w:top w:val="nil"/>
              <w:left w:val="nil"/>
              <w:bottom w:val="nil"/>
              <w:right w:val="nil"/>
            </w:tcBorders>
            <w:tcMar>
              <w:left w:w="28" w:type="dxa"/>
              <w:right w:w="28" w:type="dxa"/>
            </w:tcMar>
            <w:vAlign w:val="center"/>
          </w:tcPr>
          <w:p w14:paraId="6632E2B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Huélago, Granada</w:t>
            </w:r>
          </w:p>
        </w:tc>
        <w:tc>
          <w:tcPr>
            <w:tcW w:w="1275" w:type="dxa"/>
            <w:tcBorders>
              <w:top w:val="nil"/>
              <w:left w:val="nil"/>
              <w:bottom w:val="nil"/>
              <w:right w:val="nil"/>
            </w:tcBorders>
            <w:noWrap/>
            <w:tcMar>
              <w:left w:w="28" w:type="dxa"/>
              <w:right w:w="28" w:type="dxa"/>
            </w:tcMar>
            <w:vAlign w:val="center"/>
            <w:hideMark/>
          </w:tcPr>
          <w:p w14:paraId="49317567"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81.2 ± 8.3 (8)</w:t>
            </w:r>
          </w:p>
        </w:tc>
        <w:tc>
          <w:tcPr>
            <w:tcW w:w="1276" w:type="dxa"/>
            <w:tcBorders>
              <w:top w:val="nil"/>
              <w:left w:val="nil"/>
              <w:bottom w:val="nil"/>
              <w:right w:val="nil"/>
            </w:tcBorders>
            <w:noWrap/>
            <w:tcMar>
              <w:left w:w="28" w:type="dxa"/>
              <w:right w:w="28" w:type="dxa"/>
            </w:tcMar>
            <w:vAlign w:val="center"/>
            <w:hideMark/>
          </w:tcPr>
          <w:p w14:paraId="0971DD38"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04056ED"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F53BB08"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A3B025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44D594C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top w:val="nil"/>
              <w:left w:val="nil"/>
              <w:bottom w:val="nil"/>
              <w:right w:val="nil"/>
            </w:tcBorders>
            <w:tcMar>
              <w:left w:w="85" w:type="dxa"/>
              <w:right w:w="28" w:type="dxa"/>
            </w:tcMar>
            <w:vAlign w:val="center"/>
          </w:tcPr>
          <w:p w14:paraId="50B87F29"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81.2 ± 8.3</w:t>
            </w:r>
          </w:p>
        </w:tc>
      </w:tr>
      <w:tr w:rsidR="008E72A4" w:rsidRPr="008A79C6" w14:paraId="3ACAE1EE"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1E027133"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J-CA2</w:t>
            </w:r>
          </w:p>
        </w:tc>
        <w:tc>
          <w:tcPr>
            <w:tcW w:w="2126" w:type="dxa"/>
            <w:tcBorders>
              <w:top w:val="nil"/>
              <w:left w:val="nil"/>
              <w:bottom w:val="nil"/>
              <w:right w:val="nil"/>
            </w:tcBorders>
            <w:tcMar>
              <w:left w:w="28" w:type="dxa"/>
              <w:right w:w="28" w:type="dxa"/>
            </w:tcMar>
            <w:vAlign w:val="center"/>
          </w:tcPr>
          <w:p w14:paraId="5EBD702A"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Jaen</w:t>
            </w:r>
            <w:r>
              <w:rPr>
                <w:rFonts w:ascii="Arial Narrow" w:eastAsia="Times New Roman" w:hAnsi="Arial Narrow" w:cs="Times New Roman"/>
                <w:color w:val="000000"/>
                <w:sz w:val="20"/>
                <w:szCs w:val="20"/>
              </w:rPr>
              <w:t>, Cazorla</w:t>
            </w:r>
          </w:p>
        </w:tc>
        <w:tc>
          <w:tcPr>
            <w:tcW w:w="1275" w:type="dxa"/>
            <w:tcBorders>
              <w:top w:val="nil"/>
              <w:left w:val="nil"/>
              <w:bottom w:val="nil"/>
              <w:right w:val="nil"/>
            </w:tcBorders>
            <w:noWrap/>
            <w:tcMar>
              <w:left w:w="28" w:type="dxa"/>
              <w:right w:w="28" w:type="dxa"/>
            </w:tcMar>
            <w:vAlign w:val="center"/>
            <w:hideMark/>
          </w:tcPr>
          <w:p w14:paraId="2484F5C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30.0 ± 7.4 (8)</w:t>
            </w:r>
          </w:p>
        </w:tc>
        <w:tc>
          <w:tcPr>
            <w:tcW w:w="1276" w:type="dxa"/>
            <w:tcBorders>
              <w:top w:val="nil"/>
              <w:left w:val="nil"/>
              <w:bottom w:val="nil"/>
              <w:right w:val="nil"/>
            </w:tcBorders>
            <w:noWrap/>
            <w:tcMar>
              <w:left w:w="28" w:type="dxa"/>
              <w:right w:w="28" w:type="dxa"/>
            </w:tcMar>
            <w:vAlign w:val="center"/>
            <w:hideMark/>
          </w:tcPr>
          <w:p w14:paraId="1BD5395F"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5E06AAD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29.0 ± 5.5 (10)</w:t>
            </w:r>
          </w:p>
        </w:tc>
        <w:tc>
          <w:tcPr>
            <w:tcW w:w="1276" w:type="dxa"/>
            <w:tcBorders>
              <w:top w:val="nil"/>
              <w:left w:val="nil"/>
              <w:bottom w:val="nil"/>
              <w:right w:val="nil"/>
            </w:tcBorders>
            <w:noWrap/>
            <w:tcMar>
              <w:left w:w="28" w:type="dxa"/>
              <w:right w:w="28" w:type="dxa"/>
            </w:tcMar>
            <w:vAlign w:val="center"/>
            <w:hideMark/>
          </w:tcPr>
          <w:p w14:paraId="40D4857F"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40.5 ± 6.7 (10)</w:t>
            </w:r>
          </w:p>
        </w:tc>
        <w:tc>
          <w:tcPr>
            <w:tcW w:w="1276" w:type="dxa"/>
            <w:tcBorders>
              <w:top w:val="nil"/>
              <w:left w:val="nil"/>
              <w:bottom w:val="nil"/>
              <w:right w:val="nil"/>
            </w:tcBorders>
            <w:noWrap/>
            <w:tcMar>
              <w:left w:w="28" w:type="dxa"/>
              <w:right w:w="28" w:type="dxa"/>
            </w:tcMar>
            <w:vAlign w:val="center"/>
            <w:hideMark/>
          </w:tcPr>
          <w:p w14:paraId="341223F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36FB8C5C"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top w:val="nil"/>
              <w:left w:val="nil"/>
              <w:bottom w:val="nil"/>
              <w:right w:val="nil"/>
            </w:tcBorders>
            <w:tcMar>
              <w:left w:w="85" w:type="dxa"/>
              <w:right w:w="28" w:type="dxa"/>
            </w:tcMar>
            <w:vAlign w:val="center"/>
          </w:tcPr>
          <w:p w14:paraId="6B446B07"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33.2 ± 3.7</w:t>
            </w:r>
          </w:p>
        </w:tc>
      </w:tr>
      <w:tr w:rsidR="008E72A4" w:rsidRPr="008A79C6" w14:paraId="0926CDBC"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144A410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MA-PD2</w:t>
            </w:r>
          </w:p>
        </w:tc>
        <w:tc>
          <w:tcPr>
            <w:tcW w:w="2126" w:type="dxa"/>
            <w:tcBorders>
              <w:top w:val="nil"/>
              <w:left w:val="nil"/>
              <w:bottom w:val="nil"/>
              <w:right w:val="nil"/>
            </w:tcBorders>
            <w:tcMar>
              <w:left w:w="28" w:type="dxa"/>
              <w:right w:w="28" w:type="dxa"/>
            </w:tcMar>
            <w:vAlign w:val="center"/>
          </w:tcPr>
          <w:p w14:paraId="7FAC7929"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Málaga</w:t>
            </w:r>
            <w:r>
              <w:rPr>
                <w:rFonts w:ascii="Arial Narrow" w:eastAsia="Times New Roman" w:hAnsi="Arial Narrow" w:cs="Times New Roman"/>
                <w:color w:val="000000"/>
                <w:sz w:val="20"/>
                <w:szCs w:val="20"/>
              </w:rPr>
              <w:t>, Pedrizas</w:t>
            </w:r>
          </w:p>
        </w:tc>
        <w:tc>
          <w:tcPr>
            <w:tcW w:w="1275" w:type="dxa"/>
            <w:tcBorders>
              <w:top w:val="nil"/>
              <w:left w:val="nil"/>
              <w:bottom w:val="nil"/>
              <w:right w:val="nil"/>
            </w:tcBorders>
            <w:noWrap/>
            <w:tcMar>
              <w:left w:w="28" w:type="dxa"/>
              <w:right w:w="28" w:type="dxa"/>
            </w:tcMar>
            <w:vAlign w:val="center"/>
            <w:hideMark/>
          </w:tcPr>
          <w:p w14:paraId="16B103C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36.2 ± 8.3 (8)</w:t>
            </w:r>
          </w:p>
        </w:tc>
        <w:tc>
          <w:tcPr>
            <w:tcW w:w="1276" w:type="dxa"/>
            <w:tcBorders>
              <w:top w:val="nil"/>
              <w:left w:val="nil"/>
              <w:bottom w:val="nil"/>
              <w:right w:val="nil"/>
            </w:tcBorders>
            <w:noWrap/>
            <w:tcMar>
              <w:left w:w="28" w:type="dxa"/>
              <w:right w:w="28" w:type="dxa"/>
            </w:tcMar>
            <w:vAlign w:val="center"/>
            <w:hideMark/>
          </w:tcPr>
          <w:p w14:paraId="1FEA695F"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ED91BF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A12538D"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5C1C486C"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43.5 ± 4.1 (10)</w:t>
            </w:r>
          </w:p>
        </w:tc>
        <w:tc>
          <w:tcPr>
            <w:tcW w:w="1276" w:type="dxa"/>
            <w:tcBorders>
              <w:top w:val="nil"/>
              <w:left w:val="nil"/>
              <w:bottom w:val="nil"/>
              <w:right w:val="nil"/>
            </w:tcBorders>
            <w:noWrap/>
            <w:tcMar>
              <w:left w:w="28" w:type="dxa"/>
              <w:right w:w="28" w:type="dxa"/>
            </w:tcMar>
            <w:vAlign w:val="center"/>
            <w:hideMark/>
          </w:tcPr>
          <w:p w14:paraId="44134F4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49.5 ± 7.8 (10)</w:t>
            </w:r>
          </w:p>
        </w:tc>
        <w:tc>
          <w:tcPr>
            <w:tcW w:w="1417" w:type="dxa"/>
            <w:tcBorders>
              <w:top w:val="nil"/>
              <w:left w:val="nil"/>
              <w:bottom w:val="nil"/>
              <w:right w:val="nil"/>
            </w:tcBorders>
            <w:tcMar>
              <w:left w:w="85" w:type="dxa"/>
              <w:right w:w="28" w:type="dxa"/>
            </w:tcMar>
            <w:vAlign w:val="center"/>
          </w:tcPr>
          <w:p w14:paraId="33D4E37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 xml:space="preserve">43.1 ± 3.8 </w:t>
            </w:r>
          </w:p>
        </w:tc>
      </w:tr>
      <w:tr w:rsidR="008E72A4" w:rsidRPr="008A79C6" w14:paraId="360A140E"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30AF4AB0"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M-DV1</w:t>
            </w:r>
          </w:p>
        </w:tc>
        <w:tc>
          <w:tcPr>
            <w:tcW w:w="2126" w:type="dxa"/>
            <w:tcBorders>
              <w:top w:val="nil"/>
              <w:left w:val="nil"/>
              <w:bottom w:val="nil"/>
              <w:right w:val="nil"/>
            </w:tcBorders>
            <w:tcMar>
              <w:left w:w="28" w:type="dxa"/>
              <w:right w:w="28" w:type="dxa"/>
            </w:tcMar>
            <w:vAlign w:val="center"/>
          </w:tcPr>
          <w:p w14:paraId="4FD10DEA"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Dehesa de la Villa, Madrid</w:t>
            </w:r>
          </w:p>
        </w:tc>
        <w:tc>
          <w:tcPr>
            <w:tcW w:w="1275" w:type="dxa"/>
            <w:tcBorders>
              <w:top w:val="nil"/>
              <w:left w:val="nil"/>
              <w:bottom w:val="nil"/>
              <w:right w:val="nil"/>
            </w:tcBorders>
            <w:noWrap/>
            <w:tcMar>
              <w:left w:w="28" w:type="dxa"/>
              <w:right w:w="28" w:type="dxa"/>
            </w:tcMar>
            <w:vAlign w:val="center"/>
            <w:hideMark/>
          </w:tcPr>
          <w:p w14:paraId="220FAAE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82.5 ± 8.4 (7)</w:t>
            </w:r>
          </w:p>
        </w:tc>
        <w:tc>
          <w:tcPr>
            <w:tcW w:w="1276" w:type="dxa"/>
            <w:tcBorders>
              <w:top w:val="nil"/>
              <w:left w:val="nil"/>
              <w:bottom w:val="nil"/>
              <w:right w:val="nil"/>
            </w:tcBorders>
            <w:noWrap/>
            <w:tcMar>
              <w:left w:w="28" w:type="dxa"/>
              <w:right w:w="28" w:type="dxa"/>
            </w:tcMar>
            <w:vAlign w:val="center"/>
            <w:hideMark/>
          </w:tcPr>
          <w:p w14:paraId="4E1BC159"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89.2 ± 6.4 (10)</w:t>
            </w:r>
          </w:p>
        </w:tc>
        <w:tc>
          <w:tcPr>
            <w:tcW w:w="1276" w:type="dxa"/>
            <w:tcBorders>
              <w:top w:val="nil"/>
              <w:left w:val="nil"/>
              <w:bottom w:val="nil"/>
              <w:right w:val="nil"/>
            </w:tcBorders>
            <w:noWrap/>
            <w:tcMar>
              <w:left w:w="28" w:type="dxa"/>
              <w:right w:w="28" w:type="dxa"/>
            </w:tcMar>
            <w:vAlign w:val="center"/>
            <w:hideMark/>
          </w:tcPr>
          <w:p w14:paraId="19D548FA"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87.1 ± 5.4 (10)</w:t>
            </w:r>
          </w:p>
        </w:tc>
        <w:tc>
          <w:tcPr>
            <w:tcW w:w="1276" w:type="dxa"/>
            <w:tcBorders>
              <w:top w:val="nil"/>
              <w:left w:val="nil"/>
              <w:bottom w:val="nil"/>
              <w:right w:val="nil"/>
            </w:tcBorders>
            <w:noWrap/>
            <w:tcMar>
              <w:left w:w="28" w:type="dxa"/>
              <w:right w:w="28" w:type="dxa"/>
            </w:tcMar>
            <w:vAlign w:val="center"/>
            <w:hideMark/>
          </w:tcPr>
          <w:p w14:paraId="265D69E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8B4768B"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86.7 ± 4.9 (8)</w:t>
            </w:r>
          </w:p>
        </w:tc>
        <w:tc>
          <w:tcPr>
            <w:tcW w:w="1276" w:type="dxa"/>
            <w:tcBorders>
              <w:top w:val="nil"/>
              <w:left w:val="nil"/>
              <w:bottom w:val="nil"/>
              <w:right w:val="nil"/>
            </w:tcBorders>
            <w:noWrap/>
            <w:tcMar>
              <w:left w:w="28" w:type="dxa"/>
              <w:right w:w="28" w:type="dxa"/>
            </w:tcMar>
            <w:vAlign w:val="center"/>
            <w:hideMark/>
          </w:tcPr>
          <w:p w14:paraId="6E34921A"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80.0 ± 6.3 (8)</w:t>
            </w:r>
          </w:p>
        </w:tc>
        <w:tc>
          <w:tcPr>
            <w:tcW w:w="1417" w:type="dxa"/>
            <w:tcBorders>
              <w:top w:val="nil"/>
              <w:left w:val="nil"/>
              <w:bottom w:val="nil"/>
              <w:right w:val="nil"/>
            </w:tcBorders>
            <w:tcMar>
              <w:left w:w="85" w:type="dxa"/>
              <w:right w:w="28" w:type="dxa"/>
            </w:tcMar>
            <w:vAlign w:val="center"/>
          </w:tcPr>
          <w:p w14:paraId="71D5E6F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85.1 ± 1.7</w:t>
            </w:r>
          </w:p>
        </w:tc>
      </w:tr>
      <w:tr w:rsidR="008E72A4" w:rsidRPr="008A79C6" w14:paraId="34C5B828"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3BB028D7"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M-DV5</w:t>
            </w:r>
          </w:p>
        </w:tc>
        <w:tc>
          <w:tcPr>
            <w:tcW w:w="2126" w:type="dxa"/>
            <w:tcBorders>
              <w:top w:val="nil"/>
              <w:left w:val="nil"/>
              <w:bottom w:val="nil"/>
              <w:right w:val="nil"/>
            </w:tcBorders>
            <w:tcMar>
              <w:left w:w="28" w:type="dxa"/>
              <w:right w:w="28" w:type="dxa"/>
            </w:tcMar>
            <w:vAlign w:val="center"/>
          </w:tcPr>
          <w:p w14:paraId="701B8C1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Dehesa de la Villa, Madrid</w:t>
            </w:r>
          </w:p>
        </w:tc>
        <w:tc>
          <w:tcPr>
            <w:tcW w:w="1275" w:type="dxa"/>
            <w:tcBorders>
              <w:top w:val="nil"/>
              <w:left w:val="nil"/>
              <w:bottom w:val="nil"/>
              <w:right w:val="nil"/>
            </w:tcBorders>
            <w:noWrap/>
            <w:tcMar>
              <w:left w:w="28" w:type="dxa"/>
              <w:right w:w="28" w:type="dxa"/>
            </w:tcMar>
            <w:vAlign w:val="center"/>
            <w:hideMark/>
          </w:tcPr>
          <w:p w14:paraId="6BD9E28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28.1 ± 8.3 (8)</w:t>
            </w:r>
          </w:p>
        </w:tc>
        <w:tc>
          <w:tcPr>
            <w:tcW w:w="1276" w:type="dxa"/>
            <w:tcBorders>
              <w:top w:val="nil"/>
              <w:left w:val="nil"/>
              <w:bottom w:val="nil"/>
              <w:right w:val="nil"/>
            </w:tcBorders>
            <w:noWrap/>
            <w:tcMar>
              <w:left w:w="28" w:type="dxa"/>
              <w:right w:w="28" w:type="dxa"/>
            </w:tcMar>
            <w:vAlign w:val="center"/>
            <w:hideMark/>
          </w:tcPr>
          <w:p w14:paraId="20D39030"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F4F37C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12.5 ± 5.6 (10)</w:t>
            </w:r>
          </w:p>
        </w:tc>
        <w:tc>
          <w:tcPr>
            <w:tcW w:w="1276" w:type="dxa"/>
            <w:tcBorders>
              <w:top w:val="nil"/>
              <w:left w:val="nil"/>
              <w:bottom w:val="nil"/>
              <w:right w:val="nil"/>
            </w:tcBorders>
            <w:noWrap/>
            <w:tcMar>
              <w:left w:w="28" w:type="dxa"/>
              <w:right w:w="28" w:type="dxa"/>
            </w:tcMar>
            <w:vAlign w:val="center"/>
            <w:hideMark/>
          </w:tcPr>
          <w:p w14:paraId="4D1B01C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13.5 ± 6.9 (10)</w:t>
            </w:r>
          </w:p>
        </w:tc>
        <w:tc>
          <w:tcPr>
            <w:tcW w:w="1276" w:type="dxa"/>
            <w:tcBorders>
              <w:top w:val="nil"/>
              <w:left w:val="nil"/>
              <w:bottom w:val="nil"/>
              <w:right w:val="nil"/>
            </w:tcBorders>
            <w:noWrap/>
            <w:tcMar>
              <w:left w:w="28" w:type="dxa"/>
              <w:right w:w="28" w:type="dxa"/>
            </w:tcMar>
            <w:vAlign w:val="center"/>
            <w:hideMark/>
          </w:tcPr>
          <w:p w14:paraId="201F9273"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641FBDF"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top w:val="nil"/>
              <w:left w:val="nil"/>
              <w:bottom w:val="nil"/>
              <w:right w:val="nil"/>
            </w:tcBorders>
            <w:tcMar>
              <w:left w:w="85" w:type="dxa"/>
              <w:right w:w="28" w:type="dxa"/>
            </w:tcMar>
            <w:vAlign w:val="center"/>
          </w:tcPr>
          <w:p w14:paraId="5C689FC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18.0 ± 5.0</w:t>
            </w:r>
          </w:p>
        </w:tc>
      </w:tr>
      <w:tr w:rsidR="008E72A4" w:rsidRPr="008A79C6" w14:paraId="3EA25BC6"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2036B8D7"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M-R</w:t>
            </w:r>
            <w:r>
              <w:rPr>
                <w:rFonts w:ascii="Arial Narrow" w:eastAsia="Times New Roman" w:hAnsi="Arial Narrow" w:cs="Times New Roman"/>
                <w:color w:val="000000"/>
                <w:sz w:val="20"/>
                <w:szCs w:val="20"/>
              </w:rPr>
              <w:t>T</w:t>
            </w:r>
            <w:r w:rsidRPr="008A79C6">
              <w:rPr>
                <w:rFonts w:ascii="Arial Narrow" w:eastAsia="Times New Roman" w:hAnsi="Arial Narrow" w:cs="Times New Roman"/>
                <w:color w:val="000000"/>
                <w:sz w:val="20"/>
                <w:szCs w:val="20"/>
              </w:rPr>
              <w:t>1.5</w:t>
            </w:r>
          </w:p>
        </w:tc>
        <w:tc>
          <w:tcPr>
            <w:tcW w:w="2126" w:type="dxa"/>
            <w:tcBorders>
              <w:top w:val="nil"/>
              <w:left w:val="nil"/>
              <w:bottom w:val="nil"/>
              <w:right w:val="nil"/>
            </w:tcBorders>
            <w:tcMar>
              <w:left w:w="28" w:type="dxa"/>
              <w:right w:w="28" w:type="dxa"/>
            </w:tcMar>
            <w:vAlign w:val="center"/>
          </w:tcPr>
          <w:p w14:paraId="6E5DCF9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Retiro</w:t>
            </w:r>
            <w:r w:rsidRPr="008A79C6">
              <w:rPr>
                <w:rFonts w:ascii="Arial Narrow" w:eastAsia="Times New Roman" w:hAnsi="Arial Narrow" w:cs="Times New Roman"/>
                <w:color w:val="000000"/>
                <w:sz w:val="20"/>
                <w:szCs w:val="20"/>
              </w:rPr>
              <w:t>, Madrid</w:t>
            </w:r>
          </w:p>
        </w:tc>
        <w:tc>
          <w:tcPr>
            <w:tcW w:w="1275" w:type="dxa"/>
            <w:tcBorders>
              <w:top w:val="nil"/>
              <w:left w:val="nil"/>
              <w:bottom w:val="nil"/>
              <w:right w:val="nil"/>
            </w:tcBorders>
            <w:noWrap/>
            <w:tcMar>
              <w:left w:w="28" w:type="dxa"/>
              <w:right w:w="28" w:type="dxa"/>
            </w:tcMar>
            <w:vAlign w:val="center"/>
            <w:hideMark/>
          </w:tcPr>
          <w:p w14:paraId="1FF0E81C"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8054C8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13.2 ± 2.6 (3)</w:t>
            </w:r>
          </w:p>
        </w:tc>
        <w:tc>
          <w:tcPr>
            <w:tcW w:w="1276" w:type="dxa"/>
            <w:tcBorders>
              <w:top w:val="nil"/>
              <w:left w:val="nil"/>
              <w:bottom w:val="nil"/>
              <w:right w:val="nil"/>
            </w:tcBorders>
            <w:noWrap/>
            <w:tcMar>
              <w:left w:w="28" w:type="dxa"/>
              <w:right w:w="28" w:type="dxa"/>
            </w:tcMar>
            <w:vAlign w:val="center"/>
            <w:hideMark/>
          </w:tcPr>
          <w:p w14:paraId="7E5555B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19.8 ± 7.9 (3)</w:t>
            </w:r>
          </w:p>
        </w:tc>
        <w:tc>
          <w:tcPr>
            <w:tcW w:w="1276" w:type="dxa"/>
            <w:tcBorders>
              <w:top w:val="nil"/>
              <w:left w:val="nil"/>
              <w:bottom w:val="nil"/>
              <w:right w:val="nil"/>
            </w:tcBorders>
            <w:noWrap/>
            <w:tcMar>
              <w:left w:w="28" w:type="dxa"/>
              <w:right w:w="28" w:type="dxa"/>
            </w:tcMar>
            <w:vAlign w:val="center"/>
            <w:hideMark/>
          </w:tcPr>
          <w:p w14:paraId="2AC55D51"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099A33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14.0 ± 5.2 (7)</w:t>
            </w:r>
          </w:p>
        </w:tc>
        <w:tc>
          <w:tcPr>
            <w:tcW w:w="1276" w:type="dxa"/>
            <w:tcBorders>
              <w:top w:val="nil"/>
              <w:left w:val="nil"/>
              <w:bottom w:val="nil"/>
              <w:right w:val="nil"/>
            </w:tcBorders>
            <w:noWrap/>
            <w:tcMar>
              <w:left w:w="28" w:type="dxa"/>
              <w:right w:w="28" w:type="dxa"/>
            </w:tcMar>
            <w:vAlign w:val="center"/>
            <w:hideMark/>
          </w:tcPr>
          <w:p w14:paraId="5116ACE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14.2 ± 5.8 (7)</w:t>
            </w:r>
          </w:p>
        </w:tc>
        <w:tc>
          <w:tcPr>
            <w:tcW w:w="1417" w:type="dxa"/>
            <w:tcBorders>
              <w:top w:val="nil"/>
              <w:left w:val="nil"/>
              <w:bottom w:val="nil"/>
              <w:right w:val="nil"/>
            </w:tcBorders>
            <w:tcMar>
              <w:left w:w="85" w:type="dxa"/>
              <w:right w:w="28" w:type="dxa"/>
            </w:tcMar>
            <w:vAlign w:val="center"/>
          </w:tcPr>
          <w:p w14:paraId="6DF3D79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15.3 ± 1.5</w:t>
            </w:r>
          </w:p>
        </w:tc>
      </w:tr>
      <w:tr w:rsidR="008E72A4" w:rsidRPr="008A79C6" w14:paraId="7919695A" w14:textId="77777777" w:rsidTr="009C1263">
        <w:trPr>
          <w:trHeight w:val="300"/>
        </w:trPr>
        <w:tc>
          <w:tcPr>
            <w:tcW w:w="879" w:type="dxa"/>
            <w:tcBorders>
              <w:top w:val="nil"/>
              <w:left w:val="nil"/>
              <w:bottom w:val="nil"/>
              <w:right w:val="nil"/>
            </w:tcBorders>
            <w:noWrap/>
            <w:tcMar>
              <w:left w:w="28" w:type="dxa"/>
              <w:right w:w="28" w:type="dxa"/>
            </w:tcMar>
            <w:vAlign w:val="center"/>
            <w:hideMark/>
          </w:tcPr>
          <w:p w14:paraId="75A7A37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TO-PB1</w:t>
            </w:r>
          </w:p>
        </w:tc>
        <w:tc>
          <w:tcPr>
            <w:tcW w:w="2126" w:type="dxa"/>
            <w:tcBorders>
              <w:top w:val="nil"/>
              <w:left w:val="nil"/>
              <w:bottom w:val="nil"/>
              <w:right w:val="nil"/>
            </w:tcBorders>
            <w:tcMar>
              <w:left w:w="28" w:type="dxa"/>
              <w:right w:w="28" w:type="dxa"/>
            </w:tcMar>
            <w:vAlign w:val="center"/>
          </w:tcPr>
          <w:p w14:paraId="3B3681E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Toledo</w:t>
            </w:r>
            <w:r>
              <w:rPr>
                <w:rFonts w:ascii="Arial Narrow" w:eastAsia="Times New Roman" w:hAnsi="Arial Narrow" w:cs="Times New Roman"/>
                <w:color w:val="000000"/>
                <w:sz w:val="20"/>
                <w:szCs w:val="20"/>
              </w:rPr>
              <w:t>, Puebla de Montalbán</w:t>
            </w:r>
          </w:p>
        </w:tc>
        <w:tc>
          <w:tcPr>
            <w:tcW w:w="1275" w:type="dxa"/>
            <w:tcBorders>
              <w:top w:val="nil"/>
              <w:left w:val="nil"/>
              <w:bottom w:val="nil"/>
              <w:right w:val="nil"/>
            </w:tcBorders>
            <w:noWrap/>
            <w:tcMar>
              <w:left w:w="28" w:type="dxa"/>
              <w:right w:w="28" w:type="dxa"/>
            </w:tcMar>
            <w:vAlign w:val="center"/>
            <w:hideMark/>
          </w:tcPr>
          <w:p w14:paraId="3521DF4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F7F32E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DD1BEA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728B358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bottom w:val="nil"/>
              <w:right w:val="nil"/>
            </w:tcBorders>
            <w:noWrap/>
            <w:tcMar>
              <w:left w:w="28" w:type="dxa"/>
              <w:right w:w="28" w:type="dxa"/>
            </w:tcMar>
            <w:vAlign w:val="center"/>
            <w:hideMark/>
          </w:tcPr>
          <w:p w14:paraId="61914C70"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64.5 ± 5.4 (6)</w:t>
            </w:r>
          </w:p>
        </w:tc>
        <w:tc>
          <w:tcPr>
            <w:tcW w:w="1276" w:type="dxa"/>
            <w:tcBorders>
              <w:top w:val="nil"/>
              <w:left w:val="nil"/>
              <w:bottom w:val="nil"/>
              <w:right w:val="nil"/>
            </w:tcBorders>
            <w:noWrap/>
            <w:tcMar>
              <w:left w:w="28" w:type="dxa"/>
              <w:right w:w="28" w:type="dxa"/>
            </w:tcMar>
            <w:vAlign w:val="center"/>
            <w:hideMark/>
          </w:tcPr>
          <w:p w14:paraId="1E2E6125"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100.0 ± 0.0 (6)</w:t>
            </w:r>
          </w:p>
        </w:tc>
        <w:tc>
          <w:tcPr>
            <w:tcW w:w="1417" w:type="dxa"/>
            <w:tcBorders>
              <w:top w:val="nil"/>
              <w:left w:val="nil"/>
              <w:bottom w:val="nil"/>
              <w:right w:val="nil"/>
            </w:tcBorders>
            <w:tcMar>
              <w:left w:w="85" w:type="dxa"/>
              <w:right w:w="28" w:type="dxa"/>
            </w:tcMar>
            <w:vAlign w:val="center"/>
          </w:tcPr>
          <w:p w14:paraId="745196F7"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 xml:space="preserve">82.2 ± 17.8 </w:t>
            </w:r>
          </w:p>
        </w:tc>
      </w:tr>
      <w:tr w:rsidR="008E72A4" w:rsidRPr="008A79C6" w14:paraId="43182B11" w14:textId="77777777" w:rsidTr="009C1263">
        <w:trPr>
          <w:trHeight w:val="300"/>
        </w:trPr>
        <w:tc>
          <w:tcPr>
            <w:tcW w:w="879" w:type="dxa"/>
            <w:tcBorders>
              <w:top w:val="nil"/>
              <w:left w:val="nil"/>
              <w:right w:val="nil"/>
            </w:tcBorders>
            <w:noWrap/>
            <w:tcMar>
              <w:left w:w="28" w:type="dxa"/>
              <w:right w:w="28" w:type="dxa"/>
            </w:tcMar>
            <w:vAlign w:val="center"/>
            <w:hideMark/>
          </w:tcPr>
          <w:p w14:paraId="5EEBA9FD"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V-AD2</w:t>
            </w:r>
          </w:p>
        </w:tc>
        <w:tc>
          <w:tcPr>
            <w:tcW w:w="2126" w:type="dxa"/>
            <w:tcBorders>
              <w:top w:val="nil"/>
              <w:left w:val="nil"/>
              <w:right w:val="nil"/>
            </w:tcBorders>
            <w:tcMar>
              <w:left w:w="28" w:type="dxa"/>
              <w:right w:w="28" w:type="dxa"/>
            </w:tcMar>
            <w:vAlign w:val="center"/>
          </w:tcPr>
          <w:p w14:paraId="11E5385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Ademuz, Valencia</w:t>
            </w:r>
          </w:p>
        </w:tc>
        <w:tc>
          <w:tcPr>
            <w:tcW w:w="1275" w:type="dxa"/>
            <w:tcBorders>
              <w:top w:val="nil"/>
              <w:left w:val="nil"/>
              <w:right w:val="nil"/>
            </w:tcBorders>
            <w:noWrap/>
            <w:tcMar>
              <w:left w:w="28" w:type="dxa"/>
              <w:right w:w="28" w:type="dxa"/>
            </w:tcMar>
            <w:vAlign w:val="center"/>
            <w:hideMark/>
          </w:tcPr>
          <w:p w14:paraId="21AF048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right w:val="nil"/>
            </w:tcBorders>
            <w:noWrap/>
            <w:tcMar>
              <w:left w:w="28" w:type="dxa"/>
              <w:right w:w="28" w:type="dxa"/>
            </w:tcMar>
            <w:vAlign w:val="center"/>
            <w:hideMark/>
          </w:tcPr>
          <w:p w14:paraId="524D54E2"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10.9 ± 7.0 (10)</w:t>
            </w:r>
          </w:p>
        </w:tc>
        <w:tc>
          <w:tcPr>
            <w:tcW w:w="1276" w:type="dxa"/>
            <w:tcBorders>
              <w:top w:val="nil"/>
              <w:left w:val="nil"/>
              <w:right w:val="nil"/>
            </w:tcBorders>
            <w:noWrap/>
            <w:tcMar>
              <w:left w:w="28" w:type="dxa"/>
              <w:right w:w="28" w:type="dxa"/>
            </w:tcMar>
            <w:vAlign w:val="center"/>
            <w:hideMark/>
          </w:tcPr>
          <w:p w14:paraId="7BBE3186"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17.2 ± 4.6 (10)</w:t>
            </w:r>
          </w:p>
        </w:tc>
        <w:tc>
          <w:tcPr>
            <w:tcW w:w="1276" w:type="dxa"/>
            <w:tcBorders>
              <w:top w:val="nil"/>
              <w:left w:val="nil"/>
              <w:right w:val="nil"/>
            </w:tcBorders>
            <w:noWrap/>
            <w:tcMar>
              <w:left w:w="28" w:type="dxa"/>
              <w:right w:w="28" w:type="dxa"/>
            </w:tcMar>
            <w:vAlign w:val="center"/>
            <w:hideMark/>
          </w:tcPr>
          <w:p w14:paraId="4A7ED033"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right w:val="nil"/>
            </w:tcBorders>
            <w:noWrap/>
            <w:tcMar>
              <w:left w:w="28" w:type="dxa"/>
              <w:right w:w="28" w:type="dxa"/>
            </w:tcMar>
            <w:vAlign w:val="center"/>
            <w:hideMark/>
          </w:tcPr>
          <w:p w14:paraId="7E060B5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276" w:type="dxa"/>
            <w:tcBorders>
              <w:top w:val="nil"/>
              <w:left w:val="nil"/>
              <w:right w:val="nil"/>
            </w:tcBorders>
            <w:noWrap/>
            <w:tcMar>
              <w:left w:w="28" w:type="dxa"/>
              <w:right w:w="28" w:type="dxa"/>
            </w:tcMar>
            <w:vAlign w:val="center"/>
            <w:hideMark/>
          </w:tcPr>
          <w:p w14:paraId="48EF02FE"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w:t>
            </w:r>
          </w:p>
        </w:tc>
        <w:tc>
          <w:tcPr>
            <w:tcW w:w="1417" w:type="dxa"/>
            <w:tcBorders>
              <w:top w:val="nil"/>
              <w:left w:val="nil"/>
              <w:right w:val="nil"/>
            </w:tcBorders>
            <w:tcMar>
              <w:left w:w="85" w:type="dxa"/>
              <w:right w:w="28" w:type="dxa"/>
            </w:tcMar>
            <w:vAlign w:val="center"/>
          </w:tcPr>
          <w:p w14:paraId="1452AF34" w14:textId="77777777" w:rsidR="008E72A4" w:rsidRPr="008A79C6" w:rsidRDefault="008E72A4" w:rsidP="009C1263">
            <w:pPr>
              <w:spacing w:line="240" w:lineRule="auto"/>
              <w:jc w:val="left"/>
              <w:rPr>
                <w:rFonts w:ascii="Arial Narrow" w:eastAsia="Times New Roman" w:hAnsi="Arial Narrow" w:cs="Times New Roman"/>
                <w:color w:val="000000"/>
                <w:sz w:val="20"/>
                <w:szCs w:val="20"/>
              </w:rPr>
            </w:pPr>
            <w:r w:rsidRPr="008A79C6">
              <w:rPr>
                <w:rFonts w:ascii="Arial Narrow" w:eastAsia="Times New Roman" w:hAnsi="Arial Narrow" w:cs="Times New Roman"/>
                <w:color w:val="000000"/>
                <w:sz w:val="20"/>
                <w:szCs w:val="20"/>
              </w:rPr>
              <w:t>14.0 ± 3.2</w:t>
            </w:r>
          </w:p>
        </w:tc>
      </w:tr>
    </w:tbl>
    <w:p w14:paraId="11390877" w14:textId="77777777" w:rsidR="008E72A4" w:rsidRDefault="008E72A4" w:rsidP="008E72A4">
      <w:pPr>
        <w:spacing w:after="200" w:line="276" w:lineRule="auto"/>
        <w:jc w:val="left"/>
        <w:rPr>
          <w:lang w:val="en-US"/>
        </w:rPr>
      </w:pPr>
    </w:p>
    <w:p w14:paraId="05DB478B" w14:textId="77777777" w:rsidR="00E57F18" w:rsidRDefault="00E57F18">
      <w:pPr>
        <w:spacing w:after="160" w:line="259" w:lineRule="auto"/>
        <w:jc w:val="left"/>
        <w:rPr>
          <w:lang w:val="en-US"/>
        </w:rPr>
        <w:sectPr w:rsidR="00E57F18" w:rsidSect="00E57F18">
          <w:pgSz w:w="16838" w:h="11906" w:orient="landscape"/>
          <w:pgMar w:top="1701" w:right="1417" w:bottom="1701" w:left="1417" w:header="708" w:footer="708" w:gutter="0"/>
          <w:cols w:space="708"/>
          <w:docGrid w:linePitch="360"/>
        </w:sectPr>
      </w:pPr>
    </w:p>
    <w:p w14:paraId="20AB9ED8" w14:textId="7267B6A7" w:rsidR="00E57F18" w:rsidRDefault="00E57F18" w:rsidP="00E57F18">
      <w:pPr>
        <w:pStyle w:val="BodyText"/>
        <w:rPr>
          <w:color w:val="000000" w:themeColor="text1"/>
          <w:lang w:val="en-US"/>
        </w:rPr>
      </w:pPr>
      <w:r w:rsidRPr="00E91D51">
        <w:rPr>
          <w:b/>
          <w:color w:val="000000" w:themeColor="text1"/>
          <w:lang w:val="en-US"/>
        </w:rPr>
        <w:lastRenderedPageBreak/>
        <w:t>Sup. Text.</w:t>
      </w:r>
      <w:r>
        <w:rPr>
          <w:color w:val="000000" w:themeColor="text1"/>
          <w:lang w:val="en-US"/>
        </w:rPr>
        <w:t xml:space="preserve"> Detailed methods</w:t>
      </w:r>
    </w:p>
    <w:p w14:paraId="1881A9AF" w14:textId="174FA1C2" w:rsidR="00E57F18" w:rsidRPr="0099397E" w:rsidRDefault="00E57F18" w:rsidP="00E57F18">
      <w:pPr>
        <w:pStyle w:val="Heading3"/>
        <w:rPr>
          <w:color w:val="000000" w:themeColor="text1"/>
          <w:lang w:val="en-US"/>
        </w:rPr>
      </w:pPr>
      <w:r w:rsidRPr="0099397E">
        <w:rPr>
          <w:color w:val="000000" w:themeColor="text1"/>
          <w:lang w:val="en-US"/>
        </w:rPr>
        <w:t xml:space="preserve">Level of </w:t>
      </w:r>
      <w:r w:rsidR="00040977">
        <w:rPr>
          <w:color w:val="000000" w:themeColor="text1"/>
          <w:lang w:val="en-US"/>
        </w:rPr>
        <w:t>resistance</w:t>
      </w:r>
      <w:r w:rsidR="00040977" w:rsidRPr="0099397E">
        <w:rPr>
          <w:color w:val="000000" w:themeColor="text1"/>
          <w:lang w:val="en-US"/>
        </w:rPr>
        <w:t xml:space="preserve"> </w:t>
      </w:r>
      <w:r w:rsidRPr="0099397E">
        <w:rPr>
          <w:color w:val="000000" w:themeColor="text1"/>
          <w:lang w:val="en-US"/>
        </w:rPr>
        <w:t xml:space="preserve">of </w:t>
      </w:r>
      <w:proofErr w:type="spellStart"/>
      <w:r w:rsidRPr="0099397E">
        <w:rPr>
          <w:color w:val="000000" w:themeColor="text1"/>
          <w:lang w:val="en-US"/>
        </w:rPr>
        <w:t>Ulmus</w:t>
      </w:r>
      <w:proofErr w:type="spellEnd"/>
      <w:r w:rsidRPr="0099397E">
        <w:rPr>
          <w:color w:val="000000" w:themeColor="text1"/>
          <w:lang w:val="en-US"/>
        </w:rPr>
        <w:t xml:space="preserve"> minor genotypes</w:t>
      </w:r>
    </w:p>
    <w:p w14:paraId="41575A24" w14:textId="70771B2C" w:rsidR="00E57F18" w:rsidRPr="0099397E" w:rsidRDefault="00E57F18" w:rsidP="00E57F18">
      <w:pPr>
        <w:pStyle w:val="BodyText"/>
        <w:rPr>
          <w:color w:val="000000" w:themeColor="text1"/>
          <w:lang w:val="en-US"/>
        </w:rPr>
      </w:pPr>
      <w:r w:rsidRPr="0099397E">
        <w:rPr>
          <w:color w:val="000000" w:themeColor="text1"/>
          <w:lang w:val="en-US"/>
        </w:rPr>
        <w:t>S</w:t>
      </w:r>
      <w:r w:rsidRPr="004628C3">
        <w:rPr>
          <w:color w:val="000000" w:themeColor="text1"/>
          <w:lang w:val="en-US"/>
        </w:rPr>
        <w:t>everal replicates of each clone (</w:t>
      </w:r>
      <w:r w:rsidR="00040977" w:rsidRPr="00BD1CC4">
        <w:rPr>
          <w:i/>
          <w:color w:val="000000" w:themeColor="text1"/>
          <w:lang w:val="en-US"/>
        </w:rPr>
        <w:t>N</w:t>
      </w:r>
      <w:r w:rsidR="00040977">
        <w:rPr>
          <w:color w:val="000000" w:themeColor="text1"/>
          <w:lang w:val="en-US"/>
        </w:rPr>
        <w:t xml:space="preserve"> = </w:t>
      </w:r>
      <w:r w:rsidRPr="004628C3">
        <w:rPr>
          <w:color w:val="000000" w:themeColor="text1"/>
          <w:lang w:val="en-US"/>
        </w:rPr>
        <w:t>3-10</w:t>
      </w:r>
      <w:r w:rsidR="00040977">
        <w:rPr>
          <w:color w:val="000000" w:themeColor="text1"/>
          <w:lang w:val="en-US"/>
        </w:rPr>
        <w:t>; Sup. Table 1</w:t>
      </w:r>
      <w:r w:rsidRPr="004628C3">
        <w:rPr>
          <w:color w:val="000000" w:themeColor="text1"/>
          <w:lang w:val="en-US"/>
        </w:rPr>
        <w:t>)</w:t>
      </w:r>
      <w:r w:rsidR="009348F4">
        <w:rPr>
          <w:color w:val="000000" w:themeColor="text1"/>
          <w:lang w:val="en-US"/>
        </w:rPr>
        <w:t>,</w:t>
      </w:r>
      <w:r w:rsidRPr="004628C3">
        <w:rPr>
          <w:color w:val="000000" w:themeColor="text1"/>
          <w:lang w:val="en-US"/>
        </w:rPr>
        <w:t xml:space="preserve"> </w:t>
      </w:r>
      <w:r w:rsidR="00040977">
        <w:rPr>
          <w:color w:val="000000" w:themeColor="text1"/>
          <w:lang w:val="en-US"/>
        </w:rPr>
        <w:t xml:space="preserve">previously </w:t>
      </w:r>
      <w:r w:rsidRPr="004628C3">
        <w:rPr>
          <w:color w:val="000000" w:themeColor="text1"/>
          <w:lang w:val="en-US"/>
        </w:rPr>
        <w:t xml:space="preserve">planted in </w:t>
      </w:r>
      <w:r w:rsidR="00040977">
        <w:rPr>
          <w:color w:val="000000" w:themeColor="text1"/>
          <w:lang w:val="en-US"/>
        </w:rPr>
        <w:t xml:space="preserve">several </w:t>
      </w:r>
      <w:r w:rsidRPr="004628C3">
        <w:rPr>
          <w:color w:val="000000" w:themeColor="text1"/>
          <w:lang w:val="en-US"/>
        </w:rPr>
        <w:t xml:space="preserve">field experimental plots </w:t>
      </w:r>
      <w:r w:rsidR="00040977">
        <w:rPr>
          <w:color w:val="000000" w:themeColor="text1"/>
          <w:lang w:val="en-US"/>
        </w:rPr>
        <w:t xml:space="preserve">at Puerta de </w:t>
      </w:r>
      <w:proofErr w:type="spellStart"/>
      <w:r w:rsidR="00040977">
        <w:rPr>
          <w:color w:val="000000" w:themeColor="text1"/>
          <w:lang w:val="en-US"/>
        </w:rPr>
        <w:t>Hierro</w:t>
      </w:r>
      <w:proofErr w:type="spellEnd"/>
      <w:r w:rsidR="00040977">
        <w:rPr>
          <w:color w:val="000000" w:themeColor="text1"/>
          <w:lang w:val="en-US"/>
        </w:rPr>
        <w:t xml:space="preserve"> Forest Breeding Centre (Madrid)</w:t>
      </w:r>
      <w:r w:rsidR="009348F4">
        <w:rPr>
          <w:color w:val="000000" w:themeColor="text1"/>
          <w:lang w:val="en-US"/>
        </w:rPr>
        <w:t>,</w:t>
      </w:r>
      <w:r w:rsidR="00040977">
        <w:rPr>
          <w:color w:val="000000" w:themeColor="text1"/>
          <w:lang w:val="en-US"/>
        </w:rPr>
        <w:t xml:space="preserve"> </w:t>
      </w:r>
      <w:r w:rsidRPr="004628C3">
        <w:rPr>
          <w:color w:val="000000" w:themeColor="text1"/>
          <w:lang w:val="en-US"/>
        </w:rPr>
        <w:t xml:space="preserve">were artificially inoculated with an aqueous suspension of </w:t>
      </w:r>
      <w:r w:rsidRPr="00A16EDB">
        <w:rPr>
          <w:i/>
          <w:iCs/>
          <w:color w:val="000000" w:themeColor="text1"/>
          <w:lang w:val="en-US"/>
        </w:rPr>
        <w:t>O. novo-</w:t>
      </w:r>
      <w:proofErr w:type="spellStart"/>
      <w:r w:rsidRPr="00A16EDB">
        <w:rPr>
          <w:i/>
          <w:iCs/>
          <w:color w:val="000000" w:themeColor="text1"/>
          <w:lang w:val="en-US"/>
        </w:rPr>
        <w:t>ulmi</w:t>
      </w:r>
      <w:proofErr w:type="spellEnd"/>
      <w:r w:rsidRPr="004628C3">
        <w:rPr>
          <w:color w:val="000000" w:themeColor="text1"/>
          <w:lang w:val="en-US"/>
        </w:rPr>
        <w:t xml:space="preserve"> blastospores, following the </w:t>
      </w:r>
      <w:r w:rsidR="00040977">
        <w:rPr>
          <w:color w:val="000000" w:themeColor="text1"/>
          <w:lang w:val="en-US"/>
        </w:rPr>
        <w:t xml:space="preserve">inoculation </w:t>
      </w:r>
      <w:r w:rsidRPr="004628C3">
        <w:rPr>
          <w:color w:val="000000" w:themeColor="text1"/>
          <w:lang w:val="en-US"/>
        </w:rPr>
        <w:t xml:space="preserve">methodology described in </w:t>
      </w:r>
      <w:r w:rsidRPr="004628C3">
        <w:rPr>
          <w:color w:val="000000" w:themeColor="text1"/>
          <w:lang w:val="en-US"/>
        </w:rPr>
        <w:fldChar w:fldCharType="begin" w:fldLock="1"/>
      </w:r>
      <w:r w:rsidR="00E91D51">
        <w:rPr>
          <w:color w:val="000000" w:themeColor="text1"/>
          <w:lang w:val="en-US"/>
        </w:rPr>
        <w:instrText>ADDIN CSL_CITATION {"citationItems":[{"id":"ITEM-1","itemData":{"DOI":"10.3832/ifor1224-008","ISSN":"1824-0119","abstract":"The Spanish elm programme began in 1986 in response to the devastating impact of Dutch elm disease on natural elm stands and urban trees. Its main objectives were to conserve remaining genetic resources and select and breed tolerant native elm genotypes. After 27 years of work conducting susceptibility trials on thousands of elm genotypes, the first seven tolerant Ulmus minor trees are now being registered by the Spanish Environmental Administration. This paper presents the results of the susceptibility tests on these clones and their distinctive genetic, morphological and phenological features. In all susceptibility trials the commercial \"Sapporo Autumn Gold\" clone, which is highly tolerant to O. novo-ulmi, was used as a control. The registered clones were named \"Ademuz\", \"Dehesa de la Villa\", \"Majadahonda\", \"Toledo\", \"Dehesa de Amaniel\", \"Retiro\" and \"Fuente Umbr</w:instrText>
      </w:r>
      <w:r w:rsidR="00E91D51">
        <w:rPr>
          <w:rFonts w:ascii="Tahoma" w:hAnsi="Tahoma" w:cs="Tahoma"/>
          <w:color w:val="000000" w:themeColor="text1"/>
          <w:lang w:val="en-US"/>
        </w:rPr>
        <w:instrText>�</w:instrText>
      </w:r>
      <w:r w:rsidR="00E91D51">
        <w:rPr>
          <w:color w:val="000000" w:themeColor="text1"/>
          <w:lang w:val="en-US"/>
        </w:rPr>
        <w:instrText>a\". The most tolerant clone was \"Dehesa de Amaniel\", as its wilting values were below 5% during the two consecutive inoculation trials performed in Madrid. \"Fuente Umbr</w:instrText>
      </w:r>
      <w:r w:rsidR="00E91D51">
        <w:rPr>
          <w:rFonts w:ascii="Tahoma" w:hAnsi="Tahoma" w:cs="Tahoma"/>
          <w:color w:val="000000" w:themeColor="text1"/>
          <w:lang w:val="en-US"/>
        </w:rPr>
        <w:instrText>�</w:instrText>
      </w:r>
      <w:r w:rsidR="00E91D51">
        <w:rPr>
          <w:color w:val="000000" w:themeColor="text1"/>
          <w:lang w:val="en-US"/>
        </w:rPr>
        <w:instrText>a\", tested over four consecutive years in Guadalajara and Palencia, was the Spanish clone with the most reliable tolerance level to O. novo-ulmi. The \"Ademuz\" and \"Majadahonda\" clones had the highest ornamental scores and are promising trees for use in urban environments and tree breeding for ornamental quality. These two genotypes showed a later bud burst phenology than the other U. minor clones, demonstrating suitability to areas with late frost events. The Spanish programme aims to substantially increase the range of tolerant native elms through new selections and crossings to gain a better understanding of the genetic basis of resistance.","author":[{"dropping-particle":"","family":"Martin","given":"J A","non-dropping-particle":"","parse-names":false,"suffix":""},{"dropping-particle":"","family":"Solla","given":"A","non-dropping-particle":"","parse-names":false,"suffix":""},{"dropping-particle":"","family":"Venturas","given":"M","non-dropping-particle":"","parse-names":false,"suffix":""},{"dropping-particle":"","family":"Collada","given":"C","non-dropping-particle":"","parse-names":false,"suffix":""},{"dropping-particle":"","family":"Dominguez","given":"J","non-dropping-particle":"","parse-names":false,"suffix":""},{"dropping-particle":"","family":"Miranda","given":"E","non-dropping-particle":"","parse-names":false,"suffix":""},{"dropping-particle":"","family":"Fuentes","given":"P","non-dropping-particle":"","parse-names":false,"suffix":""},{"dropping-particle":"","family":"Buron","given":"M","non-dropping-particle":"","parse-names":false,"suffix":""},{"dropping-particle":"","family":"Iglesias","given":"S","non-dropping-particle":"","parse-names":false,"suffix":""},{"dropping-particle":"","family":"Gil","given":"L","non-dropping-particle":"","parse-names":false,"suffix":""}],"container-title":"iForest - Biogeosciences and Forestry","id":"ITEM-1","issue":"2","issued":{"date-parts":[["2015"]]},"page":"172-180","publisher":"SISEF - Italian Society of Silviculture and Forest Ecology","title":"Seven &lt;i&gt;Ulmus minor&lt;/i&gt; clones tolerant to &lt;i&gt;Ophiostoma novo-ulmi&lt;/i&gt; registered as forest reproductive material in Spain","type":"article-journal","volume":"8"},"uris":["http://www.mendeley.com/documents/?uuid=d16508a4-ba1f-44e9-8198-1f79995fde36"]}],"mendeley":{"formattedCitation":"(Martin et al. 2015)","manualFormatting":"Martin et al. (2015)","plainTextFormattedCitation":"(Martin et al. 2015)","previouslyFormattedCitation":"(Martin et al. 2015)"},"properties":{"noteIndex":0},"schema":"https://github.com/citation-style-language/schema/raw/master/csl-citation.json"}</w:instrText>
      </w:r>
      <w:r w:rsidRPr="004628C3">
        <w:rPr>
          <w:color w:val="000000" w:themeColor="text1"/>
          <w:lang w:val="en-US"/>
        </w:rPr>
        <w:fldChar w:fldCharType="separate"/>
      </w:r>
      <w:r w:rsidRPr="004628C3">
        <w:rPr>
          <w:noProof/>
          <w:color w:val="000000" w:themeColor="text1"/>
          <w:lang w:val="en-US"/>
        </w:rPr>
        <w:t>Martin et al. (2015)</w:t>
      </w:r>
      <w:r w:rsidRPr="004628C3">
        <w:rPr>
          <w:color w:val="000000" w:themeColor="text1"/>
          <w:lang w:val="en-US"/>
        </w:rPr>
        <w:fldChar w:fldCharType="end"/>
      </w:r>
      <w:r w:rsidRPr="004628C3">
        <w:rPr>
          <w:color w:val="000000" w:themeColor="text1"/>
          <w:lang w:val="en-US"/>
        </w:rPr>
        <w:t xml:space="preserve">. </w:t>
      </w:r>
      <w:r w:rsidR="00040977">
        <w:rPr>
          <w:color w:val="000000" w:themeColor="text1"/>
          <w:lang w:val="en-US"/>
        </w:rPr>
        <w:t xml:space="preserve">In brief, </w:t>
      </w:r>
      <w:r w:rsidR="00040977" w:rsidRPr="00040977">
        <w:rPr>
          <w:color w:val="000000" w:themeColor="text1"/>
          <w:lang w:val="en-US"/>
        </w:rPr>
        <w:t xml:space="preserve">mycelial plugs from fresh colonies </w:t>
      </w:r>
      <w:r w:rsidR="0021423E">
        <w:rPr>
          <w:color w:val="000000" w:themeColor="text1"/>
          <w:lang w:val="en-US"/>
        </w:rPr>
        <w:t xml:space="preserve">of the pathogen </w:t>
      </w:r>
      <w:r w:rsidR="00040977" w:rsidRPr="00040977">
        <w:rPr>
          <w:color w:val="000000" w:themeColor="text1"/>
          <w:lang w:val="en-US"/>
        </w:rPr>
        <w:t xml:space="preserve">were grown in Erlenmeyer flasks with </w:t>
      </w:r>
      <w:proofErr w:type="spellStart"/>
      <w:r w:rsidR="00040977" w:rsidRPr="00040977">
        <w:rPr>
          <w:color w:val="000000" w:themeColor="text1"/>
          <w:lang w:val="en-US"/>
        </w:rPr>
        <w:t>Tchernoff’s</w:t>
      </w:r>
      <w:proofErr w:type="spellEnd"/>
      <w:r w:rsidR="00040977" w:rsidRPr="00040977">
        <w:rPr>
          <w:color w:val="000000" w:themeColor="text1"/>
          <w:lang w:val="en-US"/>
        </w:rPr>
        <w:t xml:space="preserve"> liquid medium (</w:t>
      </w:r>
      <w:proofErr w:type="spellStart"/>
      <w:r w:rsidR="00040977" w:rsidRPr="00040977">
        <w:rPr>
          <w:color w:val="000000" w:themeColor="text1"/>
          <w:lang w:val="en-US"/>
        </w:rPr>
        <w:t>Tchernoff</w:t>
      </w:r>
      <w:proofErr w:type="spellEnd"/>
      <w:r w:rsidR="00040977" w:rsidRPr="00040977">
        <w:rPr>
          <w:color w:val="000000" w:themeColor="text1"/>
          <w:lang w:val="en-US"/>
        </w:rPr>
        <w:t xml:space="preserve">, 1965) under constant shaking at 22 </w:t>
      </w:r>
      <w:proofErr w:type="spellStart"/>
      <w:r w:rsidR="00040977" w:rsidRPr="00BD1CC4">
        <w:rPr>
          <w:color w:val="000000" w:themeColor="text1"/>
          <w:vertAlign w:val="superscript"/>
          <w:lang w:val="en-US"/>
        </w:rPr>
        <w:t>o</w:t>
      </w:r>
      <w:r w:rsidR="00040977" w:rsidRPr="00040977">
        <w:rPr>
          <w:color w:val="000000" w:themeColor="text1"/>
          <w:lang w:val="en-US"/>
        </w:rPr>
        <w:t>C</w:t>
      </w:r>
      <w:proofErr w:type="spellEnd"/>
      <w:r w:rsidR="00040977" w:rsidRPr="00040977">
        <w:rPr>
          <w:color w:val="000000" w:themeColor="text1"/>
          <w:lang w:val="en-US"/>
        </w:rPr>
        <w:t xml:space="preserve"> to induce sporulation. The spores were collected by centrifugation and resuspended in sterile distilled water. The concentration was adjusted to 10</w:t>
      </w:r>
      <w:r w:rsidR="00040977" w:rsidRPr="00BD1CC4">
        <w:rPr>
          <w:color w:val="000000" w:themeColor="text1"/>
          <w:vertAlign w:val="superscript"/>
          <w:lang w:val="en-US"/>
        </w:rPr>
        <w:t>6</w:t>
      </w:r>
      <w:r w:rsidR="00040977" w:rsidRPr="00040977">
        <w:rPr>
          <w:color w:val="000000" w:themeColor="text1"/>
          <w:lang w:val="en-US"/>
        </w:rPr>
        <w:t xml:space="preserve"> blastospores ml</w:t>
      </w:r>
      <w:r w:rsidR="00040977" w:rsidRPr="00BD1CC4">
        <w:rPr>
          <w:color w:val="000000" w:themeColor="text1"/>
          <w:vertAlign w:val="superscript"/>
          <w:lang w:val="en-US"/>
        </w:rPr>
        <w:t>-1</w:t>
      </w:r>
      <w:r w:rsidR="00040977" w:rsidRPr="00040977">
        <w:rPr>
          <w:color w:val="000000" w:themeColor="text1"/>
          <w:lang w:val="en-US"/>
        </w:rPr>
        <w:t>.</w:t>
      </w:r>
      <w:r w:rsidR="009348F4">
        <w:rPr>
          <w:color w:val="000000" w:themeColor="text1"/>
          <w:lang w:val="en-US"/>
        </w:rPr>
        <w:t xml:space="preserve"> </w:t>
      </w:r>
      <w:r w:rsidR="00040977" w:rsidRPr="00040977">
        <w:rPr>
          <w:color w:val="000000" w:themeColor="text1"/>
          <w:lang w:val="en-US"/>
        </w:rPr>
        <w:t>Two drops of the inoculum were delivered into the xylem of each tree through a transverse cut made with a sharp blade at 5 cm from the substrate level, allowing the absorption of the inoculum.</w:t>
      </w:r>
      <w:r w:rsidR="009348F4">
        <w:rPr>
          <w:color w:val="000000" w:themeColor="text1"/>
          <w:lang w:val="en-US"/>
        </w:rPr>
        <w:t xml:space="preserve"> </w:t>
      </w:r>
      <w:r w:rsidR="00040977">
        <w:rPr>
          <w:color w:val="000000" w:themeColor="text1"/>
          <w:lang w:val="en-US"/>
        </w:rPr>
        <w:t xml:space="preserve">To perform the inoculations, </w:t>
      </w:r>
      <w:r w:rsidR="00040977" w:rsidRPr="00040977">
        <w:rPr>
          <w:color w:val="000000" w:themeColor="text1"/>
          <w:lang w:val="en-US"/>
        </w:rPr>
        <w:t xml:space="preserve">fresh local cultures </w:t>
      </w:r>
      <w:r w:rsidR="00040977">
        <w:rPr>
          <w:color w:val="000000" w:themeColor="text1"/>
          <w:lang w:val="en-US"/>
        </w:rPr>
        <w:t xml:space="preserve">of the pathogen were </w:t>
      </w:r>
      <w:r w:rsidR="00040977" w:rsidRPr="00040977">
        <w:rPr>
          <w:color w:val="000000" w:themeColor="text1"/>
          <w:lang w:val="en-US"/>
        </w:rPr>
        <w:t xml:space="preserve">annually </w:t>
      </w:r>
      <w:r w:rsidR="00040977">
        <w:rPr>
          <w:color w:val="000000" w:themeColor="text1"/>
          <w:lang w:val="en-US"/>
        </w:rPr>
        <w:t xml:space="preserve">obtained </w:t>
      </w:r>
      <w:r w:rsidR="00040977" w:rsidRPr="00040977">
        <w:rPr>
          <w:color w:val="000000" w:themeColor="text1"/>
          <w:lang w:val="en-US"/>
        </w:rPr>
        <w:t xml:space="preserve">during late winter or early spring from xylem of elms that were heavily diseased in the previous season. </w:t>
      </w:r>
      <w:r w:rsidRPr="004628C3">
        <w:rPr>
          <w:color w:val="000000" w:themeColor="text1"/>
          <w:lang w:val="en-US"/>
        </w:rPr>
        <w:t>All screening tests were performed with trees of at least four years of age</w:t>
      </w:r>
      <w:r w:rsidR="0021423E">
        <w:rPr>
          <w:color w:val="000000" w:themeColor="text1"/>
          <w:lang w:val="en-US"/>
        </w:rPr>
        <w:t xml:space="preserve"> and in early spring (25 April – 10 May), coinciding with peak susceptibility of elms in Madrid (Martín et al. 2021)</w:t>
      </w:r>
      <w:r w:rsidRPr="004628C3">
        <w:rPr>
          <w:color w:val="000000" w:themeColor="text1"/>
          <w:lang w:val="en-US"/>
        </w:rPr>
        <w:t xml:space="preserve">. The percentage of </w:t>
      </w:r>
      <w:r w:rsidR="0021423E">
        <w:rPr>
          <w:color w:val="000000" w:themeColor="text1"/>
          <w:lang w:val="en-US"/>
        </w:rPr>
        <w:t xml:space="preserve">foliage </w:t>
      </w:r>
      <w:r w:rsidRPr="004628C3">
        <w:rPr>
          <w:color w:val="000000" w:themeColor="text1"/>
          <w:lang w:val="en-US"/>
        </w:rPr>
        <w:t xml:space="preserve">wilting in the crown </w:t>
      </w:r>
      <w:r w:rsidR="009348F4">
        <w:rPr>
          <w:color w:val="000000" w:themeColor="text1"/>
          <w:lang w:val="en-US"/>
        </w:rPr>
        <w:t xml:space="preserve">was </w:t>
      </w:r>
      <w:r w:rsidRPr="004628C3">
        <w:rPr>
          <w:color w:val="000000" w:themeColor="text1"/>
          <w:lang w:val="en-US"/>
        </w:rPr>
        <w:t xml:space="preserve">recorded at day 60 after </w:t>
      </w:r>
      <w:r w:rsidR="00040977" w:rsidRPr="00BD1CC4">
        <w:rPr>
          <w:i/>
          <w:color w:val="000000" w:themeColor="text1"/>
          <w:lang w:val="en-US"/>
        </w:rPr>
        <w:t>O. novo-</w:t>
      </w:r>
      <w:proofErr w:type="spellStart"/>
      <w:r w:rsidR="00040977" w:rsidRPr="00BD1CC4">
        <w:rPr>
          <w:i/>
          <w:color w:val="000000" w:themeColor="text1"/>
          <w:lang w:val="en-US"/>
        </w:rPr>
        <w:t>ulmi</w:t>
      </w:r>
      <w:proofErr w:type="spellEnd"/>
      <w:r w:rsidR="00040977">
        <w:rPr>
          <w:color w:val="000000" w:themeColor="text1"/>
          <w:lang w:val="en-US"/>
        </w:rPr>
        <w:t xml:space="preserve"> </w:t>
      </w:r>
      <w:r w:rsidRPr="004628C3">
        <w:rPr>
          <w:color w:val="000000" w:themeColor="text1"/>
          <w:lang w:val="en-US"/>
        </w:rPr>
        <w:t xml:space="preserve">inoculation </w:t>
      </w:r>
      <w:r w:rsidR="009348F4">
        <w:rPr>
          <w:color w:val="000000" w:themeColor="text1"/>
          <w:lang w:val="en-US"/>
        </w:rPr>
        <w:t xml:space="preserve">by three independent observers. The average value of foliage wilting </w:t>
      </w:r>
      <w:r w:rsidRPr="004628C3">
        <w:rPr>
          <w:color w:val="000000" w:themeColor="text1"/>
          <w:lang w:val="en-US"/>
        </w:rPr>
        <w:t xml:space="preserve">was used as a proxy to the </w:t>
      </w:r>
      <w:r w:rsidR="00040977">
        <w:rPr>
          <w:color w:val="000000" w:themeColor="text1"/>
          <w:lang w:val="en-US"/>
        </w:rPr>
        <w:t>resistance</w:t>
      </w:r>
      <w:r w:rsidR="00040977" w:rsidRPr="004628C3">
        <w:rPr>
          <w:color w:val="000000" w:themeColor="text1"/>
          <w:lang w:val="en-US"/>
        </w:rPr>
        <w:t xml:space="preserve"> </w:t>
      </w:r>
      <w:r w:rsidRPr="004628C3">
        <w:rPr>
          <w:color w:val="000000" w:themeColor="text1"/>
          <w:lang w:val="en-US"/>
        </w:rPr>
        <w:t>to DED of each clone.</w:t>
      </w:r>
      <w:r w:rsidR="00040977">
        <w:rPr>
          <w:color w:val="000000" w:themeColor="text1"/>
          <w:lang w:val="en-US"/>
        </w:rPr>
        <w:t xml:space="preserve"> None of the trees examined for endophyte composition were inoculated with the pathogen.</w:t>
      </w:r>
    </w:p>
    <w:p w14:paraId="4F2A006D" w14:textId="77777777" w:rsidR="00E57F18" w:rsidRPr="004628C3" w:rsidRDefault="00E57F18" w:rsidP="00E57F18">
      <w:pPr>
        <w:pStyle w:val="Heading3"/>
        <w:rPr>
          <w:color w:val="000000" w:themeColor="text1"/>
          <w:lang w:val="en-US"/>
        </w:rPr>
      </w:pPr>
      <w:r w:rsidRPr="004628C3">
        <w:rPr>
          <w:color w:val="000000" w:themeColor="text1"/>
          <w:lang w:val="en-US"/>
        </w:rPr>
        <w:t>DNA isolation</w:t>
      </w:r>
    </w:p>
    <w:p w14:paraId="195F3E46" w14:textId="77777777" w:rsidR="00E57F18" w:rsidRPr="004628C3" w:rsidRDefault="00E57F18" w:rsidP="00E57F18">
      <w:pPr>
        <w:pStyle w:val="BodyText"/>
        <w:rPr>
          <w:color w:val="000000" w:themeColor="text1"/>
          <w:lang w:val="en-US"/>
        </w:rPr>
      </w:pPr>
      <w:r w:rsidRPr="004628C3">
        <w:rPr>
          <w:color w:val="000000" w:themeColor="text1"/>
          <w:lang w:val="en-US"/>
        </w:rPr>
        <w:t>All the samples were stored below 10</w:t>
      </w:r>
      <w:r w:rsidRPr="004628C3">
        <w:rPr>
          <w:rFonts w:cs="Times New Roman"/>
          <w:color w:val="000000" w:themeColor="text1"/>
          <w:lang w:val="en-US"/>
        </w:rPr>
        <w:t>°</w:t>
      </w:r>
      <w:r w:rsidRPr="004628C3">
        <w:rPr>
          <w:color w:val="000000" w:themeColor="text1"/>
          <w:lang w:val="en-US"/>
        </w:rPr>
        <w:t>C and processed in a laminar flow chamber within the next 24 hours. First, they were surface-sterilized, with sequential baths: (1) ten minutes lightly shaken in autoclaved distilled water with a drop of Tween 20, (2) once dried, 30 seconds in ethanol 75%, (3) five minutes in sodium hypochlorite 4%, and (4) 15 seconds in ethanol 75% and left to dry. Afterwards, they were carefully peeled with a sterilized scalpel, removing the periderm. The wood samples were wrapped in autoclaved aluminum foil and stored at –80</w:t>
      </w:r>
      <w:r w:rsidRPr="004628C3">
        <w:rPr>
          <w:rFonts w:cs="Times New Roman"/>
          <w:color w:val="000000" w:themeColor="text1"/>
          <w:lang w:val="en-US"/>
        </w:rPr>
        <w:t>°</w:t>
      </w:r>
      <w:r w:rsidRPr="004628C3">
        <w:rPr>
          <w:color w:val="000000" w:themeColor="text1"/>
          <w:lang w:val="en-US"/>
        </w:rPr>
        <w:t>C. Later, the samples were ground with an IKA A11 mill (</w:t>
      </w:r>
      <w:proofErr w:type="spellStart"/>
      <w:r w:rsidRPr="004628C3">
        <w:rPr>
          <w:color w:val="000000" w:themeColor="text1"/>
          <w:lang w:val="en-US"/>
        </w:rPr>
        <w:t>Staufen</w:t>
      </w:r>
      <w:proofErr w:type="spellEnd"/>
      <w:r w:rsidRPr="004628C3">
        <w:rPr>
          <w:color w:val="000000" w:themeColor="text1"/>
          <w:lang w:val="en-US"/>
        </w:rPr>
        <w:t>, Germany), keeping them frozen with the regular addition of liquid nitrogen. The wood powder was stored at –80</w:t>
      </w:r>
      <w:r w:rsidRPr="004628C3">
        <w:rPr>
          <w:rFonts w:cs="Times New Roman"/>
          <w:color w:val="000000" w:themeColor="text1"/>
          <w:lang w:val="en-US"/>
        </w:rPr>
        <w:t>°</w:t>
      </w:r>
      <w:r w:rsidRPr="004628C3">
        <w:rPr>
          <w:color w:val="000000" w:themeColor="text1"/>
          <w:lang w:val="en-US"/>
        </w:rPr>
        <w:t xml:space="preserve">C in sterile centrifuge tubes. The two wood cores from the trunk of the landmark tree had the rhytidome removed. Later </w:t>
      </w:r>
      <w:r w:rsidRPr="004628C3">
        <w:rPr>
          <w:color w:val="000000" w:themeColor="text1"/>
          <w:lang w:val="en-US"/>
        </w:rPr>
        <w:lastRenderedPageBreak/>
        <w:t>they were ground with autoclaved pestles and mortars with regular addition of liquid nitrogen to keep the tissue continuously frozen.</w:t>
      </w:r>
    </w:p>
    <w:p w14:paraId="75E4D3C0" w14:textId="77777777" w:rsidR="00E57F18" w:rsidRPr="004628C3" w:rsidRDefault="00E57F18" w:rsidP="00E57F18">
      <w:pPr>
        <w:pStyle w:val="BodyText"/>
        <w:rPr>
          <w:color w:val="000000" w:themeColor="text1"/>
          <w:lang w:val="en-US"/>
        </w:rPr>
      </w:pPr>
      <w:r w:rsidRPr="004628C3">
        <w:rPr>
          <w:color w:val="000000" w:themeColor="text1"/>
          <w:lang w:val="en-US"/>
        </w:rPr>
        <w:t>DNA isolation was done after wood powder enzymatic digestion to improve recovery of fungal DNA. Approximately 150 mg of wood powder was incubated for 20 minutes at 37</w:t>
      </w:r>
      <w:r w:rsidRPr="004628C3">
        <w:rPr>
          <w:rFonts w:cs="Times New Roman"/>
          <w:color w:val="000000" w:themeColor="text1"/>
          <w:lang w:val="en-US"/>
        </w:rPr>
        <w:t>°</w:t>
      </w:r>
      <w:r w:rsidRPr="004628C3">
        <w:rPr>
          <w:color w:val="000000" w:themeColor="text1"/>
          <w:lang w:val="en-US"/>
        </w:rPr>
        <w:t xml:space="preserve">C in 400 </w:t>
      </w:r>
      <w:r w:rsidRPr="004628C3">
        <w:rPr>
          <w:rFonts w:cs="Times New Roman"/>
          <w:color w:val="000000" w:themeColor="text1"/>
          <w:lang w:val="en-US"/>
        </w:rPr>
        <w:t>µ</w:t>
      </w:r>
      <w:r w:rsidRPr="004628C3">
        <w:rPr>
          <w:color w:val="000000" w:themeColor="text1"/>
          <w:lang w:val="en-US"/>
        </w:rPr>
        <w:t xml:space="preserve">l of enzymatic solution containing 0.04 mg of </w:t>
      </w:r>
      <w:proofErr w:type="spellStart"/>
      <w:r w:rsidRPr="004628C3">
        <w:rPr>
          <w:color w:val="000000" w:themeColor="text1"/>
          <w:lang w:val="en-US"/>
        </w:rPr>
        <w:t>Lyticase</w:t>
      </w:r>
      <w:proofErr w:type="spellEnd"/>
      <w:r w:rsidRPr="004628C3">
        <w:rPr>
          <w:color w:val="000000" w:themeColor="text1"/>
          <w:lang w:val="en-US"/>
        </w:rPr>
        <w:t xml:space="preserve"> (ref. n. L2524; Sigma-Aldrich, St. Louis MO, USA) and Tris-EDTA 50 </w:t>
      </w:r>
      <w:proofErr w:type="spellStart"/>
      <w:r w:rsidRPr="004628C3">
        <w:rPr>
          <w:color w:val="000000" w:themeColor="text1"/>
          <w:lang w:val="en-US"/>
        </w:rPr>
        <w:t>mM.</w:t>
      </w:r>
      <w:proofErr w:type="spellEnd"/>
      <w:r w:rsidRPr="004628C3">
        <w:rPr>
          <w:color w:val="000000" w:themeColor="text1"/>
          <w:lang w:val="en-US"/>
        </w:rPr>
        <w:t xml:space="preserve"> Afterwards, the samples were centrifuged at 13,000 rpm and the supernatant removed. The rest of the DNA isolation was carried out using the </w:t>
      </w:r>
      <w:proofErr w:type="spellStart"/>
      <w:r w:rsidRPr="004628C3">
        <w:rPr>
          <w:color w:val="000000" w:themeColor="text1"/>
          <w:lang w:val="en-US"/>
        </w:rPr>
        <w:t>Invisorb</w:t>
      </w:r>
      <w:proofErr w:type="spellEnd"/>
      <w:r w:rsidRPr="004628C3">
        <w:rPr>
          <w:color w:val="000000" w:themeColor="text1"/>
          <w:lang w:val="en-US"/>
        </w:rPr>
        <w:t xml:space="preserve"> Spin Plant Mini Kit (STRATEC Biomedical AG, </w:t>
      </w:r>
      <w:proofErr w:type="spellStart"/>
      <w:r w:rsidRPr="004628C3">
        <w:rPr>
          <w:color w:val="000000" w:themeColor="text1"/>
          <w:lang w:val="en-US"/>
        </w:rPr>
        <w:t>Birkenfeld</w:t>
      </w:r>
      <w:proofErr w:type="spellEnd"/>
      <w:r w:rsidRPr="004628C3">
        <w:rPr>
          <w:color w:val="000000" w:themeColor="text1"/>
          <w:lang w:val="en-US"/>
        </w:rPr>
        <w:t xml:space="preserve">, Germany) following manufacturer instructions, with the following modifications: after Lysis Buffer, a pinch of zirconium oxide beads 0.1 mm diameter (ref. n. 1005-02; </w:t>
      </w:r>
      <w:proofErr w:type="spellStart"/>
      <w:r w:rsidRPr="004628C3">
        <w:rPr>
          <w:color w:val="000000" w:themeColor="text1"/>
          <w:lang w:val="en-US"/>
        </w:rPr>
        <w:t>Bertin</w:t>
      </w:r>
      <w:proofErr w:type="spellEnd"/>
      <w:r w:rsidRPr="004628C3">
        <w:rPr>
          <w:color w:val="000000" w:themeColor="text1"/>
          <w:lang w:val="en-US"/>
        </w:rPr>
        <w:t xml:space="preserve"> Instruments, France) was added, and during the subsequent 65</w:t>
      </w:r>
      <w:r w:rsidRPr="004628C3">
        <w:rPr>
          <w:rFonts w:cs="Times New Roman"/>
          <w:color w:val="000000" w:themeColor="text1"/>
          <w:lang w:val="en-US"/>
        </w:rPr>
        <w:t>°</w:t>
      </w:r>
      <w:r w:rsidRPr="004628C3">
        <w:rPr>
          <w:color w:val="000000" w:themeColor="text1"/>
          <w:lang w:val="en-US"/>
        </w:rPr>
        <w:t>C bath the samples were vortexed three times. These modifications were done to increase fungal cell wall disruption, therefore improving the recovery of fungal DNA.</w:t>
      </w:r>
    </w:p>
    <w:p w14:paraId="669C6229" w14:textId="77777777" w:rsidR="00E57F18" w:rsidRDefault="00E57F18" w:rsidP="00E57F18">
      <w:pPr>
        <w:pStyle w:val="Heading3"/>
        <w:rPr>
          <w:color w:val="000000" w:themeColor="text1"/>
          <w:lang w:val="en-US"/>
        </w:rPr>
      </w:pPr>
      <w:r w:rsidRPr="004628C3">
        <w:rPr>
          <w:color w:val="000000" w:themeColor="text1"/>
          <w:lang w:val="en-US"/>
        </w:rPr>
        <w:t xml:space="preserve">DNA </w:t>
      </w:r>
      <w:r>
        <w:rPr>
          <w:color w:val="000000" w:themeColor="text1"/>
          <w:lang w:val="en-US"/>
        </w:rPr>
        <w:t>amplification</w:t>
      </w:r>
    </w:p>
    <w:p w14:paraId="186EB103" w14:textId="77777777" w:rsidR="00E57F18" w:rsidRPr="004628C3" w:rsidRDefault="00E57F18" w:rsidP="00E57F18">
      <w:pPr>
        <w:pStyle w:val="BodyText"/>
        <w:rPr>
          <w:color w:val="000000" w:themeColor="text1"/>
          <w:lang w:val="en-US"/>
        </w:rPr>
      </w:pPr>
      <w:r w:rsidRPr="004628C3">
        <w:rPr>
          <w:color w:val="000000" w:themeColor="text1"/>
          <w:lang w:val="en-US"/>
        </w:rPr>
        <w:t xml:space="preserve">The profiling of the endophyte composition was carried by high throughput sequencing of the first internal transcribed spacer region (ITS1) of the ribosomal DNA. The amplification was done in two steps. First, we amplified the target region with oligonucleotides that contained the specific fungal primer ITS1-F </w:t>
      </w:r>
      <w:r w:rsidRPr="004628C3">
        <w:rPr>
          <w:color w:val="000000" w:themeColor="text1"/>
          <w:lang w:val="en-US"/>
        </w:rPr>
        <w:fldChar w:fldCharType="begin" w:fldLock="1"/>
      </w:r>
      <w:r w:rsidRPr="004628C3">
        <w:rPr>
          <w:color w:val="000000" w:themeColor="text1"/>
          <w:lang w:val="en-US"/>
        </w:rPr>
        <w:instrText>ADDIN CSL_CITATION {"citationItems":[{"id":"ITEM-1","itemData":{"DOI":"10.1111/j.1365-294X.1993.tb00005.x","ISSN":"0962-1083","abstract":"Abstract We have designed two taxon-selective primers for the internal transcribed spacer (ITS) region in the nuclear ribosomal repeat unit. These primers, ITS1-F and ITS4-B, were intended to be specific to fungi and basidiomycetes, respectively. We have tested the specificity of these primers against 13 species of ascomycetes, 14 of basidiomycetes, and 15 of plants. Our results showed that ITS4-B, when paired with either a ?universal? primer ITS1 or the fungal-specific primer ITS1-F, efficiently amplified DNA from all basidiomycetes and discriminated against ascomycete DNAs. The results with plants were not as clearcut. The ITS1-F/ITS4-B primer pair produced a small amount of PCR product for certain plant species, but the quantity was in most cases less than that produced by the ?universal? ITS primers. However, under conditions where both plant and fungal DNAs were present, the fungal DNA was amplified to the apparent exclusion of plant DNA. ITS1-F/ITS4-B preferential amplification was shown to be particularly useful for detection and analysis of the basidiomycete component in ectomycorrhizae and in rust-infected tissues. These primers can be used to study the structure of ectomycorrhizal communities or the distribution of rusts on alternate hosts.","author":[{"dropping-particle":"","family":"Gardes","given":"M","non-dropping-particle":"","parse-names":false,"suffix":""},{"dropping-particle":"","family":"Bruns","given":"T D","non-dropping-particle":"","parse-names":false,"suffix":""}],"container-title":"Molecular Ecology","id":"ITEM-1","issue":"2","issued":{"date-parts":[["1993","4","1"]]},"note":"doi: 10.1111/j.1365-294X.1993.tb00005.x","page":"113-118","publisher":"John Wiley &amp; Sons, Ltd (10.1111)","title":"ITS primers with enhanced specificity for basidiomycetes - application to the identification of mycorrhizae and rusts","type":"article-journal","volume":"2"},"uris":["http://www.mendeley.com/documents/?uuid=8527da8b-1892-4611-9a9d-b24a9b9d34bb"]}],"mendeley":{"formattedCitation":"(Gardes and Bruns 1993)","plainTextFormattedCitation":"(Gardes and Bruns 1993)","previouslyFormattedCitation":"(Gardes and Bruns 1993)"},"properties":{"noteIndex":0},"schema":"https://github.com/citation-style-language/schema/raw/master/csl-citation.json"}</w:instrText>
      </w:r>
      <w:r w:rsidRPr="004628C3">
        <w:rPr>
          <w:color w:val="000000" w:themeColor="text1"/>
          <w:lang w:val="en-US"/>
        </w:rPr>
        <w:fldChar w:fldCharType="separate"/>
      </w:r>
      <w:r w:rsidRPr="004628C3">
        <w:rPr>
          <w:noProof/>
          <w:color w:val="000000" w:themeColor="text1"/>
          <w:lang w:val="en-US"/>
        </w:rPr>
        <w:t>(Gardes and Bruns 1993)</w:t>
      </w:r>
      <w:r w:rsidRPr="004628C3">
        <w:rPr>
          <w:color w:val="000000" w:themeColor="text1"/>
          <w:lang w:val="en-US"/>
        </w:rPr>
        <w:fldChar w:fldCharType="end"/>
      </w:r>
      <w:r w:rsidRPr="004628C3">
        <w:rPr>
          <w:color w:val="000000" w:themeColor="text1"/>
          <w:lang w:val="en-US"/>
        </w:rPr>
        <w:t xml:space="preserve"> or the non-specific primer ITS2 </w:t>
      </w:r>
      <w:r w:rsidRPr="004628C3">
        <w:rPr>
          <w:color w:val="000000" w:themeColor="text1"/>
          <w:lang w:val="en-US"/>
        </w:rPr>
        <w:fldChar w:fldCharType="begin" w:fldLock="1"/>
      </w:r>
      <w:r w:rsidRPr="004628C3">
        <w:rPr>
          <w:color w:val="000000" w:themeColor="text1"/>
          <w:lang w:val="en-US"/>
        </w:rPr>
        <w:instrText>ADDIN CSL_CITATION {"citationItems":[{"id":"ITEM-1","itemData":{"author":[{"dropping-particle":"","family":"White","given":"Thomas J","non-dropping-particle":"","parse-names":false,"suffix":""},{"dropping-particle":"","family":"Bruns","given":"Thomas","non-dropping-particle":"","parse-names":false,"suffix":""},{"dropping-particle":"","family":"Lee","given":"Steven","non-dropping-particle":"","parse-names":false,"suffix":""},{"dropping-particle":"","family":"Taylor","given":"John","non-dropping-particle":"","parse-names":false,"suffix":""}],"chapter-number":"38","container-title":"PCR protocols: a guide to methods and applications","editor":[{"dropping-particle":"","family":"Innis","given":"Michael A","non-dropping-particle":"","parse-names":false,"suffix":""},{"dropping-particle":"","family":"Gelfand","given":"David H","non-dropping-particle":"","parse-names":false,"suffix":""},{"dropping-particle":"","family":"Sninsky","given":"John J","non-dropping-particle":"","parse-names":false,"suffix":""},{"dropping-particle":"","family":"White","given":"Thomas J","non-dropping-particle":"","parse-names":false,"suffix":""}],"id":"ITEM-1","issue":"1","issued":{"date-parts":[["1990"]]},"page":"315-322","publisher":"Academic Press","publisher-place":"San Diego","title":"Amplification and direct sequencing of fungal ribosomal RNA genes for phylogenetics","type":"chapter","volume":"18"},"uris":["http://www.mendeley.com/documents/?uuid=de6defd2-0868-40e5-b1b8-7c64b37b26dd"]}],"mendeley":{"formattedCitation":"(White et al. 1990)","plainTextFormattedCitation":"(White et al. 1990)","previouslyFormattedCitation":"(White et al. 1990)"},"properties":{"noteIndex":0},"schema":"https://github.com/citation-style-language/schema/raw/master/csl-citation.json"}</w:instrText>
      </w:r>
      <w:r w:rsidRPr="004628C3">
        <w:rPr>
          <w:color w:val="000000" w:themeColor="text1"/>
          <w:lang w:val="en-US"/>
        </w:rPr>
        <w:fldChar w:fldCharType="separate"/>
      </w:r>
      <w:r w:rsidRPr="004628C3">
        <w:rPr>
          <w:noProof/>
          <w:color w:val="000000" w:themeColor="text1"/>
          <w:lang w:val="en-US"/>
        </w:rPr>
        <w:t>(White et al. 1990)</w:t>
      </w:r>
      <w:r w:rsidRPr="004628C3">
        <w:rPr>
          <w:color w:val="000000" w:themeColor="text1"/>
          <w:lang w:val="en-US"/>
        </w:rPr>
        <w:fldChar w:fldCharType="end"/>
      </w:r>
      <w:r w:rsidRPr="004628C3">
        <w:rPr>
          <w:color w:val="000000" w:themeColor="text1"/>
          <w:lang w:val="en-US"/>
        </w:rPr>
        <w:t xml:space="preserve"> on the 3’ edge and universal tails on the 5’ edge. Afterwards, the amplified product was re-amplified with oligonucleotides containing such universal tails, a sample-specific tag and the adaptors for 454-pyrosequencing chemistry. Given that amplifications of the two main sample sets (monumental tree and clonal bank) were done at different times, we were forced to use different polymerases (</w:t>
      </w:r>
      <w:proofErr w:type="spellStart"/>
      <w:r w:rsidRPr="004628C3">
        <w:rPr>
          <w:color w:val="000000" w:themeColor="text1"/>
          <w:lang w:val="en-US"/>
        </w:rPr>
        <w:t>TaKaRa</w:t>
      </w:r>
      <w:proofErr w:type="spellEnd"/>
      <w:r w:rsidRPr="004628C3">
        <w:rPr>
          <w:color w:val="000000" w:themeColor="text1"/>
          <w:lang w:val="en-US"/>
        </w:rPr>
        <w:t xml:space="preserve"> </w:t>
      </w:r>
      <w:proofErr w:type="spellStart"/>
      <w:r w:rsidRPr="004628C3">
        <w:rPr>
          <w:color w:val="000000" w:themeColor="text1"/>
          <w:lang w:val="en-US"/>
        </w:rPr>
        <w:t>PrimeSTAR</w:t>
      </w:r>
      <w:proofErr w:type="spellEnd"/>
      <w:r w:rsidRPr="004628C3">
        <w:rPr>
          <w:color w:val="000000" w:themeColor="text1"/>
          <w:lang w:val="en-US"/>
        </w:rPr>
        <w:t xml:space="preserve"> GXL and Roche FastStart High Fidelity, respectively), so the protocols varied slightly. This could rise some concerning in terms of comparative power. However, since this study just pretended to contrast these two datasets primarily in terms of incidence, and not of abundance, different PCR chemistries do not pose a problem. The populations of Rivas-</w:t>
      </w:r>
      <w:proofErr w:type="spellStart"/>
      <w:r w:rsidRPr="004628C3">
        <w:rPr>
          <w:color w:val="000000" w:themeColor="text1"/>
          <w:lang w:val="en-US"/>
        </w:rPr>
        <w:t>Vaciamadrid</w:t>
      </w:r>
      <w:proofErr w:type="spellEnd"/>
      <w:r w:rsidRPr="004628C3">
        <w:rPr>
          <w:color w:val="000000" w:themeColor="text1"/>
          <w:lang w:val="en-US"/>
        </w:rPr>
        <w:t xml:space="preserve"> and Burgos were assayed with the same conditions as the ones of the clonal bank. Such conditions for the first and the second PCR respectively were: a starting denaturation at 95</w:t>
      </w:r>
      <w:r w:rsidRPr="004628C3">
        <w:rPr>
          <w:rFonts w:cs="Times New Roman"/>
          <w:color w:val="000000" w:themeColor="text1"/>
          <w:lang w:val="en-US"/>
        </w:rPr>
        <w:t>°</w:t>
      </w:r>
      <w:r w:rsidRPr="004628C3">
        <w:rPr>
          <w:color w:val="000000" w:themeColor="text1"/>
          <w:lang w:val="en-US"/>
        </w:rPr>
        <w:t>C for 2 min; then 35 cycles of 95</w:t>
      </w:r>
      <w:r w:rsidRPr="004628C3">
        <w:rPr>
          <w:rFonts w:cs="Times New Roman"/>
          <w:color w:val="000000" w:themeColor="text1"/>
          <w:lang w:val="en-US"/>
        </w:rPr>
        <w:t>°</w:t>
      </w:r>
      <w:r w:rsidRPr="004628C3">
        <w:rPr>
          <w:color w:val="000000" w:themeColor="text1"/>
          <w:lang w:val="en-US"/>
        </w:rPr>
        <w:t>C for 30 s, 55</w:t>
      </w:r>
      <w:r w:rsidRPr="004628C3">
        <w:rPr>
          <w:rFonts w:cs="Times New Roman"/>
          <w:color w:val="000000" w:themeColor="text1"/>
          <w:lang w:val="en-US"/>
        </w:rPr>
        <w:t>°</w:t>
      </w:r>
      <w:r w:rsidRPr="004628C3">
        <w:rPr>
          <w:color w:val="000000" w:themeColor="text1"/>
          <w:lang w:val="en-US"/>
        </w:rPr>
        <w:t>C for 30 s and 72</w:t>
      </w:r>
      <w:r w:rsidRPr="004628C3">
        <w:rPr>
          <w:rFonts w:cs="Times New Roman"/>
          <w:color w:val="000000" w:themeColor="text1"/>
          <w:lang w:val="en-US"/>
        </w:rPr>
        <w:t>°</w:t>
      </w:r>
      <w:r w:rsidRPr="004628C3">
        <w:rPr>
          <w:color w:val="000000" w:themeColor="text1"/>
          <w:lang w:val="en-US"/>
        </w:rPr>
        <w:t>C for 1 min; finishing with a final elongation step of 72</w:t>
      </w:r>
      <w:r w:rsidRPr="004628C3">
        <w:rPr>
          <w:rFonts w:cs="Times New Roman"/>
          <w:color w:val="000000" w:themeColor="text1"/>
          <w:lang w:val="en-US"/>
        </w:rPr>
        <w:t>°</w:t>
      </w:r>
      <w:r w:rsidRPr="004628C3">
        <w:rPr>
          <w:color w:val="000000" w:themeColor="text1"/>
          <w:lang w:val="en-US"/>
        </w:rPr>
        <w:t xml:space="preserve">C for 5 min. For both PCRs, the reactions were done for a volume of 15 </w:t>
      </w:r>
      <w:r w:rsidRPr="004628C3">
        <w:rPr>
          <w:rFonts w:cs="Times New Roman"/>
          <w:color w:val="000000" w:themeColor="text1"/>
          <w:lang w:val="en-US"/>
        </w:rPr>
        <w:t>µ</w:t>
      </w:r>
      <w:r w:rsidRPr="004628C3">
        <w:rPr>
          <w:color w:val="000000" w:themeColor="text1"/>
          <w:lang w:val="en-US"/>
        </w:rPr>
        <w:t xml:space="preserve">L with final concentrations of </w:t>
      </w:r>
      <w:r w:rsidRPr="004628C3">
        <w:rPr>
          <w:rFonts w:cs="Times New Roman"/>
          <w:color w:val="000000" w:themeColor="text1"/>
          <w:lang w:val="en-US"/>
        </w:rPr>
        <w:t>~</w:t>
      </w:r>
      <w:r w:rsidRPr="004628C3">
        <w:rPr>
          <w:color w:val="000000" w:themeColor="text1"/>
          <w:lang w:val="en-US"/>
        </w:rPr>
        <w:t>5ng/</w:t>
      </w:r>
      <w:r w:rsidRPr="004628C3">
        <w:rPr>
          <w:rFonts w:cs="Times New Roman"/>
          <w:color w:val="000000" w:themeColor="text1"/>
          <w:lang w:val="en-US"/>
        </w:rPr>
        <w:t>µ</w:t>
      </w:r>
      <w:r w:rsidRPr="004628C3">
        <w:rPr>
          <w:color w:val="000000" w:themeColor="text1"/>
          <w:lang w:val="en-US"/>
        </w:rPr>
        <w:t xml:space="preserve">L of total isolated DNA or </w:t>
      </w:r>
      <w:r w:rsidRPr="004628C3">
        <w:rPr>
          <w:rFonts w:cs="Times New Roman"/>
          <w:color w:val="000000" w:themeColor="text1"/>
          <w:lang w:val="en-US"/>
        </w:rPr>
        <w:lastRenderedPageBreak/>
        <w:t>~0.</w:t>
      </w:r>
      <w:r w:rsidRPr="004628C3">
        <w:rPr>
          <w:color w:val="000000" w:themeColor="text1"/>
          <w:lang w:val="en-US"/>
        </w:rPr>
        <w:t>1ng/</w:t>
      </w:r>
      <w:r w:rsidRPr="004628C3">
        <w:rPr>
          <w:rFonts w:cs="Times New Roman"/>
          <w:color w:val="000000" w:themeColor="text1"/>
          <w:lang w:val="en-US"/>
        </w:rPr>
        <w:t>µ</w:t>
      </w:r>
      <w:r w:rsidRPr="004628C3">
        <w:rPr>
          <w:color w:val="000000" w:themeColor="text1"/>
          <w:lang w:val="en-US"/>
        </w:rPr>
        <w:t xml:space="preserve">L of product from the first PCR (1 </w:t>
      </w:r>
      <w:r w:rsidRPr="004628C3">
        <w:rPr>
          <w:rFonts w:cs="Times New Roman"/>
          <w:color w:val="000000" w:themeColor="text1"/>
          <w:lang w:val="en-US"/>
        </w:rPr>
        <w:t>µ</w:t>
      </w:r>
      <w:r w:rsidRPr="004628C3">
        <w:rPr>
          <w:color w:val="000000" w:themeColor="text1"/>
          <w:lang w:val="en-US"/>
        </w:rPr>
        <w:t xml:space="preserve">L of stock DNA solution or 1 </w:t>
      </w:r>
      <w:r w:rsidRPr="004628C3">
        <w:rPr>
          <w:rFonts w:cs="Times New Roman"/>
          <w:color w:val="000000" w:themeColor="text1"/>
          <w:lang w:val="en-US"/>
        </w:rPr>
        <w:t>µ</w:t>
      </w:r>
      <w:r w:rsidRPr="004628C3">
        <w:rPr>
          <w:color w:val="000000" w:themeColor="text1"/>
          <w:lang w:val="en-US"/>
        </w:rPr>
        <w:t>L of product of the first PCR diluted 1/100), 1</w:t>
      </w:r>
      <w:r w:rsidRPr="004628C3">
        <w:rPr>
          <w:rFonts w:cs="Times New Roman"/>
          <w:color w:val="000000" w:themeColor="text1"/>
          <w:lang w:val="en-US"/>
        </w:rPr>
        <w:t>×</w:t>
      </w:r>
      <w:r w:rsidRPr="004628C3">
        <w:rPr>
          <w:color w:val="000000" w:themeColor="text1"/>
          <w:lang w:val="en-US"/>
        </w:rPr>
        <w:t xml:space="preserve"> of reaction buffer, 1.8 mM of MgCl</w:t>
      </w:r>
      <w:r w:rsidRPr="004628C3">
        <w:rPr>
          <w:color w:val="000000" w:themeColor="text1"/>
          <w:vertAlign w:val="subscript"/>
          <w:lang w:val="en-US"/>
        </w:rPr>
        <w:t>2</w:t>
      </w:r>
      <w:r w:rsidRPr="004628C3">
        <w:rPr>
          <w:color w:val="000000" w:themeColor="text1"/>
          <w:lang w:val="en-US"/>
        </w:rPr>
        <w:t>, 0.2 mM of each dNTP, 0.4 mM of each primer and 0.05 U/</w:t>
      </w:r>
      <w:r w:rsidRPr="004628C3">
        <w:rPr>
          <w:rFonts w:cs="Times New Roman"/>
          <w:color w:val="000000" w:themeColor="text1"/>
          <w:lang w:val="en-US"/>
        </w:rPr>
        <w:t>µ</w:t>
      </w:r>
      <w:r w:rsidRPr="004628C3">
        <w:rPr>
          <w:color w:val="000000" w:themeColor="text1"/>
          <w:lang w:val="en-US"/>
        </w:rPr>
        <w:t xml:space="preserve">L of FastStart enzyme. The conditions for the </w:t>
      </w:r>
      <w:proofErr w:type="spellStart"/>
      <w:r w:rsidRPr="004628C3">
        <w:rPr>
          <w:color w:val="000000" w:themeColor="text1"/>
          <w:lang w:val="en-US"/>
        </w:rPr>
        <w:t>PrimeSTAR</w:t>
      </w:r>
      <w:proofErr w:type="spellEnd"/>
      <w:r w:rsidRPr="004628C3">
        <w:rPr>
          <w:color w:val="000000" w:themeColor="text1"/>
          <w:lang w:val="en-US"/>
        </w:rPr>
        <w:t xml:space="preserve"> polymerase were as specified in the manufacturer manual for the 3-step PCR, setting Tm to 58</w:t>
      </w:r>
      <w:r w:rsidRPr="004628C3">
        <w:rPr>
          <w:rFonts w:cs="Times New Roman"/>
          <w:color w:val="000000" w:themeColor="text1"/>
          <w:lang w:val="en-US"/>
        </w:rPr>
        <w:t>°</w:t>
      </w:r>
      <w:r w:rsidRPr="004628C3">
        <w:rPr>
          <w:color w:val="000000" w:themeColor="text1"/>
          <w:lang w:val="en-US"/>
        </w:rPr>
        <w:t>C in the first PCR and 60</w:t>
      </w:r>
      <w:r w:rsidRPr="004628C3">
        <w:rPr>
          <w:rFonts w:cs="Times New Roman"/>
          <w:color w:val="000000" w:themeColor="text1"/>
          <w:lang w:val="en-US"/>
        </w:rPr>
        <w:t>°</w:t>
      </w:r>
      <w:r w:rsidRPr="004628C3">
        <w:rPr>
          <w:color w:val="000000" w:themeColor="text1"/>
          <w:lang w:val="en-US"/>
        </w:rPr>
        <w:t xml:space="preserve">C in the second, and increasing the cycles to 35 in the first PCR. Reaction volume was 15 </w:t>
      </w:r>
      <w:r w:rsidRPr="004628C3">
        <w:rPr>
          <w:rFonts w:cs="Times New Roman"/>
          <w:color w:val="000000" w:themeColor="text1"/>
          <w:lang w:val="en-US"/>
        </w:rPr>
        <w:t>µ</w:t>
      </w:r>
      <w:r w:rsidRPr="004628C3">
        <w:rPr>
          <w:color w:val="000000" w:themeColor="text1"/>
          <w:lang w:val="en-US"/>
        </w:rPr>
        <w:t>L.</w:t>
      </w:r>
    </w:p>
    <w:p w14:paraId="69898C11" w14:textId="77777777" w:rsidR="00E57F18" w:rsidRDefault="00E57F18" w:rsidP="00E57F18">
      <w:pPr>
        <w:pStyle w:val="Heading3"/>
        <w:rPr>
          <w:color w:val="000000" w:themeColor="text1"/>
          <w:lang w:val="en-US"/>
        </w:rPr>
      </w:pPr>
      <w:r>
        <w:rPr>
          <w:color w:val="000000" w:themeColor="text1"/>
          <w:lang w:val="en-US"/>
        </w:rPr>
        <w:t>High-</w:t>
      </w:r>
      <w:proofErr w:type="spellStart"/>
      <w:r>
        <w:rPr>
          <w:color w:val="000000" w:themeColor="text1"/>
          <w:lang w:val="en-US"/>
        </w:rPr>
        <w:t>thoughput</w:t>
      </w:r>
      <w:proofErr w:type="spellEnd"/>
      <w:r>
        <w:rPr>
          <w:color w:val="000000" w:themeColor="text1"/>
          <w:lang w:val="en-US"/>
        </w:rPr>
        <w:t xml:space="preserve"> sequencing</w:t>
      </w:r>
    </w:p>
    <w:p w14:paraId="5CCF490E" w14:textId="26DF3DFE" w:rsidR="00E57F18" w:rsidRPr="004628C3" w:rsidRDefault="00E57F18" w:rsidP="00E57F18">
      <w:pPr>
        <w:pStyle w:val="BodyText"/>
        <w:rPr>
          <w:color w:val="000000" w:themeColor="text1"/>
          <w:lang w:val="en-US"/>
        </w:rPr>
      </w:pPr>
      <w:r w:rsidRPr="004628C3">
        <w:rPr>
          <w:color w:val="000000" w:themeColor="text1"/>
          <w:lang w:val="en-US"/>
        </w:rPr>
        <w:t>We decided the survey on the landmark tree to be the first one because depicting the endophytic mycobiome within a tree would provide information about the sampling effort needed in subsequent experiments to properly characterize each tree mycobiome. Since we did not have a priori information about how deep we should sample, and we considered that deciphering the within-tree endophytic structure deserved a higher resolution, we allotted a large sequencing capacity to this purpose. Given that in the clonal bank experiment we aimed at detecting possible associations to DED tolerance not only of the abundant endophytes but also of the rare ones, such experiment also received an important sequencing allocation to attain a considerable resolution. The elm population of Burgos, on the other hand, was shallowly sequenced, because it was used mostly as an outgroup, to reveal how ubiquitous the core microbiome detected in the other three populations was.</w:t>
      </w:r>
      <w:r w:rsidR="006C49F1">
        <w:rPr>
          <w:color w:val="000000" w:themeColor="text1"/>
          <w:lang w:val="en-US"/>
        </w:rPr>
        <w:t xml:space="preserve"> </w:t>
      </w:r>
      <w:r w:rsidRPr="004628C3">
        <w:rPr>
          <w:color w:val="000000" w:themeColor="text1"/>
          <w:lang w:val="en-US"/>
        </w:rPr>
        <w:t xml:space="preserve">After the second PCR, the product of all the samples was quantified, pooled equimolarly and </w:t>
      </w:r>
      <w:proofErr w:type="spellStart"/>
      <w:r w:rsidRPr="004628C3">
        <w:rPr>
          <w:color w:val="000000" w:themeColor="text1"/>
          <w:lang w:val="en-US"/>
        </w:rPr>
        <w:t>pyrosequenced</w:t>
      </w:r>
      <w:proofErr w:type="spellEnd"/>
      <w:r w:rsidRPr="004628C3">
        <w:rPr>
          <w:color w:val="000000" w:themeColor="text1"/>
          <w:lang w:val="en-US"/>
        </w:rPr>
        <w:t xml:space="preserve"> in a 454 GS FLX Titanium platform (Roche, Switzerland, Basel). The sequencing effort was as follows: monumental tree samples were run in 1/8</w:t>
      </w:r>
      <w:r w:rsidRPr="004628C3">
        <w:rPr>
          <w:color w:val="000000" w:themeColor="text1"/>
          <w:vertAlign w:val="superscript"/>
          <w:lang w:val="en-US"/>
        </w:rPr>
        <w:t>th</w:t>
      </w:r>
      <w:r w:rsidRPr="004628C3">
        <w:rPr>
          <w:color w:val="000000" w:themeColor="text1"/>
          <w:lang w:val="en-US"/>
        </w:rPr>
        <w:t xml:space="preserve"> of a plate, clonal bank ones in the 62.5% of 1/8</w:t>
      </w:r>
      <w:r w:rsidRPr="004628C3">
        <w:rPr>
          <w:color w:val="000000" w:themeColor="text1"/>
          <w:vertAlign w:val="superscript"/>
          <w:lang w:val="en-US"/>
        </w:rPr>
        <w:t>th</w:t>
      </w:r>
      <w:r w:rsidRPr="004628C3">
        <w:rPr>
          <w:color w:val="000000" w:themeColor="text1"/>
          <w:lang w:val="en-US"/>
        </w:rPr>
        <w:t xml:space="preserve"> of a plate, Rivas-</w:t>
      </w:r>
      <w:proofErr w:type="spellStart"/>
      <w:r w:rsidRPr="004628C3">
        <w:rPr>
          <w:color w:val="000000" w:themeColor="text1"/>
          <w:lang w:val="en-US"/>
        </w:rPr>
        <w:t>Vaciamandrid</w:t>
      </w:r>
      <w:proofErr w:type="spellEnd"/>
      <w:r w:rsidRPr="004628C3">
        <w:rPr>
          <w:color w:val="000000" w:themeColor="text1"/>
          <w:lang w:val="en-US"/>
        </w:rPr>
        <w:t xml:space="preserve"> 37.5% of 1/8</w:t>
      </w:r>
      <w:r w:rsidRPr="004628C3">
        <w:rPr>
          <w:color w:val="000000" w:themeColor="text1"/>
          <w:vertAlign w:val="superscript"/>
          <w:lang w:val="en-US"/>
        </w:rPr>
        <w:t>th</w:t>
      </w:r>
      <w:r w:rsidRPr="004628C3">
        <w:rPr>
          <w:color w:val="000000" w:themeColor="text1"/>
          <w:lang w:val="en-US"/>
        </w:rPr>
        <w:t xml:space="preserve"> of a plate and the Burgos population was run in the 4% of 1/4</w:t>
      </w:r>
      <w:r w:rsidRPr="004628C3">
        <w:rPr>
          <w:color w:val="000000" w:themeColor="text1"/>
          <w:vertAlign w:val="superscript"/>
          <w:lang w:val="en-US"/>
        </w:rPr>
        <w:t>th</w:t>
      </w:r>
      <w:r w:rsidRPr="004628C3">
        <w:rPr>
          <w:color w:val="000000" w:themeColor="text1"/>
          <w:lang w:val="en-US"/>
        </w:rPr>
        <w:t xml:space="preserve"> plate.</w:t>
      </w:r>
    </w:p>
    <w:p w14:paraId="173298F9" w14:textId="77777777" w:rsidR="00E57F18" w:rsidRPr="004628C3" w:rsidRDefault="00E57F18" w:rsidP="00E57F18">
      <w:pPr>
        <w:pStyle w:val="Heading3"/>
        <w:rPr>
          <w:color w:val="000000" w:themeColor="text1"/>
          <w:lang w:val="en-US"/>
        </w:rPr>
      </w:pPr>
      <w:r>
        <w:rPr>
          <w:color w:val="000000" w:themeColor="text1"/>
          <w:lang w:val="en-US"/>
        </w:rPr>
        <w:t>D</w:t>
      </w:r>
      <w:r w:rsidRPr="004628C3">
        <w:rPr>
          <w:color w:val="000000" w:themeColor="text1"/>
          <w:lang w:val="en-US"/>
        </w:rPr>
        <w:t>efault values</w:t>
      </w:r>
      <w:r>
        <w:rPr>
          <w:color w:val="000000" w:themeColor="text1"/>
          <w:lang w:val="en-US"/>
        </w:rPr>
        <w:t xml:space="preserve"> for </w:t>
      </w:r>
      <w:proofErr w:type="spellStart"/>
      <w:r w:rsidRPr="004628C3">
        <w:rPr>
          <w:i w:val="0"/>
          <w:color w:val="000000" w:themeColor="text1"/>
          <w:lang w:val="en-US"/>
        </w:rPr>
        <w:t>RunTitanium</w:t>
      </w:r>
      <w:proofErr w:type="spellEnd"/>
      <w:r w:rsidRPr="004628C3">
        <w:rPr>
          <w:color w:val="000000" w:themeColor="text1"/>
          <w:lang w:val="en-US"/>
        </w:rPr>
        <w:t xml:space="preserve"> script </w:t>
      </w:r>
      <w:r>
        <w:rPr>
          <w:color w:val="000000" w:themeColor="text1"/>
          <w:lang w:val="en-US"/>
        </w:rPr>
        <w:t>from</w:t>
      </w:r>
      <w:r w:rsidRPr="004628C3">
        <w:rPr>
          <w:color w:val="000000" w:themeColor="text1"/>
          <w:lang w:val="en-US"/>
        </w:rPr>
        <w:t xml:space="preserve"> </w:t>
      </w:r>
      <w:proofErr w:type="spellStart"/>
      <w:r w:rsidRPr="006C49F1">
        <w:rPr>
          <w:i w:val="0"/>
          <w:iCs/>
          <w:color w:val="000000" w:themeColor="text1"/>
          <w:lang w:val="en-US"/>
        </w:rPr>
        <w:t>AmpliconNoise</w:t>
      </w:r>
      <w:proofErr w:type="spellEnd"/>
      <w:r w:rsidRPr="004628C3">
        <w:rPr>
          <w:color w:val="000000" w:themeColor="text1"/>
          <w:lang w:val="en-US"/>
        </w:rPr>
        <w:t xml:space="preserve"> v1.29 </w:t>
      </w:r>
      <w:r w:rsidRPr="004628C3">
        <w:rPr>
          <w:color w:val="000000" w:themeColor="text1"/>
          <w:lang w:val="en-US"/>
        </w:rPr>
        <w:fldChar w:fldCharType="begin" w:fldLock="1"/>
      </w:r>
      <w:r w:rsidRPr="004628C3">
        <w:rPr>
          <w:color w:val="000000" w:themeColor="text1"/>
          <w:lang w:val="en-US"/>
        </w:rPr>
        <w:instrText>ADDIN CSL_CITATION {"citationItems":[{"id":"ITEM-1","itemData":{"DOI":"10.1186/1471-2105-12-38","ISSN":"1471-2105","abstract":"In many environmental genomics applications a homologous region of DNA from a diverse sample is first amplified by PCR and then sequenced. The next generation sequencing technology, 454 pyrosequencing, has allowed much larger read numbers from PCR amplicons than ever before. This has revolutionised the study of microbial diversity as it is now possible to sequence a substantial fraction of the 16S rRNA genes in a community. However, there is a growing realisation that because of the large read numbers and the lack of consensus sequences it is vital to distinguish noise from true sequence diversity in this data. Otherwise this leads to inflated estimates of the number of types or operational taxonomic units (OTUs) present. Three sources of error are important: sequencing error, PCR single base substitutions and PCR chimeras. We present AmpliconNoise, a development of the PyroNoise algorithm that is capable of separately removing 454 sequencing errors and PCR single base errors. We also introduce a novel chimera removal program, Perseus, that exploits the sequence abundances associated with pyrosequencing data. We use data sets where samples of known diversity have been amplified and sequenced to quantify the effect of each of the sources of error on OTU inflation and to validate these algorithms.","author":[{"dropping-particle":"","family":"Quince","given":"Christopher","non-dropping-particle":"","parse-names":false,"suffix":""},{"dropping-particle":"","family":"Lanzen","given":"Anders","non-dropping-particle":"","parse-names":false,"suffix":""},{"dropping-particle":"","family":"Davenport","given":"Russell J","non-dropping-particle":"","parse-names":false,"suffix":""},{"dropping-particle":"","family":"Turnbaugh","given":"Peter J","non-dropping-particle":"","parse-names":false,"suffix":""}],"container-title":"BMC Bioinformatics","id":"ITEM-1","issue":"1","issued":{"date-parts":[["2011"]]},"page":"38","title":"Removing Noise From Pyrosequenced Amplicons","type":"article-journal","volume":"12"},"uris":["http://www.mendeley.com/documents/?uuid=388de9b3-ced5-4ee0-b12f-a1f8ad871c0a"]}],"mendeley":{"formattedCitation":"(Quince et al. 2011)","plainTextFormattedCitation":"(Quince et al. 2011)","previouslyFormattedCitation":"(Quince et al. 2011)"},"properties":{"noteIndex":0},"schema":"https://github.com/citation-style-language/schema/raw/master/csl-citation.json"}</w:instrText>
      </w:r>
      <w:r w:rsidRPr="004628C3">
        <w:rPr>
          <w:color w:val="000000" w:themeColor="text1"/>
          <w:lang w:val="en-US"/>
        </w:rPr>
        <w:fldChar w:fldCharType="separate"/>
      </w:r>
      <w:r w:rsidRPr="004628C3">
        <w:rPr>
          <w:noProof/>
          <w:color w:val="000000" w:themeColor="text1"/>
          <w:lang w:val="en-US"/>
        </w:rPr>
        <w:t>(</w:t>
      </w:r>
      <w:r w:rsidRPr="006C49F1">
        <w:rPr>
          <w:i w:val="0"/>
          <w:iCs/>
          <w:noProof/>
          <w:color w:val="000000" w:themeColor="text1"/>
          <w:lang w:val="en-US"/>
        </w:rPr>
        <w:t>Quince et al. 2011</w:t>
      </w:r>
      <w:r w:rsidRPr="004628C3">
        <w:rPr>
          <w:noProof/>
          <w:color w:val="000000" w:themeColor="text1"/>
          <w:lang w:val="en-US"/>
        </w:rPr>
        <w:t>)</w:t>
      </w:r>
      <w:r w:rsidRPr="004628C3">
        <w:rPr>
          <w:color w:val="000000" w:themeColor="text1"/>
          <w:lang w:val="en-US"/>
        </w:rPr>
        <w:fldChar w:fldCharType="end"/>
      </w:r>
    </w:p>
    <w:p w14:paraId="0B2337BE" w14:textId="77777777" w:rsidR="00E57F18" w:rsidRPr="008079E4" w:rsidRDefault="00E57F18" w:rsidP="00E57F18">
      <w:pPr>
        <w:pStyle w:val="BodyText"/>
        <w:rPr>
          <w:color w:val="000000" w:themeColor="text1"/>
          <w:lang w:val="en-US"/>
        </w:rPr>
      </w:pPr>
      <w:r w:rsidRPr="008079E4">
        <w:rPr>
          <w:color w:val="000000" w:themeColor="text1"/>
          <w:lang w:val="en-US"/>
        </w:rPr>
        <w:t xml:space="preserve">Parameters </w:t>
      </w:r>
      <w:proofErr w:type="spellStart"/>
      <w:r w:rsidRPr="008079E4">
        <w:rPr>
          <w:color w:val="000000" w:themeColor="text1"/>
          <w:lang w:val="en-US"/>
        </w:rPr>
        <w:t>spyro</w:t>
      </w:r>
      <w:proofErr w:type="spellEnd"/>
      <w:r w:rsidRPr="008079E4">
        <w:rPr>
          <w:color w:val="000000" w:themeColor="text1"/>
          <w:lang w:val="en-US"/>
        </w:rPr>
        <w:t xml:space="preserve">=60 and </w:t>
      </w:r>
      <w:proofErr w:type="spellStart"/>
      <w:r w:rsidRPr="008079E4">
        <w:rPr>
          <w:color w:val="000000" w:themeColor="text1"/>
          <w:lang w:val="en-US"/>
        </w:rPr>
        <w:t>cpyro</w:t>
      </w:r>
      <w:proofErr w:type="spellEnd"/>
      <w:r w:rsidRPr="008079E4">
        <w:rPr>
          <w:color w:val="000000" w:themeColor="text1"/>
          <w:lang w:val="en-US"/>
        </w:rPr>
        <w:t xml:space="preserve">=0.01 for </w:t>
      </w:r>
      <w:proofErr w:type="spellStart"/>
      <w:r w:rsidRPr="008079E4">
        <w:rPr>
          <w:color w:val="000000" w:themeColor="text1"/>
          <w:lang w:val="en-US"/>
        </w:rPr>
        <w:t>PyroNoise</w:t>
      </w:r>
      <w:proofErr w:type="spellEnd"/>
      <w:r w:rsidRPr="008079E4">
        <w:rPr>
          <w:color w:val="000000" w:themeColor="text1"/>
          <w:lang w:val="en-US"/>
        </w:rPr>
        <w:t xml:space="preserve">; </w:t>
      </w:r>
      <w:proofErr w:type="spellStart"/>
      <w:r w:rsidRPr="008079E4">
        <w:rPr>
          <w:color w:val="000000" w:themeColor="text1"/>
          <w:lang w:val="en-US"/>
        </w:rPr>
        <w:t>sseq</w:t>
      </w:r>
      <w:proofErr w:type="spellEnd"/>
      <w:r w:rsidRPr="008079E4">
        <w:rPr>
          <w:color w:val="000000" w:themeColor="text1"/>
          <w:lang w:val="en-US"/>
        </w:rPr>
        <w:t xml:space="preserve">=25 and </w:t>
      </w:r>
      <w:proofErr w:type="spellStart"/>
      <w:r w:rsidRPr="008079E4">
        <w:rPr>
          <w:color w:val="000000" w:themeColor="text1"/>
          <w:lang w:val="en-US"/>
        </w:rPr>
        <w:t>cseq</w:t>
      </w:r>
      <w:proofErr w:type="spellEnd"/>
      <w:r w:rsidRPr="008079E4">
        <w:rPr>
          <w:color w:val="000000" w:themeColor="text1"/>
          <w:lang w:val="en-US"/>
        </w:rPr>
        <w:t xml:space="preserve">=0.08 for </w:t>
      </w:r>
      <w:proofErr w:type="spellStart"/>
      <w:r w:rsidRPr="008079E4">
        <w:rPr>
          <w:color w:val="000000" w:themeColor="text1"/>
          <w:lang w:val="en-US"/>
        </w:rPr>
        <w:t>SeqNoise</w:t>
      </w:r>
      <w:proofErr w:type="spellEnd"/>
      <w:r w:rsidRPr="008079E4">
        <w:rPr>
          <w:color w:val="000000" w:themeColor="text1"/>
          <w:lang w:val="en-US"/>
        </w:rPr>
        <w:t xml:space="preserve">; and alpha=-7.5 and beta=0.5 for Perseus. The minimum and maximum size of </w:t>
      </w:r>
      <w:proofErr w:type="spellStart"/>
      <w:r w:rsidRPr="008079E4">
        <w:rPr>
          <w:color w:val="000000" w:themeColor="text1"/>
          <w:lang w:val="en-US"/>
        </w:rPr>
        <w:t>flowgram</w:t>
      </w:r>
      <w:proofErr w:type="spellEnd"/>
      <w:r w:rsidRPr="008079E4">
        <w:rPr>
          <w:color w:val="000000" w:themeColor="text1"/>
          <w:lang w:val="en-US"/>
        </w:rPr>
        <w:t xml:space="preserve"> sizes were 360 and 720 bp, respectively. Sequences were truncated to 400 bp.</w:t>
      </w:r>
    </w:p>
    <w:p w14:paraId="22115295" w14:textId="77777777" w:rsidR="00E57F18" w:rsidRPr="0094633B" w:rsidRDefault="00E57F18" w:rsidP="00E57F18">
      <w:pPr>
        <w:pStyle w:val="Heading3"/>
        <w:rPr>
          <w:color w:val="000000" w:themeColor="text1"/>
          <w:lang w:val="en-US"/>
        </w:rPr>
      </w:pPr>
      <w:r w:rsidRPr="0094633B">
        <w:rPr>
          <w:color w:val="000000" w:themeColor="text1"/>
          <w:lang w:val="en-US"/>
        </w:rPr>
        <w:lastRenderedPageBreak/>
        <w:t>Visualization of data and test of hypothesis with DeSeq2</w:t>
      </w:r>
    </w:p>
    <w:p w14:paraId="0D99E9CF" w14:textId="028542DA" w:rsidR="00E57F18" w:rsidRDefault="00E57F18" w:rsidP="00E57F18">
      <w:pPr>
        <w:pStyle w:val="BodyText"/>
        <w:rPr>
          <w:color w:val="000000" w:themeColor="text1"/>
          <w:lang w:val="en-US"/>
        </w:rPr>
      </w:pPr>
      <w:r w:rsidRPr="004628C3">
        <w:rPr>
          <w:color w:val="000000" w:themeColor="text1"/>
          <w:lang w:val="en-US"/>
        </w:rPr>
        <w:t xml:space="preserve">To visually explore for general patterns and groupings, we used the multivariate methods included in the package. First, we apply to the count data a Variance Stabilizing Transformation. Later, the adjusted counts were used to reduce the dimensionality of the dataset through a Principal Component Analysis and to cluster the samples. Afterwards, we test the hypothesis whether any of the taxonomic groups was associated with the tolerance to DED. We implemented the model in DESeq2 setting wilting (a proxy of DED tolerance) as the only explanatory variable. These tests were conducted at OTU, family, order and class levels, and only for groups with more than 5 counts adding up the ten clonal bank samples. </w:t>
      </w:r>
    </w:p>
    <w:p w14:paraId="1E543CC2" w14:textId="304B8EC3" w:rsidR="00E57F18" w:rsidRDefault="00E57F18" w:rsidP="00680558">
      <w:pPr>
        <w:pStyle w:val="BodyText"/>
        <w:rPr>
          <w:color w:val="000000" w:themeColor="text1"/>
          <w:lang w:val="en-US"/>
        </w:rPr>
      </w:pPr>
      <w:r>
        <w:rPr>
          <w:color w:val="000000" w:themeColor="text1"/>
          <w:lang w:val="en-US"/>
        </w:rPr>
        <w:t>At the OTU level, w</w:t>
      </w:r>
      <w:r w:rsidRPr="004628C3">
        <w:rPr>
          <w:color w:val="000000" w:themeColor="text1"/>
          <w:lang w:val="en-US"/>
        </w:rPr>
        <w:t>e deem</w:t>
      </w:r>
      <w:r>
        <w:rPr>
          <w:color w:val="000000" w:themeColor="text1"/>
          <w:lang w:val="en-US"/>
        </w:rPr>
        <w:t>ed</w:t>
      </w:r>
      <w:r w:rsidRPr="004628C3">
        <w:rPr>
          <w:color w:val="000000" w:themeColor="text1"/>
          <w:lang w:val="en-US"/>
        </w:rPr>
        <w:t xml:space="preserve"> as significant but to a lower degree</w:t>
      </w:r>
      <w:r w:rsidRPr="003C3B6A">
        <w:rPr>
          <w:color w:val="000000" w:themeColor="text1"/>
          <w:lang w:val="en-US"/>
        </w:rPr>
        <w:t xml:space="preserve"> </w:t>
      </w:r>
      <w:r w:rsidRPr="004628C3">
        <w:rPr>
          <w:color w:val="000000" w:themeColor="text1"/>
          <w:lang w:val="en-US"/>
        </w:rPr>
        <w:t>passing the threshold of FDR &lt; 0.15</w:t>
      </w:r>
      <w:r>
        <w:rPr>
          <w:color w:val="000000" w:themeColor="text1"/>
          <w:lang w:val="en-US"/>
        </w:rPr>
        <w:t>:</w:t>
      </w:r>
      <w:r w:rsidRPr="004628C3">
        <w:rPr>
          <w:color w:val="000000" w:themeColor="text1"/>
          <w:lang w:val="en-US"/>
        </w:rPr>
        <w:t xml:space="preserve"> though being significant in the independent tests, the significance was weaker when accounting for multiple-testing.</w:t>
      </w:r>
      <w:r>
        <w:rPr>
          <w:color w:val="000000" w:themeColor="text1"/>
          <w:lang w:val="en-US"/>
        </w:rPr>
        <w:t xml:space="preserve"> We consider those reports with recording. </w:t>
      </w:r>
      <w:r>
        <w:rPr>
          <w:color w:val="000000" w:themeColor="text1"/>
          <w:lang w:val="en-US"/>
        </w:rPr>
        <w:br w:type="page"/>
      </w:r>
    </w:p>
    <w:p w14:paraId="415157C6" w14:textId="3BEBCE03" w:rsidR="00E91D51" w:rsidRPr="00A16EDB" w:rsidRDefault="00C46273" w:rsidP="00A16EDB">
      <w:pPr>
        <w:pStyle w:val="BodyText"/>
        <w:spacing w:after="60"/>
        <w:rPr>
          <w:rFonts w:cs="Times New Roman"/>
          <w:noProof/>
          <w:szCs w:val="24"/>
          <w:lang w:val="en-US"/>
        </w:rPr>
      </w:pPr>
      <w:r w:rsidRPr="003A0708">
        <w:rPr>
          <w:b/>
          <w:bCs/>
          <w:color w:val="000000" w:themeColor="text1"/>
          <w:lang w:val="en-US"/>
        </w:rPr>
        <w:lastRenderedPageBreak/>
        <w:t>Supplementary references</w:t>
      </w:r>
      <w:r w:rsidR="00E91D51" w:rsidRPr="00A16EDB">
        <w:rPr>
          <w:lang w:val="en-US"/>
        </w:rPr>
        <w:fldChar w:fldCharType="begin" w:fldLock="1"/>
      </w:r>
      <w:r w:rsidR="00E91D51" w:rsidRPr="00A16EDB">
        <w:rPr>
          <w:lang w:val="en-US"/>
        </w:rPr>
        <w:instrText xml:space="preserve">ADDIN Mendeley Bibliography CSL_BIBLIOGRAPHY </w:instrText>
      </w:r>
      <w:r w:rsidR="00E91D51" w:rsidRPr="00A16EDB">
        <w:rPr>
          <w:lang w:val="en-US"/>
        </w:rPr>
        <w:fldChar w:fldCharType="separate"/>
      </w:r>
    </w:p>
    <w:p w14:paraId="046CDEFE" w14:textId="77777777" w:rsidR="00E91D51" w:rsidRPr="00A16EDB" w:rsidRDefault="00E91D51" w:rsidP="00A16EDB">
      <w:pPr>
        <w:widowControl w:val="0"/>
        <w:autoSpaceDE w:val="0"/>
        <w:autoSpaceDN w:val="0"/>
        <w:adjustRightInd w:val="0"/>
        <w:spacing w:after="60"/>
        <w:ind w:left="480" w:hanging="480"/>
        <w:rPr>
          <w:rFonts w:cs="Times New Roman"/>
          <w:noProof/>
          <w:szCs w:val="24"/>
          <w:lang w:val="en-US"/>
        </w:rPr>
      </w:pPr>
      <w:r w:rsidRPr="00A16EDB">
        <w:rPr>
          <w:rFonts w:cs="Times New Roman"/>
          <w:noProof/>
          <w:szCs w:val="24"/>
          <w:lang w:val="en-US"/>
        </w:rPr>
        <w:t>Gardes M, Bruns TD (1993) ITS primers with enhanced specificity for basidiomycetes - application to the identification of mycorrhizae and rusts. Mol Ecol 2:113–118. doi: 10.1111/j.1365-294X.1993.tb00005.x</w:t>
      </w:r>
    </w:p>
    <w:p w14:paraId="44B56092" w14:textId="77777777" w:rsidR="00E91D51" w:rsidRPr="00A16EDB" w:rsidRDefault="00E91D51" w:rsidP="00A16EDB">
      <w:pPr>
        <w:widowControl w:val="0"/>
        <w:autoSpaceDE w:val="0"/>
        <w:autoSpaceDN w:val="0"/>
        <w:adjustRightInd w:val="0"/>
        <w:spacing w:after="60"/>
        <w:ind w:left="480" w:hanging="480"/>
        <w:rPr>
          <w:rFonts w:cs="Times New Roman"/>
          <w:noProof/>
          <w:szCs w:val="24"/>
          <w:lang w:val="en-US"/>
        </w:rPr>
      </w:pPr>
      <w:r w:rsidRPr="00A16EDB">
        <w:rPr>
          <w:rFonts w:cs="Times New Roman"/>
          <w:noProof/>
          <w:szCs w:val="24"/>
          <w:lang w:val="en-US"/>
        </w:rPr>
        <w:t xml:space="preserve">Martin JA, Solla A, Venturas M, et al (2015) Seven </w:t>
      </w:r>
      <w:r w:rsidRPr="00A16EDB">
        <w:rPr>
          <w:rFonts w:cs="Times New Roman"/>
          <w:i/>
          <w:iCs/>
          <w:noProof/>
          <w:szCs w:val="24"/>
          <w:lang w:val="en-US"/>
        </w:rPr>
        <w:t>Ulmus minor</w:t>
      </w:r>
      <w:r w:rsidRPr="00A16EDB">
        <w:rPr>
          <w:rFonts w:cs="Times New Roman"/>
          <w:noProof/>
          <w:szCs w:val="24"/>
          <w:lang w:val="en-US"/>
        </w:rPr>
        <w:t xml:space="preserve"> clones tolerant to </w:t>
      </w:r>
      <w:r w:rsidRPr="00A16EDB">
        <w:rPr>
          <w:rFonts w:cs="Times New Roman"/>
          <w:i/>
          <w:iCs/>
          <w:noProof/>
          <w:szCs w:val="24"/>
          <w:lang w:val="en-US"/>
        </w:rPr>
        <w:t>Ophiostoma novo-ulmi</w:t>
      </w:r>
      <w:r w:rsidRPr="00A16EDB">
        <w:rPr>
          <w:rFonts w:cs="Times New Roman"/>
          <w:noProof/>
          <w:szCs w:val="24"/>
          <w:lang w:val="en-US"/>
        </w:rPr>
        <w:t xml:space="preserve"> registered as forest reproductive material in Spain. iForest - Biogeosciences For 8:172–180. doi: 10.3832/ifor1224-008</w:t>
      </w:r>
    </w:p>
    <w:p w14:paraId="6769B5C3" w14:textId="77777777" w:rsidR="00E91D51" w:rsidRDefault="00E91D51" w:rsidP="00A16EDB">
      <w:pPr>
        <w:widowControl w:val="0"/>
        <w:autoSpaceDE w:val="0"/>
        <w:autoSpaceDN w:val="0"/>
        <w:adjustRightInd w:val="0"/>
        <w:spacing w:after="60"/>
        <w:ind w:left="480" w:hanging="480"/>
        <w:rPr>
          <w:rFonts w:cs="Times New Roman"/>
          <w:noProof/>
          <w:szCs w:val="24"/>
          <w:lang w:val="en-US"/>
        </w:rPr>
      </w:pPr>
      <w:r w:rsidRPr="00A16EDB">
        <w:rPr>
          <w:rFonts w:cs="Times New Roman"/>
          <w:noProof/>
          <w:szCs w:val="24"/>
          <w:lang w:val="en-US"/>
        </w:rPr>
        <w:t>Quince C, Lanzen A, Davenport RJ, Turnbaugh PJ (2011) Removing Noise From Pyrosequenced Amplicons. BMC Bioinformatics 12:38. doi: 10.1186/1471-2105-12-38</w:t>
      </w:r>
    </w:p>
    <w:p w14:paraId="7BDD909D" w14:textId="330186F5" w:rsidR="009348F4" w:rsidRPr="00A16EDB" w:rsidRDefault="009348F4" w:rsidP="00A16EDB">
      <w:pPr>
        <w:widowControl w:val="0"/>
        <w:autoSpaceDE w:val="0"/>
        <w:autoSpaceDN w:val="0"/>
        <w:adjustRightInd w:val="0"/>
        <w:spacing w:after="60"/>
        <w:ind w:left="480" w:hanging="480"/>
        <w:rPr>
          <w:rFonts w:cs="Times New Roman"/>
          <w:noProof/>
          <w:szCs w:val="24"/>
          <w:lang w:val="en-US"/>
        </w:rPr>
      </w:pPr>
      <w:r w:rsidRPr="009348F4">
        <w:rPr>
          <w:rFonts w:cs="Times New Roman"/>
          <w:noProof/>
          <w:szCs w:val="24"/>
          <w:lang w:val="en-US"/>
        </w:rPr>
        <w:t>Tchernoff V (1965) Methods for screening and for the rapid selection of elms for resistance to Dutch elm disease. Acta Botanica Neerlandica 14:409–452. https://doi.org/10.1111/j.1438-8677.1965.tb00204.x</w:t>
      </w:r>
    </w:p>
    <w:p w14:paraId="0B41D074" w14:textId="77777777" w:rsidR="00E91D51" w:rsidRPr="00A16EDB" w:rsidRDefault="00E91D51" w:rsidP="00A16EDB">
      <w:pPr>
        <w:widowControl w:val="0"/>
        <w:autoSpaceDE w:val="0"/>
        <w:autoSpaceDN w:val="0"/>
        <w:adjustRightInd w:val="0"/>
        <w:spacing w:after="60"/>
        <w:ind w:left="480" w:hanging="480"/>
        <w:rPr>
          <w:rFonts w:cs="Times New Roman"/>
          <w:noProof/>
          <w:szCs w:val="24"/>
          <w:lang w:val="en-US"/>
        </w:rPr>
      </w:pPr>
      <w:r w:rsidRPr="00A16EDB">
        <w:rPr>
          <w:rFonts w:cs="Times New Roman"/>
          <w:noProof/>
          <w:szCs w:val="24"/>
          <w:lang w:val="en-US"/>
        </w:rPr>
        <w:t>White TJ, Bruns T, Lee S, Taylor J (1990) Amplification and direct sequencing of fungal ribosomal RNA genes for phylogenetics. In: Innis MA, Gelfand DH, Sninsky JJ, White TJ (eds) PCR protocols: a guide to methods and applications. Academic Press, San Diego, pp 315–322</w:t>
      </w:r>
    </w:p>
    <w:p w14:paraId="549449D1" w14:textId="55331B9D" w:rsidR="00E406CF" w:rsidRPr="00D378DE" w:rsidRDefault="00E91D51" w:rsidP="00A16EDB">
      <w:pPr>
        <w:spacing w:after="60"/>
        <w:rPr>
          <w:lang w:val="en-US"/>
        </w:rPr>
      </w:pPr>
      <w:r w:rsidRPr="00A16EDB">
        <w:rPr>
          <w:lang w:val="en-US"/>
        </w:rPr>
        <w:fldChar w:fldCharType="end"/>
      </w:r>
    </w:p>
    <w:sectPr w:rsidR="00E406CF" w:rsidRPr="00D378DE" w:rsidSect="00700F6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E0D8" w14:textId="77777777" w:rsidR="00F16FC6" w:rsidRDefault="00F16FC6">
      <w:pPr>
        <w:spacing w:after="0" w:line="240" w:lineRule="auto"/>
      </w:pPr>
      <w:r>
        <w:separator/>
      </w:r>
    </w:p>
  </w:endnote>
  <w:endnote w:type="continuationSeparator" w:id="0">
    <w:p w14:paraId="204EE043" w14:textId="77777777" w:rsidR="00F16FC6" w:rsidRDefault="00F16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418216"/>
      <w:docPartObj>
        <w:docPartGallery w:val="Page Numbers (Bottom of Page)"/>
        <w:docPartUnique/>
      </w:docPartObj>
    </w:sdtPr>
    <w:sdtEndPr>
      <w:rPr>
        <w:noProof/>
      </w:rPr>
    </w:sdtEndPr>
    <w:sdtContent>
      <w:p w14:paraId="5888509E" w14:textId="77777777" w:rsidR="005F4F85" w:rsidRDefault="00E91D51">
        <w:pPr>
          <w:pStyle w:val="Footer"/>
          <w:jc w:val="right"/>
        </w:pPr>
        <w:r>
          <w:fldChar w:fldCharType="begin"/>
        </w:r>
        <w:r>
          <w:instrText xml:space="preserve"> PAGE   \* MERGEFORMAT </w:instrText>
        </w:r>
        <w:r>
          <w:fldChar w:fldCharType="separate"/>
        </w:r>
        <w:r w:rsidR="0021423E">
          <w:rPr>
            <w:noProof/>
          </w:rPr>
          <w:t>11</w:t>
        </w:r>
        <w:r>
          <w:rPr>
            <w:noProof/>
          </w:rPr>
          <w:fldChar w:fldCharType="end"/>
        </w:r>
      </w:p>
    </w:sdtContent>
  </w:sdt>
  <w:p w14:paraId="00899AFD" w14:textId="77777777" w:rsidR="005F4F8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2D95" w14:textId="77777777" w:rsidR="00F16FC6" w:rsidRDefault="00F16FC6">
      <w:pPr>
        <w:spacing w:after="0" w:line="240" w:lineRule="auto"/>
      </w:pPr>
      <w:r>
        <w:separator/>
      </w:r>
    </w:p>
  </w:footnote>
  <w:footnote w:type="continuationSeparator" w:id="0">
    <w:p w14:paraId="519CFCA5" w14:textId="77777777" w:rsidR="00F16FC6" w:rsidRDefault="00F16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645BF"/>
    <w:multiLevelType w:val="hybridMultilevel"/>
    <w:tmpl w:val="C8A85B3C"/>
    <w:lvl w:ilvl="0" w:tplc="DE6A3D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087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33"/>
    <w:rsid w:val="00040977"/>
    <w:rsid w:val="00055CFD"/>
    <w:rsid w:val="00065333"/>
    <w:rsid w:val="0021423E"/>
    <w:rsid w:val="003112B3"/>
    <w:rsid w:val="00386AF6"/>
    <w:rsid w:val="003A0708"/>
    <w:rsid w:val="004220F0"/>
    <w:rsid w:val="00440B12"/>
    <w:rsid w:val="00680558"/>
    <w:rsid w:val="00691613"/>
    <w:rsid w:val="006C49F1"/>
    <w:rsid w:val="006F354C"/>
    <w:rsid w:val="007B3AF6"/>
    <w:rsid w:val="00811D56"/>
    <w:rsid w:val="008E72A4"/>
    <w:rsid w:val="008F4050"/>
    <w:rsid w:val="009348F4"/>
    <w:rsid w:val="009B3735"/>
    <w:rsid w:val="00A16EDB"/>
    <w:rsid w:val="00A45631"/>
    <w:rsid w:val="00BD1CC4"/>
    <w:rsid w:val="00C46273"/>
    <w:rsid w:val="00D378DE"/>
    <w:rsid w:val="00DA660E"/>
    <w:rsid w:val="00E406CF"/>
    <w:rsid w:val="00E57F18"/>
    <w:rsid w:val="00E6663B"/>
    <w:rsid w:val="00E91D51"/>
    <w:rsid w:val="00F1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C5295"/>
  <w15:docId w15:val="{1860B07B-A28C-4272-9A4A-9E5707EF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8DE"/>
    <w:pPr>
      <w:spacing w:after="240" w:line="360" w:lineRule="auto"/>
      <w:jc w:val="both"/>
    </w:pPr>
    <w:rPr>
      <w:rFonts w:ascii="Times New Roman" w:hAnsi="Times New Roman"/>
      <w:sz w:val="24"/>
      <w:lang w:val="es-ES"/>
    </w:rPr>
  </w:style>
  <w:style w:type="paragraph" w:styleId="Heading3">
    <w:name w:val="heading 3"/>
    <w:basedOn w:val="Normal"/>
    <w:next w:val="Normal"/>
    <w:link w:val="Heading3Char"/>
    <w:uiPriority w:val="9"/>
    <w:unhideWhenUsed/>
    <w:qFormat/>
    <w:rsid w:val="00E57F18"/>
    <w:pPr>
      <w:keepNext/>
      <w:keepLines/>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378DE"/>
    <w:pPr>
      <w:spacing w:after="120"/>
    </w:pPr>
  </w:style>
  <w:style w:type="character" w:customStyle="1" w:styleId="BodyTextChar">
    <w:name w:val="Body Text Char"/>
    <w:basedOn w:val="DefaultParagraphFont"/>
    <w:link w:val="BodyText"/>
    <w:uiPriority w:val="99"/>
    <w:rsid w:val="00D378DE"/>
    <w:rPr>
      <w:rFonts w:ascii="Times New Roman" w:hAnsi="Times New Roman"/>
      <w:sz w:val="24"/>
      <w:lang w:val="es-ES"/>
    </w:rPr>
  </w:style>
  <w:style w:type="paragraph" w:styleId="Footer">
    <w:name w:val="footer"/>
    <w:basedOn w:val="Normal"/>
    <w:link w:val="FooterChar"/>
    <w:uiPriority w:val="99"/>
    <w:unhideWhenUsed/>
    <w:rsid w:val="00D37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8DE"/>
    <w:rPr>
      <w:rFonts w:ascii="Times New Roman" w:hAnsi="Times New Roman"/>
      <w:sz w:val="24"/>
      <w:lang w:val="es-ES"/>
    </w:rPr>
  </w:style>
  <w:style w:type="paragraph" w:styleId="BalloonText">
    <w:name w:val="Balloon Text"/>
    <w:basedOn w:val="Normal"/>
    <w:link w:val="BalloonTextChar"/>
    <w:uiPriority w:val="99"/>
    <w:semiHidden/>
    <w:unhideWhenUsed/>
    <w:rsid w:val="00D37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8DE"/>
    <w:rPr>
      <w:rFonts w:ascii="Segoe UI" w:hAnsi="Segoe UI" w:cs="Segoe UI"/>
      <w:sz w:val="18"/>
      <w:szCs w:val="18"/>
      <w:lang w:val="es-ES"/>
    </w:rPr>
  </w:style>
  <w:style w:type="table" w:styleId="TableGrid">
    <w:name w:val="Table Grid"/>
    <w:basedOn w:val="TableNormal"/>
    <w:uiPriority w:val="59"/>
    <w:rsid w:val="008E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7F18"/>
    <w:rPr>
      <w:rFonts w:ascii="Times New Roman" w:eastAsiaTheme="majorEastAsia" w:hAnsi="Times New Roman" w:cstheme="majorBidi"/>
      <w:bCs/>
      <w:i/>
      <w:sz w:val="24"/>
      <w:lang w:val="es-ES"/>
    </w:rPr>
  </w:style>
  <w:style w:type="paragraph" w:styleId="ListParagraph">
    <w:name w:val="List Paragraph"/>
    <w:basedOn w:val="Normal"/>
    <w:uiPriority w:val="34"/>
    <w:qFormat/>
    <w:rsid w:val="00440B12"/>
    <w:pPr>
      <w:spacing w:after="160" w:line="259" w:lineRule="auto"/>
      <w:ind w:left="720"/>
      <w:contextualSpacing/>
      <w:jc w:val="left"/>
    </w:pPr>
    <w:rPr>
      <w:rFonts w:asciiTheme="minorHAnsi" w:hAnsiTheme="minorHAnsi"/>
      <w:sz w:val="22"/>
      <w:lang w:val="en-US"/>
    </w:rPr>
  </w:style>
  <w:style w:type="paragraph" w:styleId="Revision">
    <w:name w:val="Revision"/>
    <w:hidden/>
    <w:uiPriority w:val="99"/>
    <w:semiHidden/>
    <w:rsid w:val="00BD1CC4"/>
    <w:pPr>
      <w:spacing w:after="0" w:line="240" w:lineRule="auto"/>
    </w:pPr>
    <w:rPr>
      <w:rFonts w:ascii="Times New Roman" w:hAnsi="Times New Roman"/>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B5564-BC1B-4437-9E99-3D67EC9F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3333</Words>
  <Characters>19000</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Macaya Sanz</dc:creator>
  <cp:keywords/>
  <dc:description/>
  <cp:lastModifiedBy>Amy Tighe</cp:lastModifiedBy>
  <cp:revision>2</cp:revision>
  <dcterms:created xsi:type="dcterms:W3CDTF">2023-02-14T07:44:00Z</dcterms:created>
  <dcterms:modified xsi:type="dcterms:W3CDTF">2023-02-14T07:44:00Z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http://www.zotero.org/styles/fungal-diversity</vt:lpwstr>
  </property>
  <property fmtid="{D5CDD505-2E9C-101B-9397-08002B2CF9AE}" pid="9" name="Mendeley Recent Style Name 3_1">
    <vt:lpwstr>Fungal Diversity</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http://www.zotero.org/styles/the-isme-journal</vt:lpwstr>
  </property>
  <property fmtid="{D5CDD505-2E9C-101B-9397-08002B2CF9AE}" pid="15" name="Mendeley Recent Style Name 6_1">
    <vt:lpwstr>The ISME Journal</vt:lpwstr>
  </property>
  <property fmtid="{D5CDD505-2E9C-101B-9397-08002B2CF9AE}" pid="16" name="Mendeley Recent Style Id 7_1">
    <vt:lpwstr>https://csl.mendeley.com/styles/494366381/the-isme-journal-2019</vt:lpwstr>
  </property>
  <property fmtid="{D5CDD505-2E9C-101B-9397-08002B2CF9AE}" pid="17" name="Mendeley Recent Style Name 7_1">
    <vt:lpwstr>The ISME Journal - David Macaya-Sanz</vt:lpwstr>
  </property>
  <property fmtid="{D5CDD505-2E9C-101B-9397-08002B2CF9AE}" pid="18" name="Mendeley Recent Style Id 8_1">
    <vt:lpwstr>http://csl.mendeley.com/styles/494366381/the-isme-journal-2019</vt:lpwstr>
  </property>
  <property fmtid="{D5CDD505-2E9C-101B-9397-08002B2CF9AE}" pid="19" name="Mendeley Recent Style Name 8_1">
    <vt:lpwstr>The ISME Journal - David Macaya-Sanz</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http://www.zotero.org/styles/fungal-diversity</vt:lpwstr>
  </property>
  <property fmtid="{D5CDD505-2E9C-101B-9397-08002B2CF9AE}" pid="23" name="Mendeley Document_1">
    <vt:lpwstr>True</vt:lpwstr>
  </property>
  <property fmtid="{D5CDD505-2E9C-101B-9397-08002B2CF9AE}" pid="24" name="Mendeley Unique User Id_1">
    <vt:lpwstr>0177dc4a-be2d-37d8-a009-6c409b8f1471</vt:lpwstr>
  </property>
</Properties>
</file>