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27EEE6" w14:textId="77777777" w:rsidR="00654E8F" w:rsidRPr="001549D3" w:rsidRDefault="00654E8F" w:rsidP="0001436A">
      <w:pPr>
        <w:pStyle w:val="SupplementaryMaterial"/>
        <w:rPr>
          <w:b w:val="0"/>
        </w:rPr>
      </w:pPr>
      <w:r w:rsidRPr="001549D3">
        <w:t>Supplementary Material</w:t>
      </w:r>
    </w:p>
    <w:p w14:paraId="3BD5A427" w14:textId="77777777" w:rsidR="00EA3D3C" w:rsidRPr="00994A3D" w:rsidRDefault="00654E8F" w:rsidP="0001436A">
      <w:pPr>
        <w:pStyle w:val="Heading1"/>
      </w:pPr>
      <w:r w:rsidRPr="00994A3D">
        <w:t>Supplementary Data</w:t>
      </w:r>
    </w:p>
    <w:p w14:paraId="6D52FEA9" w14:textId="7537EF20" w:rsidR="00490D63" w:rsidRDefault="00490D63" w:rsidP="00490D63">
      <w:pPr>
        <w:pStyle w:val="Heading1"/>
        <w:numPr>
          <w:ilvl w:val="0"/>
          <w:numId w:val="0"/>
        </w:numPr>
        <w:ind w:left="567" w:hanging="567"/>
        <w:jc w:val="both"/>
        <w:rPr>
          <w:rFonts w:eastAsiaTheme="minorHAnsi"/>
          <w:bCs/>
          <w:lang w:val="en-GB"/>
        </w:rPr>
      </w:pPr>
      <w:r w:rsidRPr="0076507D">
        <w:rPr>
          <w:rFonts w:eastAsiaTheme="minorHAnsi"/>
          <w:bCs/>
          <w:lang w:val="en-GB"/>
        </w:rPr>
        <w:t xml:space="preserve">Supplementary Dataset S1. </w:t>
      </w:r>
      <w:r w:rsidRPr="00656EFF">
        <w:rPr>
          <w:rFonts w:eastAsiaTheme="minorHAnsi"/>
          <w:b w:val="0"/>
          <w:lang w:val="en-GB"/>
        </w:rPr>
        <w:t>Python scripts used</w:t>
      </w:r>
      <w:r w:rsidRPr="00656EFF">
        <w:rPr>
          <w:b w:val="0"/>
        </w:rPr>
        <w:t xml:space="preserve"> for </w:t>
      </w:r>
      <w:r w:rsidRPr="00656EFF">
        <w:rPr>
          <w:b w:val="0"/>
          <w:i/>
          <w:iCs/>
        </w:rPr>
        <w:t>i</w:t>
      </w:r>
      <w:r w:rsidRPr="00656EFF">
        <w:rPr>
          <w:b w:val="0"/>
        </w:rPr>
        <w:t>M</w:t>
      </w:r>
      <w:r w:rsidR="008B33A1">
        <w:rPr>
          <w:b w:val="0"/>
        </w:rPr>
        <w:t>S</w:t>
      </w:r>
      <w:r w:rsidRPr="00656EFF">
        <w:rPr>
          <w:b w:val="0"/>
        </w:rPr>
        <w:t>837 reconstruction.</w:t>
      </w:r>
    </w:p>
    <w:p w14:paraId="240091E2" w14:textId="07352190" w:rsidR="00490D63" w:rsidRDefault="00490D63" w:rsidP="00490D63">
      <w:pPr>
        <w:pStyle w:val="Heading1"/>
        <w:numPr>
          <w:ilvl w:val="0"/>
          <w:numId w:val="0"/>
        </w:numPr>
        <w:ind w:left="567" w:hanging="567"/>
        <w:jc w:val="both"/>
        <w:rPr>
          <w:rFonts w:eastAsiaTheme="minorHAnsi"/>
          <w:b w:val="0"/>
          <w:lang w:val="en-GB"/>
        </w:rPr>
      </w:pPr>
      <w:r w:rsidRPr="0076507D">
        <w:rPr>
          <w:rFonts w:eastAsiaTheme="minorHAnsi"/>
          <w:bCs/>
          <w:lang w:val="en-GB"/>
        </w:rPr>
        <w:t>Supplementary Dataset S</w:t>
      </w:r>
      <w:r>
        <w:rPr>
          <w:rFonts w:eastAsiaTheme="minorHAnsi"/>
          <w:bCs/>
          <w:lang w:val="en-GB"/>
        </w:rPr>
        <w:t>2</w:t>
      </w:r>
      <w:r w:rsidRPr="0076507D">
        <w:rPr>
          <w:rFonts w:eastAsiaTheme="minorHAnsi"/>
          <w:bCs/>
          <w:lang w:val="en-GB"/>
        </w:rPr>
        <w:t xml:space="preserve">. </w:t>
      </w:r>
      <w:r>
        <w:rPr>
          <w:rFonts w:eastAsiaTheme="minorHAnsi"/>
          <w:b w:val="0"/>
          <w:lang w:val="en-GB"/>
        </w:rPr>
        <w:t>MEMOTE</w:t>
      </w:r>
      <w:r w:rsidRPr="00B55185">
        <w:rPr>
          <w:rFonts w:eastAsiaTheme="minorHAnsi"/>
          <w:b w:val="0"/>
          <w:lang w:val="en-GB"/>
        </w:rPr>
        <w:t xml:space="preserve"> report</w:t>
      </w:r>
      <w:r>
        <w:rPr>
          <w:rFonts w:eastAsiaTheme="minorHAnsi"/>
          <w:b w:val="0"/>
          <w:lang w:val="en-GB"/>
        </w:rPr>
        <w:t xml:space="preserve">s for </w:t>
      </w:r>
      <w:r w:rsidRPr="005B6313">
        <w:rPr>
          <w:rFonts w:eastAsiaTheme="minorHAnsi"/>
          <w:b w:val="0"/>
          <w:i/>
          <w:iCs/>
          <w:lang w:val="en-GB"/>
        </w:rPr>
        <w:t>i</w:t>
      </w:r>
      <w:r>
        <w:rPr>
          <w:rFonts w:eastAsiaTheme="minorHAnsi"/>
          <w:b w:val="0"/>
          <w:lang w:val="en-GB"/>
        </w:rPr>
        <w:t>MS837 before and after the manual annotation.</w:t>
      </w:r>
    </w:p>
    <w:p w14:paraId="1C554311" w14:textId="096C8B45" w:rsidR="003A7226" w:rsidRPr="003A7226" w:rsidRDefault="003A7226" w:rsidP="003A7226">
      <w:pPr>
        <w:pStyle w:val="Heading1"/>
        <w:numPr>
          <w:ilvl w:val="0"/>
          <w:numId w:val="0"/>
        </w:numPr>
        <w:ind w:left="567" w:hanging="567"/>
        <w:jc w:val="both"/>
        <w:rPr>
          <w:rFonts w:eastAsiaTheme="minorHAnsi"/>
          <w:b w:val="0"/>
          <w:lang w:val="en-GB"/>
        </w:rPr>
      </w:pPr>
      <w:r w:rsidRPr="0076507D">
        <w:rPr>
          <w:rFonts w:eastAsiaTheme="minorHAnsi"/>
          <w:bCs/>
          <w:lang w:val="en-GB"/>
        </w:rPr>
        <w:t>Supplementary Dataset S</w:t>
      </w:r>
      <w:r>
        <w:rPr>
          <w:rFonts w:eastAsiaTheme="minorHAnsi"/>
          <w:bCs/>
          <w:lang w:val="en-GB"/>
        </w:rPr>
        <w:t>3</w:t>
      </w:r>
      <w:r w:rsidRPr="0076507D">
        <w:rPr>
          <w:rFonts w:eastAsiaTheme="minorHAnsi"/>
          <w:bCs/>
          <w:lang w:val="en-GB"/>
        </w:rPr>
        <w:t xml:space="preserve">. </w:t>
      </w:r>
      <w:r>
        <w:rPr>
          <w:rFonts w:eastAsiaTheme="minorHAnsi"/>
          <w:b w:val="0"/>
          <w:lang w:val="en-GB"/>
        </w:rPr>
        <w:t xml:space="preserve">Files for </w:t>
      </w:r>
      <w:r w:rsidRPr="005B6313">
        <w:rPr>
          <w:rFonts w:eastAsiaTheme="minorHAnsi"/>
          <w:b w:val="0"/>
          <w:i/>
          <w:iCs/>
          <w:lang w:val="en-GB"/>
        </w:rPr>
        <w:t>i</w:t>
      </w:r>
      <w:r>
        <w:rPr>
          <w:rFonts w:eastAsiaTheme="minorHAnsi"/>
          <w:b w:val="0"/>
          <w:lang w:val="en-GB"/>
        </w:rPr>
        <w:t xml:space="preserve">MS837 and </w:t>
      </w:r>
      <w:r w:rsidRPr="009C7AE2">
        <w:rPr>
          <w:rFonts w:eastAsiaTheme="minorHAnsi"/>
          <w:b w:val="0"/>
          <w:i/>
          <w:iCs/>
          <w:lang w:val="en-GB"/>
        </w:rPr>
        <w:t>i</w:t>
      </w:r>
      <w:r>
        <w:rPr>
          <w:rFonts w:eastAsiaTheme="minorHAnsi"/>
          <w:b w:val="0"/>
          <w:lang w:val="en-GB"/>
        </w:rPr>
        <w:t>MS837_ALA in JSON format.</w:t>
      </w:r>
    </w:p>
    <w:p w14:paraId="4D059444" w14:textId="77777777" w:rsidR="00994A3D" w:rsidRPr="00994A3D" w:rsidRDefault="00654E8F" w:rsidP="0001436A">
      <w:pPr>
        <w:pStyle w:val="Heading1"/>
      </w:pPr>
      <w:r w:rsidRPr="00994A3D">
        <w:t>Supplementary Figures and Tables</w:t>
      </w:r>
    </w:p>
    <w:p w14:paraId="63D7C2B0" w14:textId="75404860" w:rsidR="00994A3D" w:rsidRDefault="00994A3D" w:rsidP="0001436A">
      <w:pPr>
        <w:pStyle w:val="Heading2"/>
      </w:pPr>
      <w:r w:rsidRPr="0001436A">
        <w:t>Supplementary</w:t>
      </w:r>
      <w:r w:rsidRPr="001549D3">
        <w:t xml:space="preserve"> Figures</w:t>
      </w:r>
    </w:p>
    <w:p w14:paraId="3E2581F0" w14:textId="77777777" w:rsidR="002C0CC8" w:rsidRPr="002C0CC8" w:rsidRDefault="002C0CC8" w:rsidP="002C0CC8"/>
    <w:p w14:paraId="3C419443" w14:textId="55CEAFEF" w:rsidR="00994A3D" w:rsidRPr="001549D3" w:rsidRDefault="002C0CC8" w:rsidP="002C0CC8">
      <w:pPr>
        <w:keepNext/>
        <w:jc w:val="center"/>
        <w:rPr>
          <w:rFonts w:cs="Times New Roman"/>
          <w:szCs w:val="24"/>
        </w:rPr>
      </w:pPr>
      <w:r>
        <w:rPr>
          <w:noProof/>
        </w:rPr>
        <w:drawing>
          <wp:inline distT="0" distB="0" distL="0" distR="0" wp14:anchorId="17EF583F" wp14:editId="090DA5E0">
            <wp:extent cx="3333750" cy="3095625"/>
            <wp:effectExtent l="0" t="0" r="0" b="9525"/>
            <wp:docPr id="4" name="Picture 4"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 line chart&#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33750" cy="3095625"/>
                    </a:xfrm>
                    <a:prstGeom prst="rect">
                      <a:avLst/>
                    </a:prstGeom>
                    <a:noFill/>
                    <a:ln>
                      <a:noFill/>
                    </a:ln>
                  </pic:spPr>
                </pic:pic>
              </a:graphicData>
            </a:graphic>
          </wp:inline>
        </w:drawing>
      </w:r>
    </w:p>
    <w:p w14:paraId="3AE196DF" w14:textId="4015035E" w:rsidR="00490D63" w:rsidRDefault="00994A3D" w:rsidP="002B4A57">
      <w:pPr>
        <w:keepNext/>
        <w:rPr>
          <w:rFonts w:cs="Times New Roman"/>
          <w:szCs w:val="24"/>
        </w:rPr>
      </w:pPr>
      <w:r w:rsidRPr="0001436A">
        <w:rPr>
          <w:rFonts w:cs="Times New Roman"/>
          <w:b/>
          <w:szCs w:val="24"/>
        </w:rPr>
        <w:t xml:space="preserve">Supplementary Figure </w:t>
      </w:r>
      <w:r w:rsidR="00490D63">
        <w:rPr>
          <w:rFonts w:cs="Times New Roman"/>
          <w:b/>
          <w:szCs w:val="24"/>
        </w:rPr>
        <w:t>S</w:t>
      </w:r>
      <w:r w:rsidRPr="0001436A">
        <w:rPr>
          <w:rFonts w:cs="Times New Roman"/>
          <w:b/>
          <w:szCs w:val="24"/>
        </w:rPr>
        <w:fldChar w:fldCharType="begin"/>
      </w:r>
      <w:r w:rsidRPr="0001436A">
        <w:rPr>
          <w:rFonts w:cs="Times New Roman"/>
          <w:b/>
          <w:szCs w:val="24"/>
        </w:rPr>
        <w:instrText xml:space="preserve"> SEQ Figure \* ARABIC </w:instrText>
      </w:r>
      <w:r w:rsidRPr="0001436A">
        <w:rPr>
          <w:rFonts w:cs="Times New Roman"/>
          <w:b/>
          <w:szCs w:val="24"/>
        </w:rPr>
        <w:fldChar w:fldCharType="separate"/>
      </w:r>
      <w:r w:rsidR="00ED20B5">
        <w:rPr>
          <w:rFonts w:cs="Times New Roman"/>
          <w:b/>
          <w:noProof/>
          <w:szCs w:val="24"/>
        </w:rPr>
        <w:t>1</w:t>
      </w:r>
      <w:r w:rsidRPr="0001436A">
        <w:rPr>
          <w:rFonts w:cs="Times New Roman"/>
          <w:b/>
          <w:szCs w:val="24"/>
        </w:rPr>
        <w:fldChar w:fldCharType="end"/>
      </w:r>
      <w:r w:rsidRPr="0001436A">
        <w:rPr>
          <w:rFonts w:cs="Times New Roman"/>
          <w:b/>
          <w:szCs w:val="24"/>
        </w:rPr>
        <w:t>.</w:t>
      </w:r>
      <w:r w:rsidRPr="001549D3">
        <w:rPr>
          <w:rFonts w:cs="Times New Roman"/>
          <w:szCs w:val="24"/>
        </w:rPr>
        <w:t xml:space="preserve"> </w:t>
      </w:r>
      <w:r w:rsidR="00FF5321">
        <w:rPr>
          <w:rStyle w:val="captions"/>
        </w:rPr>
        <w:t>Production envelope r</w:t>
      </w:r>
      <w:r w:rsidR="00490D63" w:rsidRPr="00490D63">
        <w:rPr>
          <w:rFonts w:cs="Times New Roman"/>
          <w:szCs w:val="24"/>
        </w:rPr>
        <w:t xml:space="preserve">esults for optimization of ALA production and biomass formation in </w:t>
      </w:r>
      <w:r w:rsidR="00490D63" w:rsidRPr="00490D63">
        <w:rPr>
          <w:rFonts w:cs="Times New Roman"/>
          <w:i/>
          <w:iCs/>
          <w:szCs w:val="24"/>
        </w:rPr>
        <w:t>i</w:t>
      </w:r>
      <w:r w:rsidR="00490D63" w:rsidRPr="00490D63">
        <w:rPr>
          <w:rFonts w:cs="Times New Roman"/>
          <w:szCs w:val="24"/>
        </w:rPr>
        <w:t>MS837.</w:t>
      </w:r>
    </w:p>
    <w:p w14:paraId="2537103C" w14:textId="77777777" w:rsidR="00490D63" w:rsidRDefault="00490D63">
      <w:pPr>
        <w:spacing w:before="0" w:after="200" w:line="276" w:lineRule="auto"/>
        <w:rPr>
          <w:rFonts w:cs="Times New Roman"/>
          <w:szCs w:val="24"/>
        </w:rPr>
      </w:pPr>
      <w:r>
        <w:rPr>
          <w:rFonts w:cs="Times New Roman"/>
          <w:szCs w:val="24"/>
        </w:rPr>
        <w:br w:type="page"/>
      </w:r>
    </w:p>
    <w:p w14:paraId="07F2730D" w14:textId="77777777" w:rsidR="00994A3D" w:rsidRDefault="00994A3D" w:rsidP="002B4A57">
      <w:pPr>
        <w:keepNext/>
        <w:rPr>
          <w:rFonts w:cs="Times New Roman"/>
          <w:szCs w:val="24"/>
        </w:rPr>
      </w:pPr>
    </w:p>
    <w:p w14:paraId="20DF6AA5" w14:textId="051C9C74" w:rsidR="00490D63" w:rsidRPr="00AA1D1B" w:rsidRDefault="00AA1D1B" w:rsidP="00490D63">
      <w:pPr>
        <w:keepNext/>
        <w:jc w:val="center"/>
        <w:rPr>
          <w:rFonts w:cs="Times New Roman"/>
          <w:bCs/>
          <w:szCs w:val="24"/>
        </w:rPr>
      </w:pPr>
      <w:r>
        <w:rPr>
          <w:noProof/>
        </w:rPr>
        <w:drawing>
          <wp:inline distT="0" distB="0" distL="0" distR="0" wp14:anchorId="0422983E" wp14:editId="302B0FE7">
            <wp:extent cx="3444240" cy="3545833"/>
            <wp:effectExtent l="0" t="0" r="3810" b="0"/>
            <wp:docPr id="3" name="Picture 3" descr="Diagram, venn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 venn diagram&#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56165" cy="3558110"/>
                    </a:xfrm>
                    <a:prstGeom prst="rect">
                      <a:avLst/>
                    </a:prstGeom>
                    <a:noFill/>
                    <a:ln>
                      <a:noFill/>
                    </a:ln>
                  </pic:spPr>
                </pic:pic>
              </a:graphicData>
            </a:graphic>
          </wp:inline>
        </w:drawing>
      </w:r>
    </w:p>
    <w:p w14:paraId="637AEBE1" w14:textId="3FF69FCA" w:rsidR="00490D63" w:rsidRDefault="00490D63" w:rsidP="00490D63">
      <w:pPr>
        <w:keepNext/>
        <w:jc w:val="both"/>
        <w:rPr>
          <w:rFonts w:cs="Times New Roman"/>
          <w:szCs w:val="24"/>
        </w:rPr>
      </w:pPr>
      <w:r w:rsidRPr="0001436A">
        <w:rPr>
          <w:rFonts w:cs="Times New Roman"/>
          <w:b/>
          <w:szCs w:val="24"/>
        </w:rPr>
        <w:t xml:space="preserve">Supplementary Figure </w:t>
      </w:r>
      <w:r>
        <w:rPr>
          <w:rFonts w:cs="Times New Roman"/>
          <w:b/>
          <w:szCs w:val="24"/>
        </w:rPr>
        <w:t>S2</w:t>
      </w:r>
      <w:r w:rsidRPr="0001436A">
        <w:rPr>
          <w:rFonts w:cs="Times New Roman"/>
          <w:b/>
          <w:szCs w:val="24"/>
        </w:rPr>
        <w:t>.</w:t>
      </w:r>
      <w:r>
        <w:rPr>
          <w:rFonts w:cs="Times New Roman"/>
          <w:b/>
          <w:szCs w:val="24"/>
        </w:rPr>
        <w:t xml:space="preserve"> </w:t>
      </w:r>
      <w:r w:rsidRPr="00A06F9F">
        <w:rPr>
          <w:rFonts w:cs="Times New Roman"/>
          <w:szCs w:val="24"/>
        </w:rPr>
        <w:t>Venn diagram showing the overlapping reactions to be potentially knocked out to increase ALA production obtained with OptKnock and GDLS algorithms.</w:t>
      </w:r>
    </w:p>
    <w:p w14:paraId="7443C18E" w14:textId="3FDCEDE7" w:rsidR="002C0CC8" w:rsidRPr="00A06F9F" w:rsidRDefault="002C0CC8" w:rsidP="002C0CC8">
      <w:pPr>
        <w:keepNext/>
        <w:jc w:val="both"/>
        <w:rPr>
          <w:rFonts w:cs="Times New Roman"/>
          <w:szCs w:val="24"/>
        </w:rPr>
      </w:pPr>
      <w:r w:rsidRPr="0001436A">
        <w:rPr>
          <w:rFonts w:cs="Times New Roman"/>
          <w:b/>
          <w:szCs w:val="24"/>
        </w:rPr>
        <w:t xml:space="preserve">Supplementary Figure </w:t>
      </w:r>
      <w:r>
        <w:rPr>
          <w:rFonts w:cs="Times New Roman"/>
          <w:b/>
          <w:szCs w:val="24"/>
        </w:rPr>
        <w:t>S4</w:t>
      </w:r>
      <w:r w:rsidRPr="0001436A">
        <w:rPr>
          <w:rFonts w:cs="Times New Roman"/>
          <w:b/>
          <w:szCs w:val="24"/>
        </w:rPr>
        <w:t>.</w:t>
      </w:r>
    </w:p>
    <w:p w14:paraId="666556B3" w14:textId="18170472" w:rsidR="002C0CC8" w:rsidRPr="00A06F9F" w:rsidRDefault="002C0CC8" w:rsidP="002C0CC8">
      <w:pPr>
        <w:keepNext/>
        <w:jc w:val="both"/>
        <w:rPr>
          <w:rFonts w:cs="Times New Roman"/>
          <w:szCs w:val="24"/>
        </w:rPr>
      </w:pPr>
      <w:r w:rsidRPr="0001436A">
        <w:rPr>
          <w:rFonts w:cs="Times New Roman"/>
          <w:b/>
          <w:szCs w:val="24"/>
        </w:rPr>
        <w:t xml:space="preserve">Supplementary Figure </w:t>
      </w:r>
      <w:r>
        <w:rPr>
          <w:rFonts w:cs="Times New Roman"/>
          <w:b/>
          <w:szCs w:val="24"/>
        </w:rPr>
        <w:t>S5</w:t>
      </w:r>
      <w:r w:rsidRPr="0001436A">
        <w:rPr>
          <w:rFonts w:cs="Times New Roman"/>
          <w:b/>
          <w:szCs w:val="24"/>
        </w:rPr>
        <w:t>.</w:t>
      </w:r>
    </w:p>
    <w:p w14:paraId="6D76F6DB" w14:textId="27EA24D6" w:rsidR="00AB0AC3" w:rsidRDefault="00C23EE7" w:rsidP="00CE005C">
      <w:pPr>
        <w:keepNext/>
        <w:jc w:val="both"/>
        <w:rPr>
          <w:b/>
          <w:bCs/>
        </w:rPr>
      </w:pPr>
      <w:r>
        <w:rPr>
          <w:noProof/>
        </w:rPr>
        <w:lastRenderedPageBreak/>
        <w:drawing>
          <wp:inline distT="0" distB="0" distL="0" distR="0" wp14:anchorId="521FD2A9" wp14:editId="69D4312D">
            <wp:extent cx="6208395" cy="5612130"/>
            <wp:effectExtent l="0" t="0" r="1905" b="7620"/>
            <wp:docPr id="5" name="Picture 5" descr="Chart, rad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 radar chart&#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208395" cy="5612130"/>
                    </a:xfrm>
                    <a:prstGeom prst="rect">
                      <a:avLst/>
                    </a:prstGeom>
                    <a:noFill/>
                    <a:ln>
                      <a:noFill/>
                    </a:ln>
                  </pic:spPr>
                </pic:pic>
              </a:graphicData>
            </a:graphic>
          </wp:inline>
        </w:drawing>
      </w:r>
      <w:r w:rsidR="00397878" w:rsidRPr="00397878">
        <w:rPr>
          <w:rFonts w:cs="Times New Roman"/>
          <w:b/>
          <w:szCs w:val="24"/>
        </w:rPr>
        <w:t xml:space="preserve"> </w:t>
      </w:r>
      <w:r w:rsidR="00397878" w:rsidRPr="0001436A">
        <w:rPr>
          <w:rFonts w:cs="Times New Roman"/>
          <w:b/>
          <w:szCs w:val="24"/>
        </w:rPr>
        <w:t xml:space="preserve">Supplementary Figure </w:t>
      </w:r>
      <w:r w:rsidR="00397878">
        <w:rPr>
          <w:rFonts w:cs="Times New Roman"/>
          <w:b/>
          <w:szCs w:val="24"/>
        </w:rPr>
        <w:t>S3</w:t>
      </w:r>
      <w:r w:rsidR="00397878" w:rsidRPr="0001436A">
        <w:rPr>
          <w:rFonts w:cs="Times New Roman"/>
          <w:b/>
          <w:szCs w:val="24"/>
        </w:rPr>
        <w:t>.</w:t>
      </w:r>
      <w:r w:rsidR="00397878">
        <w:rPr>
          <w:b/>
          <w:bCs/>
        </w:rPr>
        <w:t xml:space="preserve"> Predicted distribution of metabolic fluxes in reactions involved in ALA synthesis under photo</w:t>
      </w:r>
      <w:r>
        <w:rPr>
          <w:b/>
          <w:bCs/>
        </w:rPr>
        <w:t>aut</w:t>
      </w:r>
      <w:r w:rsidR="00CE005C">
        <w:rPr>
          <w:b/>
          <w:bCs/>
        </w:rPr>
        <w:t>otrophic</w:t>
      </w:r>
      <w:r w:rsidR="00397878">
        <w:rPr>
          <w:b/>
          <w:bCs/>
        </w:rPr>
        <w:t xml:space="preserve"> conditions</w:t>
      </w:r>
      <w:r w:rsidR="007056A1">
        <w:rPr>
          <w:b/>
          <w:bCs/>
        </w:rPr>
        <w:t xml:space="preserve"> with upregulation of D</w:t>
      </w:r>
      <w:r w:rsidR="007B73BE">
        <w:rPr>
          <w:b/>
          <w:bCs/>
        </w:rPr>
        <w:t>ES::</w:t>
      </w:r>
      <w:r w:rsidR="007056A1">
        <w:rPr>
          <w:b/>
          <w:bCs/>
        </w:rPr>
        <w:t>12 (</w:t>
      </w:r>
      <w:r w:rsidR="007056A1">
        <w:rPr>
          <w:rFonts w:cs="Times New Roman"/>
          <w:b/>
          <w:bCs/>
        </w:rPr>
        <w:t>Δ</w:t>
      </w:r>
      <w:r w:rsidR="007056A1">
        <w:rPr>
          <w:b/>
          <w:bCs/>
        </w:rPr>
        <w:t>12</w:t>
      </w:r>
      <w:r w:rsidR="007B73BE">
        <w:rPr>
          <w:b/>
          <w:bCs/>
        </w:rPr>
        <w:t>-</w:t>
      </w:r>
      <w:r w:rsidR="007056A1">
        <w:rPr>
          <w:b/>
          <w:bCs/>
        </w:rPr>
        <w:t>desaturase)</w:t>
      </w:r>
      <w:r w:rsidR="00397878">
        <w:rPr>
          <w:b/>
          <w:bCs/>
        </w:rPr>
        <w:t xml:space="preserve">. </w:t>
      </w:r>
      <w:r w:rsidR="00397878">
        <w:t>The circles refer to metabolites, the connecting lines refer to metabolic reactions, and numbers refer to flux values in mmol gDCW</w:t>
      </w:r>
      <w:r w:rsidR="00397878">
        <w:rPr>
          <w:vertAlign w:val="superscript"/>
        </w:rPr>
        <w:t>−1</w:t>
      </w:r>
      <w:r w:rsidR="00397878">
        <w:t xml:space="preserve"> h</w:t>
      </w:r>
      <w:r w:rsidR="00397878">
        <w:rPr>
          <w:vertAlign w:val="superscript"/>
        </w:rPr>
        <w:t>−1</w:t>
      </w:r>
      <w:r w:rsidR="00397878">
        <w:t>.</w:t>
      </w:r>
      <w:r w:rsidR="00397878" w:rsidRPr="00D25720">
        <w:t xml:space="preserve"> </w:t>
      </w:r>
      <w:r w:rsidR="00397878">
        <w:t>Metabolite names are indicated in black, while reaction names are in indicated in blue and red for non-essential and essential reactions in ALA synthesis, respectively.</w:t>
      </w:r>
      <w:r w:rsidR="00AB0AC3">
        <w:t xml:space="preserve"> </w:t>
      </w:r>
      <w:r w:rsidR="00397878">
        <w:t>Reaction directionality is represented by arrows. The color of the connecting lines represents the different flux ranges as shown in the legend. Flux values are shown below the reaction abbreviations.</w:t>
      </w:r>
      <w:r w:rsidR="00397878">
        <w:rPr>
          <w:b/>
          <w:bCs/>
        </w:rPr>
        <w:t xml:space="preserve"> </w:t>
      </w:r>
    </w:p>
    <w:p w14:paraId="4D0E414F" w14:textId="77777777" w:rsidR="00AB0AC3" w:rsidRDefault="00AB0AC3">
      <w:pPr>
        <w:spacing w:before="0" w:after="200" w:line="276" w:lineRule="auto"/>
        <w:rPr>
          <w:b/>
          <w:bCs/>
        </w:rPr>
      </w:pPr>
      <w:r>
        <w:rPr>
          <w:b/>
          <w:bCs/>
        </w:rPr>
        <w:br w:type="page"/>
      </w:r>
    </w:p>
    <w:p w14:paraId="16225174" w14:textId="061415AB" w:rsidR="00397878" w:rsidRDefault="008F65BC" w:rsidP="00397878">
      <w:pPr>
        <w:jc w:val="both"/>
      </w:pPr>
      <w:r>
        <w:rPr>
          <w:noProof/>
        </w:rPr>
        <w:lastRenderedPageBreak/>
        <w:drawing>
          <wp:inline distT="0" distB="0" distL="0" distR="0" wp14:anchorId="2F9DAC09" wp14:editId="4D306420">
            <wp:extent cx="6208395" cy="5522595"/>
            <wp:effectExtent l="0" t="0" r="1905" b="1905"/>
            <wp:docPr id="6" name="Picture 6" descr="Chart, rad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 radar chart&#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08395" cy="5522595"/>
                    </a:xfrm>
                    <a:prstGeom prst="rect">
                      <a:avLst/>
                    </a:prstGeom>
                    <a:noFill/>
                    <a:ln>
                      <a:noFill/>
                    </a:ln>
                  </pic:spPr>
                </pic:pic>
              </a:graphicData>
            </a:graphic>
          </wp:inline>
        </w:drawing>
      </w:r>
      <w:r w:rsidR="00397878">
        <w:t xml:space="preserve"> </w:t>
      </w:r>
    </w:p>
    <w:p w14:paraId="47DAFE73" w14:textId="4D8A3B1B" w:rsidR="00AB0AC3" w:rsidRDefault="004705FB" w:rsidP="00397878">
      <w:pPr>
        <w:jc w:val="both"/>
      </w:pPr>
      <w:r w:rsidRPr="0001436A">
        <w:rPr>
          <w:rFonts w:cs="Times New Roman"/>
          <w:b/>
          <w:szCs w:val="24"/>
        </w:rPr>
        <w:t xml:space="preserve">Supplementary Figure </w:t>
      </w:r>
      <w:r>
        <w:rPr>
          <w:rFonts w:cs="Times New Roman"/>
          <w:b/>
          <w:szCs w:val="24"/>
        </w:rPr>
        <w:t>S4</w:t>
      </w:r>
      <w:r w:rsidRPr="0001436A">
        <w:rPr>
          <w:rFonts w:cs="Times New Roman"/>
          <w:b/>
          <w:szCs w:val="24"/>
        </w:rPr>
        <w:t>.</w:t>
      </w:r>
      <w:r>
        <w:rPr>
          <w:b/>
          <w:bCs/>
        </w:rPr>
        <w:t xml:space="preserve"> Predicted distribution of metabolic fluxes in reactions involved in ALA synthesis under photomixotrophic conditions with acetate as a carbon source and with upregulation of </w:t>
      </w:r>
      <w:r w:rsidR="007B73BE">
        <w:rPr>
          <w:b/>
          <w:bCs/>
        </w:rPr>
        <w:t>DES::12 (</w:t>
      </w:r>
      <w:r w:rsidR="007B73BE">
        <w:rPr>
          <w:rFonts w:cs="Times New Roman"/>
          <w:b/>
          <w:bCs/>
        </w:rPr>
        <w:t>Δ</w:t>
      </w:r>
      <w:r w:rsidR="007B73BE">
        <w:rPr>
          <w:b/>
          <w:bCs/>
        </w:rPr>
        <w:t xml:space="preserve">12-desaturase). </w:t>
      </w:r>
      <w:r>
        <w:t>The circles refer to metabolites, the connecting lines refer to metabolic reactions, and numbers refer to flux values in mmol gDCW</w:t>
      </w:r>
      <w:r>
        <w:rPr>
          <w:vertAlign w:val="superscript"/>
        </w:rPr>
        <w:t>−1</w:t>
      </w:r>
      <w:r>
        <w:t xml:space="preserve"> h</w:t>
      </w:r>
      <w:r>
        <w:rPr>
          <w:vertAlign w:val="superscript"/>
        </w:rPr>
        <w:t>−1</w:t>
      </w:r>
      <w:r>
        <w:t>.</w:t>
      </w:r>
      <w:r w:rsidRPr="00D25720">
        <w:t xml:space="preserve"> </w:t>
      </w:r>
      <w:r>
        <w:t>Metabolite names are indicated in black, while reaction names are in indicated in blue and red for non-essential and essential reactions in ALA synthesis, respectively. Reaction directionality is represented by arrows. The color of the connecting lines represents the different flux ranges as shown in the legend. Flux values are shown below the reaction abbreviations.</w:t>
      </w:r>
    </w:p>
    <w:p w14:paraId="4223E7EB" w14:textId="41AD18B4" w:rsidR="004705FB" w:rsidRPr="00AB0AC3" w:rsidRDefault="00AB0AC3" w:rsidP="00AB0AC3">
      <w:pPr>
        <w:spacing w:before="0" w:after="200" w:line="276" w:lineRule="auto"/>
      </w:pPr>
      <w:r>
        <w:br w:type="page"/>
      </w:r>
    </w:p>
    <w:p w14:paraId="3F7AE40D" w14:textId="533436D6" w:rsidR="004407A6" w:rsidRDefault="004407A6" w:rsidP="004705FB">
      <w:pPr>
        <w:jc w:val="both"/>
        <w:rPr>
          <w:rFonts w:cs="Times New Roman"/>
          <w:b/>
          <w:szCs w:val="24"/>
        </w:rPr>
      </w:pPr>
      <w:r>
        <w:rPr>
          <w:noProof/>
        </w:rPr>
        <w:lastRenderedPageBreak/>
        <w:drawing>
          <wp:inline distT="0" distB="0" distL="0" distR="0" wp14:anchorId="3479C1C6" wp14:editId="4BD44A89">
            <wp:extent cx="6208395" cy="5612130"/>
            <wp:effectExtent l="0" t="0" r="1905" b="7620"/>
            <wp:docPr id="8" name="Picture 8" descr="Chart, rad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art, radar chart&#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208395" cy="5612130"/>
                    </a:xfrm>
                    <a:prstGeom prst="rect">
                      <a:avLst/>
                    </a:prstGeom>
                    <a:noFill/>
                    <a:ln>
                      <a:noFill/>
                    </a:ln>
                  </pic:spPr>
                </pic:pic>
              </a:graphicData>
            </a:graphic>
          </wp:inline>
        </w:drawing>
      </w:r>
    </w:p>
    <w:p w14:paraId="0A9DBD14" w14:textId="0D247C36" w:rsidR="004705FB" w:rsidRPr="004705FB" w:rsidRDefault="004705FB" w:rsidP="004705FB">
      <w:pPr>
        <w:jc w:val="both"/>
        <w:rPr>
          <w:b/>
          <w:bCs/>
        </w:rPr>
      </w:pPr>
      <w:r w:rsidRPr="0001436A">
        <w:rPr>
          <w:rFonts w:cs="Times New Roman"/>
          <w:b/>
          <w:szCs w:val="24"/>
        </w:rPr>
        <w:t xml:space="preserve">Supplementary Figure </w:t>
      </w:r>
      <w:r>
        <w:rPr>
          <w:rFonts w:cs="Times New Roman"/>
          <w:b/>
          <w:szCs w:val="24"/>
        </w:rPr>
        <w:t>S5</w:t>
      </w:r>
      <w:r w:rsidRPr="0001436A">
        <w:rPr>
          <w:rFonts w:cs="Times New Roman"/>
          <w:b/>
          <w:szCs w:val="24"/>
        </w:rPr>
        <w:t>.</w:t>
      </w:r>
      <w:r>
        <w:rPr>
          <w:b/>
          <w:bCs/>
        </w:rPr>
        <w:t xml:space="preserve"> Predicted distribution of metabolic fluxes in reactions involved in ALA synthesis under photomixotrophic conditions with glucose as a carbon source and with upregulation of </w:t>
      </w:r>
      <w:r w:rsidR="007B73BE">
        <w:rPr>
          <w:b/>
          <w:bCs/>
        </w:rPr>
        <w:t>DES::12 (</w:t>
      </w:r>
      <w:r w:rsidR="007B73BE">
        <w:rPr>
          <w:rFonts w:cs="Times New Roman"/>
          <w:b/>
          <w:bCs/>
        </w:rPr>
        <w:t>Δ</w:t>
      </w:r>
      <w:r w:rsidR="007B73BE">
        <w:rPr>
          <w:b/>
          <w:bCs/>
        </w:rPr>
        <w:t xml:space="preserve">12-desaturase). </w:t>
      </w:r>
      <w:r>
        <w:t>The circles refer to metabolites, the connecting lines refer to metabolic reactions, and numbers refer to flux values in mmol gDCW</w:t>
      </w:r>
      <w:r>
        <w:rPr>
          <w:vertAlign w:val="superscript"/>
        </w:rPr>
        <w:t>−1</w:t>
      </w:r>
      <w:r>
        <w:t xml:space="preserve"> h</w:t>
      </w:r>
      <w:r>
        <w:rPr>
          <w:vertAlign w:val="superscript"/>
        </w:rPr>
        <w:t>−1</w:t>
      </w:r>
      <w:r>
        <w:t>.</w:t>
      </w:r>
      <w:r w:rsidRPr="00D25720">
        <w:t xml:space="preserve"> </w:t>
      </w:r>
      <w:r>
        <w:t>Metabolite names are indicated in black, while reaction names are in indicated in blue and red for non-essential and essential reactions in ALA synthesis, respectively. Reaction directionality is represented by arrows. The color of the connecting lines represents the different flux ranges as shown in the legend. Flux values are shown below the reaction abbreviations.</w:t>
      </w:r>
    </w:p>
    <w:p w14:paraId="3D9B7A73" w14:textId="36BCF8B3" w:rsidR="00397878" w:rsidRDefault="00397878" w:rsidP="00397878">
      <w:pPr>
        <w:jc w:val="both"/>
        <w:rPr>
          <w:b/>
          <w:bCs/>
        </w:rPr>
      </w:pPr>
    </w:p>
    <w:p w14:paraId="10B5672C" w14:textId="77777777" w:rsidR="00397878" w:rsidRPr="0043304D" w:rsidRDefault="00397878" w:rsidP="00397878">
      <w:pPr>
        <w:jc w:val="both"/>
      </w:pPr>
      <w:r>
        <w:br w:type="page"/>
      </w:r>
    </w:p>
    <w:p w14:paraId="3E5C4159" w14:textId="77777777" w:rsidR="002C0CC8" w:rsidRPr="00397878" w:rsidRDefault="002C0CC8" w:rsidP="00490D63">
      <w:pPr>
        <w:keepNext/>
        <w:jc w:val="both"/>
        <w:rPr>
          <w:rFonts w:cs="Times New Roman"/>
          <w:b/>
          <w:bCs/>
          <w:szCs w:val="24"/>
        </w:rPr>
      </w:pPr>
    </w:p>
    <w:p w14:paraId="541FC07C" w14:textId="6D604871" w:rsidR="00490D63" w:rsidRDefault="00490D63" w:rsidP="00490D63">
      <w:pPr>
        <w:pStyle w:val="Heading2"/>
      </w:pPr>
      <w:r w:rsidRPr="0001436A">
        <w:t>Supplementary</w:t>
      </w:r>
      <w:r w:rsidRPr="001549D3">
        <w:t xml:space="preserve"> </w:t>
      </w:r>
      <w:r>
        <w:t>Tables</w:t>
      </w:r>
    </w:p>
    <w:p w14:paraId="5A5EAE3C" w14:textId="77777777" w:rsidR="00490D63" w:rsidRPr="00490D63" w:rsidRDefault="00490D63" w:rsidP="00490D63">
      <w:pPr>
        <w:keepNext/>
        <w:jc w:val="both"/>
        <w:rPr>
          <w:rFonts w:cs="Times New Roman"/>
          <w:bCs/>
          <w:szCs w:val="24"/>
        </w:rPr>
      </w:pPr>
      <w:r w:rsidRPr="00490D63">
        <w:rPr>
          <w:rFonts w:cs="Times New Roman"/>
          <w:b/>
          <w:szCs w:val="24"/>
        </w:rPr>
        <w:t xml:space="preserve">Supplementary Table S1. </w:t>
      </w:r>
      <w:r w:rsidRPr="00490D63">
        <w:rPr>
          <w:rFonts w:cs="Times New Roman"/>
          <w:bCs/>
          <w:szCs w:val="24"/>
        </w:rPr>
        <w:t xml:space="preserve">List of genes, reactions, and metabolites added and removed to </w:t>
      </w:r>
      <w:r w:rsidRPr="00490D63">
        <w:rPr>
          <w:rFonts w:cs="Times New Roman"/>
          <w:bCs/>
          <w:i/>
          <w:iCs/>
          <w:szCs w:val="24"/>
        </w:rPr>
        <w:t>i</w:t>
      </w:r>
      <w:r w:rsidRPr="00490D63">
        <w:rPr>
          <w:rFonts w:cs="Times New Roman"/>
          <w:bCs/>
          <w:szCs w:val="24"/>
        </w:rPr>
        <w:t xml:space="preserve">JB792 to generate </w:t>
      </w:r>
      <w:r w:rsidRPr="00490D63">
        <w:rPr>
          <w:rFonts w:cs="Times New Roman"/>
          <w:bCs/>
          <w:i/>
          <w:iCs/>
          <w:szCs w:val="24"/>
        </w:rPr>
        <w:t>i</w:t>
      </w:r>
      <w:r w:rsidRPr="00490D63">
        <w:rPr>
          <w:rFonts w:cs="Times New Roman"/>
          <w:bCs/>
          <w:szCs w:val="24"/>
        </w:rPr>
        <w:t>MS837.</w:t>
      </w:r>
    </w:p>
    <w:p w14:paraId="7D4F2695" w14:textId="77777777" w:rsidR="00490D63" w:rsidRPr="00490D63" w:rsidRDefault="00490D63" w:rsidP="00490D63">
      <w:pPr>
        <w:keepNext/>
        <w:jc w:val="both"/>
        <w:rPr>
          <w:rFonts w:cs="Times New Roman"/>
          <w:bCs/>
          <w:szCs w:val="24"/>
        </w:rPr>
      </w:pPr>
      <w:r w:rsidRPr="00490D63">
        <w:rPr>
          <w:rFonts w:cs="Times New Roman"/>
          <w:b/>
          <w:szCs w:val="24"/>
        </w:rPr>
        <w:t xml:space="preserve">Supplementary Table S2. </w:t>
      </w:r>
      <w:r w:rsidRPr="00490D63">
        <w:rPr>
          <w:rFonts w:cs="Times New Roman"/>
          <w:bCs/>
          <w:szCs w:val="24"/>
        </w:rPr>
        <w:t xml:space="preserve">Essential genes predicted using </w:t>
      </w:r>
      <w:r w:rsidRPr="00490D63">
        <w:rPr>
          <w:rFonts w:cs="Times New Roman"/>
          <w:bCs/>
          <w:i/>
          <w:iCs/>
          <w:szCs w:val="24"/>
        </w:rPr>
        <w:t>i</w:t>
      </w:r>
      <w:r w:rsidRPr="00490D63">
        <w:rPr>
          <w:rFonts w:cs="Times New Roman"/>
          <w:bCs/>
          <w:szCs w:val="24"/>
        </w:rPr>
        <w:t>MS837 in comparison with in vivo data.</w:t>
      </w:r>
    </w:p>
    <w:p w14:paraId="60882CD2" w14:textId="77777777" w:rsidR="00490D63" w:rsidRPr="00490D63" w:rsidRDefault="00490D63" w:rsidP="00490D63">
      <w:pPr>
        <w:keepNext/>
        <w:jc w:val="both"/>
        <w:rPr>
          <w:rFonts w:cs="Times New Roman"/>
          <w:bCs/>
          <w:szCs w:val="24"/>
        </w:rPr>
      </w:pPr>
      <w:r w:rsidRPr="00490D63">
        <w:rPr>
          <w:rFonts w:cs="Times New Roman"/>
          <w:b/>
          <w:szCs w:val="24"/>
        </w:rPr>
        <w:t xml:space="preserve">Supplementary Table S3. </w:t>
      </w:r>
      <w:r w:rsidRPr="00490D63">
        <w:rPr>
          <w:rFonts w:cs="Times New Roman"/>
          <w:bCs/>
          <w:szCs w:val="24"/>
        </w:rPr>
        <w:t xml:space="preserve">List of reactions and metabolites added to </w:t>
      </w:r>
      <w:r w:rsidRPr="00490D63">
        <w:rPr>
          <w:rFonts w:cs="Times New Roman"/>
          <w:bCs/>
          <w:i/>
          <w:iCs/>
          <w:szCs w:val="24"/>
        </w:rPr>
        <w:t>i</w:t>
      </w:r>
      <w:r w:rsidRPr="00490D63">
        <w:rPr>
          <w:rFonts w:cs="Times New Roman"/>
          <w:bCs/>
          <w:szCs w:val="24"/>
        </w:rPr>
        <w:t>MS837 to produce ALA.</w:t>
      </w:r>
    </w:p>
    <w:p w14:paraId="632C5685" w14:textId="77777777" w:rsidR="00490D63" w:rsidRPr="00490D63" w:rsidRDefault="00490D63" w:rsidP="00490D63">
      <w:pPr>
        <w:keepNext/>
        <w:jc w:val="both"/>
        <w:rPr>
          <w:rFonts w:cs="Times New Roman"/>
          <w:bCs/>
          <w:szCs w:val="24"/>
        </w:rPr>
      </w:pPr>
      <w:r w:rsidRPr="00490D63">
        <w:rPr>
          <w:rFonts w:cs="Times New Roman"/>
          <w:b/>
          <w:szCs w:val="24"/>
        </w:rPr>
        <w:t xml:space="preserve">Supplementary Table S4. </w:t>
      </w:r>
      <w:r w:rsidRPr="00490D63">
        <w:rPr>
          <w:rFonts w:cs="Times New Roman"/>
          <w:bCs/>
          <w:szCs w:val="24"/>
        </w:rPr>
        <w:t>List of key reactions and genes identified based on the FSEOF simulation.</w:t>
      </w:r>
    </w:p>
    <w:p w14:paraId="37000B2D" w14:textId="4963AF15" w:rsidR="00490D63" w:rsidRPr="00490D63" w:rsidRDefault="00490D63" w:rsidP="00490D63">
      <w:pPr>
        <w:keepNext/>
        <w:jc w:val="both"/>
        <w:rPr>
          <w:rFonts w:cs="Times New Roman"/>
          <w:bCs/>
          <w:szCs w:val="24"/>
        </w:rPr>
      </w:pPr>
      <w:r w:rsidRPr="00490D63">
        <w:rPr>
          <w:rFonts w:cs="Times New Roman"/>
          <w:b/>
          <w:szCs w:val="24"/>
        </w:rPr>
        <w:t>Supplementary Table S</w:t>
      </w:r>
      <w:r w:rsidR="006E36A6">
        <w:rPr>
          <w:rFonts w:cs="Times New Roman"/>
          <w:b/>
          <w:szCs w:val="24"/>
        </w:rPr>
        <w:t>5</w:t>
      </w:r>
      <w:r w:rsidRPr="00490D63">
        <w:rPr>
          <w:rFonts w:cs="Times New Roman"/>
          <w:b/>
          <w:szCs w:val="24"/>
        </w:rPr>
        <w:t xml:space="preserve">. </w:t>
      </w:r>
      <w:r w:rsidRPr="00490D63">
        <w:rPr>
          <w:rFonts w:cs="Times New Roman"/>
          <w:bCs/>
          <w:szCs w:val="24"/>
        </w:rPr>
        <w:t>OptKnock and GDLS determined target reactions with their associated genes.</w:t>
      </w:r>
    </w:p>
    <w:p w14:paraId="5FDA7245" w14:textId="77777777" w:rsidR="00490D63" w:rsidRPr="00490D63" w:rsidRDefault="00490D63" w:rsidP="00490D63">
      <w:pPr>
        <w:rPr>
          <w:lang w:val="en-GB"/>
        </w:rPr>
      </w:pPr>
    </w:p>
    <w:sectPr w:rsidR="00490D63" w:rsidRPr="00490D63" w:rsidSect="0093429D">
      <w:footerReference w:type="even" r:id="rId13"/>
      <w:footerReference w:type="default" r:id="rId14"/>
      <w:headerReference w:type="first" r:id="rId15"/>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FE2B83" w14:textId="77777777" w:rsidR="00FE6D1B" w:rsidRDefault="00FE6D1B" w:rsidP="00117666">
      <w:pPr>
        <w:spacing w:after="0"/>
      </w:pPr>
      <w:r>
        <w:separator/>
      </w:r>
    </w:p>
  </w:endnote>
  <w:endnote w:type="continuationSeparator" w:id="0">
    <w:p w14:paraId="77FB6BC5" w14:textId="77777777" w:rsidR="00FE6D1B" w:rsidRDefault="00FE6D1B"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93025F" w14:textId="77777777" w:rsidR="00995F6A" w:rsidRPr="00577C4C" w:rsidRDefault="00C52A7B">
    <w:pPr>
      <w:rPr>
        <w:color w:val="C00000"/>
        <w:szCs w:val="24"/>
      </w:rPr>
    </w:pPr>
    <w:r>
      <w:rPr>
        <w:noProof/>
        <w:lang w:val="en-GB" w:eastAsia="en-GB"/>
      </w:rPr>
      <mc:AlternateContent>
        <mc:Choice Requires="wps">
          <w:drawing>
            <wp:anchor distT="0" distB="0" distL="114300" distR="114300" simplePos="0" relativeHeight="251659264" behindDoc="0" locked="0" layoutInCell="1" allowOverlap="1" wp14:anchorId="382EAD14" wp14:editId="71B2BC98">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0BC4D33"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82EAD14"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" filled="f" stroked="f" strokeweight=".5pt">
              <v:textbox style="mso-fit-shape-to-text:t">
                <w:txbxContent>
                  <w:p w14:paraId="50BC4D33"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4D6A35" w14:textId="77777777" w:rsidR="00995F6A" w:rsidRPr="00577C4C" w:rsidRDefault="00C52A7B">
    <w:pPr>
      <w:rPr>
        <w:b/>
        <w:sz w:val="20"/>
        <w:szCs w:val="24"/>
      </w:rPr>
    </w:pPr>
    <w:r>
      <w:rPr>
        <w:noProof/>
        <w:lang w:val="en-GB" w:eastAsia="en-GB"/>
      </w:rPr>
      <mc:AlternateContent>
        <mc:Choice Requires="wps">
          <w:drawing>
            <wp:anchor distT="0" distB="0" distL="114300" distR="114300" simplePos="0" relativeHeight="251646976" behindDoc="0" locked="0" layoutInCell="1" allowOverlap="1" wp14:anchorId="70F9F55F" wp14:editId="40473BEB">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70F0D09"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0F9F55F"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" filled="f" stroked="f" strokeweight=".5pt">
              <v:textbox style="mso-fit-shape-to-text:t">
                <w:txbxContent>
                  <w:p w14:paraId="570F0D09"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CFEECD" w14:textId="77777777" w:rsidR="00FE6D1B" w:rsidRDefault="00FE6D1B" w:rsidP="00117666">
      <w:pPr>
        <w:spacing w:after="0"/>
      </w:pPr>
      <w:r>
        <w:separator/>
      </w:r>
    </w:p>
  </w:footnote>
  <w:footnote w:type="continuationSeparator" w:id="0">
    <w:p w14:paraId="67AF7BD6" w14:textId="77777777" w:rsidR="00FE6D1B" w:rsidRDefault="00FE6D1B"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1D68C6" w14:textId="77777777" w:rsidR="00995F6A" w:rsidRDefault="0093429D" w:rsidP="0093429D">
    <w:r w:rsidRPr="005A1D84">
      <w:rPr>
        <w:b/>
        <w:noProof/>
        <w:color w:val="A6A6A6" w:themeColor="background1" w:themeShade="A6"/>
        <w:lang w:val="en-GB" w:eastAsia="en-GB"/>
      </w:rPr>
      <w:drawing>
        <wp:inline distT="0" distB="0" distL="0" distR="0" wp14:anchorId="07D26A56" wp14:editId="2E460F0E">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00C52A7B" w:rsidRPr="007E3148">
      <w:rPr>
        <w:b/>
      </w:rPr>
      <w:ptab w:relativeTo="margin" w:alignment="center" w:leader="none"/>
    </w:r>
    <w:r w:rsidR="00C52A7B">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2D740DBE"/>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16cid:durableId="1349257987">
    <w:abstractNumId w:val="0"/>
  </w:num>
  <w:num w:numId="2" w16cid:durableId="1377505367">
    <w:abstractNumId w:val="4"/>
  </w:num>
  <w:num w:numId="3" w16cid:durableId="1281648229">
    <w:abstractNumId w:val="1"/>
  </w:num>
  <w:num w:numId="4" w16cid:durableId="871726341">
    <w:abstractNumId w:val="5"/>
  </w:num>
  <w:num w:numId="5" w16cid:durableId="35022586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353528736">
    <w:abstractNumId w:val="3"/>
  </w:num>
  <w:num w:numId="7" w16cid:durableId="298387233">
    <w:abstractNumId w:val="6"/>
  </w:num>
  <w:num w:numId="8" w16cid:durableId="159469388">
    <w:abstractNumId w:val="6"/>
  </w:num>
  <w:num w:numId="9" w16cid:durableId="124861748">
    <w:abstractNumId w:val="6"/>
  </w:num>
  <w:num w:numId="10" w16cid:durableId="1498230767">
    <w:abstractNumId w:val="6"/>
  </w:num>
  <w:num w:numId="11" w16cid:durableId="2130077240">
    <w:abstractNumId w:val="6"/>
  </w:num>
  <w:num w:numId="12" w16cid:durableId="1843009501">
    <w:abstractNumId w:val="6"/>
  </w:num>
  <w:num w:numId="13" w16cid:durableId="2147158565">
    <w:abstractNumId w:val="3"/>
  </w:num>
  <w:num w:numId="14" w16cid:durableId="2028291110">
    <w:abstractNumId w:val="2"/>
  </w:num>
  <w:num w:numId="15" w16cid:durableId="178083418">
    <w:abstractNumId w:val="2"/>
  </w:num>
  <w:num w:numId="16" w16cid:durableId="508956628">
    <w:abstractNumId w:val="2"/>
  </w:num>
  <w:num w:numId="17" w16cid:durableId="1700012052">
    <w:abstractNumId w:val="2"/>
  </w:num>
  <w:num w:numId="18" w16cid:durableId="1958946667">
    <w:abstractNumId w:val="2"/>
  </w:num>
  <w:num w:numId="19" w16cid:durableId="25224992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20B5"/>
    <w:rsid w:val="0001436A"/>
    <w:rsid w:val="00034304"/>
    <w:rsid w:val="00035434"/>
    <w:rsid w:val="00052A14"/>
    <w:rsid w:val="00077D53"/>
    <w:rsid w:val="00105FD9"/>
    <w:rsid w:val="00117666"/>
    <w:rsid w:val="001549D3"/>
    <w:rsid w:val="00160065"/>
    <w:rsid w:val="00177D84"/>
    <w:rsid w:val="00267D18"/>
    <w:rsid w:val="00274347"/>
    <w:rsid w:val="002868E2"/>
    <w:rsid w:val="002869C3"/>
    <w:rsid w:val="002936E4"/>
    <w:rsid w:val="002B4A57"/>
    <w:rsid w:val="002C0CC8"/>
    <w:rsid w:val="002C74CA"/>
    <w:rsid w:val="003123F4"/>
    <w:rsid w:val="003544FB"/>
    <w:rsid w:val="00397878"/>
    <w:rsid w:val="003A7226"/>
    <w:rsid w:val="003D2F2D"/>
    <w:rsid w:val="00401590"/>
    <w:rsid w:val="004407A6"/>
    <w:rsid w:val="00447801"/>
    <w:rsid w:val="00452E9C"/>
    <w:rsid w:val="004705FB"/>
    <w:rsid w:val="004735C8"/>
    <w:rsid w:val="00490D63"/>
    <w:rsid w:val="004947A6"/>
    <w:rsid w:val="004961FF"/>
    <w:rsid w:val="00517A89"/>
    <w:rsid w:val="005250F2"/>
    <w:rsid w:val="00593EEA"/>
    <w:rsid w:val="005A5EEE"/>
    <w:rsid w:val="006375C7"/>
    <w:rsid w:val="00654E8F"/>
    <w:rsid w:val="00660D05"/>
    <w:rsid w:val="006820B1"/>
    <w:rsid w:val="006B7D14"/>
    <w:rsid w:val="006C7035"/>
    <w:rsid w:val="006E36A6"/>
    <w:rsid w:val="00701727"/>
    <w:rsid w:val="0070566C"/>
    <w:rsid w:val="007056A1"/>
    <w:rsid w:val="00714C50"/>
    <w:rsid w:val="00725A7D"/>
    <w:rsid w:val="007501BE"/>
    <w:rsid w:val="00790BB3"/>
    <w:rsid w:val="007B73BE"/>
    <w:rsid w:val="007C206C"/>
    <w:rsid w:val="00817DD6"/>
    <w:rsid w:val="0083759F"/>
    <w:rsid w:val="00885156"/>
    <w:rsid w:val="008B33A1"/>
    <w:rsid w:val="008F65BC"/>
    <w:rsid w:val="009151AA"/>
    <w:rsid w:val="0093429D"/>
    <w:rsid w:val="00943541"/>
    <w:rsid w:val="00943573"/>
    <w:rsid w:val="00964134"/>
    <w:rsid w:val="00970F7D"/>
    <w:rsid w:val="00994A3D"/>
    <w:rsid w:val="009C2B12"/>
    <w:rsid w:val="00A174D9"/>
    <w:rsid w:val="00AA1D1B"/>
    <w:rsid w:val="00AA4D24"/>
    <w:rsid w:val="00AB0AC3"/>
    <w:rsid w:val="00AB6715"/>
    <w:rsid w:val="00B1671E"/>
    <w:rsid w:val="00B25EB8"/>
    <w:rsid w:val="00B37F4D"/>
    <w:rsid w:val="00C23EE7"/>
    <w:rsid w:val="00C52A7B"/>
    <w:rsid w:val="00C56BAF"/>
    <w:rsid w:val="00C679AA"/>
    <w:rsid w:val="00C75972"/>
    <w:rsid w:val="00CD066B"/>
    <w:rsid w:val="00CE005C"/>
    <w:rsid w:val="00CE4FEE"/>
    <w:rsid w:val="00D060CF"/>
    <w:rsid w:val="00DB59C3"/>
    <w:rsid w:val="00DC259A"/>
    <w:rsid w:val="00DE23E8"/>
    <w:rsid w:val="00E52377"/>
    <w:rsid w:val="00E537AD"/>
    <w:rsid w:val="00E64E17"/>
    <w:rsid w:val="00E866C9"/>
    <w:rsid w:val="00EA3D3C"/>
    <w:rsid w:val="00EC090A"/>
    <w:rsid w:val="00ED20B5"/>
    <w:rsid w:val="00ED64B7"/>
    <w:rsid w:val="00F46900"/>
    <w:rsid w:val="00F61D89"/>
    <w:rsid w:val="00FE6D1B"/>
    <w:rsid w:val="00FF5321"/>
    <w:rsid w:val="00FF6A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6DB94A"/>
  <w15:docId w15:val="{88748FF8-5D22-488D-A39B-60AD93690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6715"/>
    <w:pPr>
      <w:spacing w:before="120" w:after="240" w:line="240" w:lineRule="auto"/>
    </w:pPr>
    <w:rPr>
      <w:rFonts w:ascii="Times New Roman" w:hAnsi="Times New Roman"/>
      <w:sz w:val="24"/>
    </w:rPr>
  </w:style>
  <w:style w:type="paragraph" w:styleId="Heading1">
    <w:name w:val="heading 1"/>
    <w:basedOn w:val="ListParagraph"/>
    <w:next w:val="Normal"/>
    <w:link w:val="Heading1Char"/>
    <w:uiPriority w:val="2"/>
    <w:qFormat/>
    <w:rsid w:val="00AB6715"/>
    <w:pPr>
      <w:numPr>
        <w:numId w:val="19"/>
      </w:numPr>
      <w:spacing w:before="240"/>
      <w:contextualSpacing w:val="0"/>
      <w:outlineLvl w:val="0"/>
    </w:pPr>
    <w:rPr>
      <w:b/>
    </w:rPr>
  </w:style>
  <w:style w:type="paragraph" w:styleId="Heading2">
    <w:name w:val="heading 2"/>
    <w:basedOn w:val="Heading1"/>
    <w:next w:val="Normal"/>
    <w:link w:val="Heading2Char"/>
    <w:uiPriority w:val="2"/>
    <w:qFormat/>
    <w:rsid w:val="00AB6715"/>
    <w:pPr>
      <w:numPr>
        <w:ilvl w:val="1"/>
      </w:numPr>
      <w:spacing w:after="200"/>
      <w:outlineLvl w:val="1"/>
    </w:pPr>
  </w:style>
  <w:style w:type="paragraph" w:styleId="Heading3">
    <w:name w:val="heading 3"/>
    <w:basedOn w:val="Normal"/>
    <w:next w:val="Normal"/>
    <w:link w:val="Heading3Ch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2"/>
    <w:qFormat/>
    <w:rsid w:val="00AB6715"/>
    <w:pPr>
      <w:numPr>
        <w:ilvl w:val="3"/>
      </w:numPr>
      <w:outlineLvl w:val="3"/>
    </w:pPr>
    <w:rPr>
      <w:iCs/>
    </w:rPr>
  </w:style>
  <w:style w:type="paragraph" w:styleId="Heading5">
    <w:name w:val="heading 5"/>
    <w:basedOn w:val="Heading4"/>
    <w:next w:val="Normal"/>
    <w:link w:val="Heading5Char"/>
    <w:uiPriority w:val="2"/>
    <w:qFormat/>
    <w:rsid w:val="00AB6715"/>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AB671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2"/>
    <w:rsid w:val="00AB6715"/>
    <w:rPr>
      <w:rFonts w:ascii="Times New Roman" w:eastAsia="Cambria" w:hAnsi="Times New Roman" w:cs="Times New Roman"/>
      <w:b/>
      <w:sz w:val="24"/>
      <w:szCs w:val="24"/>
    </w:rPr>
  </w:style>
  <w:style w:type="paragraph" w:styleId="Subtitle">
    <w:name w:val="Subtitle"/>
    <w:basedOn w:val="Normal"/>
    <w:next w:val="Normal"/>
    <w:link w:val="SubtitleChar"/>
    <w:uiPriority w:val="99"/>
    <w:unhideWhenUsed/>
    <w:qFormat/>
    <w:rsid w:val="00AB6715"/>
    <w:pPr>
      <w:spacing w:before="240"/>
    </w:pPr>
    <w:rPr>
      <w:rFonts w:cs="Times New Roman"/>
      <w:b/>
      <w:szCs w:val="24"/>
    </w:rPr>
  </w:style>
  <w:style w:type="character" w:customStyle="1" w:styleId="SubtitleChar">
    <w:name w:val="Subtitle Char"/>
    <w:basedOn w:val="DefaultParagraphFont"/>
    <w:link w:val="Subtitle"/>
    <w:uiPriority w:val="99"/>
    <w:rsid w:val="00AB6715"/>
    <w:rPr>
      <w:rFonts w:ascii="Times New Roman" w:hAnsi="Times New Roman" w:cs="Times New Roman"/>
      <w:b/>
      <w:sz w:val="24"/>
      <w:szCs w:val="24"/>
    </w:rPr>
  </w:style>
  <w:style w:type="paragraph" w:customStyle="1" w:styleId="AuthorList">
    <w:name w:val="Author List"/>
    <w:aliases w:val="Keywords,Abstract"/>
    <w:basedOn w:val="Subtitle"/>
    <w:next w:val="Normal"/>
    <w:uiPriority w:val="1"/>
    <w:qFormat/>
    <w:rsid w:val="00AB6715"/>
  </w:style>
  <w:style w:type="paragraph" w:styleId="BalloonText">
    <w:name w:val="Balloon Text"/>
    <w:basedOn w:val="Normal"/>
    <w:link w:val="BalloonTextChar"/>
    <w:uiPriority w:val="99"/>
    <w:semiHidden/>
    <w:unhideWhenUsed/>
    <w:rsid w:val="00AB671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715"/>
    <w:rPr>
      <w:rFonts w:ascii="Tahoma" w:hAnsi="Tahoma" w:cs="Tahoma"/>
      <w:sz w:val="16"/>
      <w:szCs w:val="16"/>
    </w:rPr>
  </w:style>
  <w:style w:type="character" w:styleId="BookTitle">
    <w:name w:val="Book Title"/>
    <w:basedOn w:val="DefaultParagraphFont"/>
    <w:uiPriority w:val="33"/>
    <w:qFormat/>
    <w:rsid w:val="00AB6715"/>
    <w:rPr>
      <w:rFonts w:ascii="Times New Roman" w:hAnsi="Times New Roman"/>
      <w:b/>
      <w:bCs/>
      <w:i/>
      <w:iCs/>
      <w:spacing w:val="5"/>
    </w:rPr>
  </w:style>
  <w:style w:type="paragraph" w:styleId="Caption">
    <w:name w:val="caption"/>
    <w:basedOn w:val="Normal"/>
    <w:next w:val="NoSpacing"/>
    <w:uiPriority w:val="35"/>
    <w:unhideWhenUsed/>
    <w:qFormat/>
    <w:rsid w:val="00AB6715"/>
    <w:pPr>
      <w:keepNext/>
    </w:pPr>
    <w:rPr>
      <w:rFonts w:cs="Times New Roman"/>
      <w:b/>
      <w:bCs/>
      <w:szCs w:val="24"/>
    </w:rPr>
  </w:style>
  <w:style w:type="paragraph" w:styleId="NoSpacing">
    <w:name w:val="No Spacing"/>
    <w:uiPriority w:val="99"/>
    <w:unhideWhenUsed/>
    <w:qFormat/>
    <w:rsid w:val="00AB6715"/>
    <w:pPr>
      <w:spacing w:after="0" w:line="240" w:lineRule="auto"/>
    </w:pPr>
    <w:rPr>
      <w:rFonts w:ascii="Times New Roman" w:hAnsi="Times New Roman"/>
      <w:sz w:val="24"/>
    </w:rPr>
  </w:style>
  <w:style w:type="character" w:styleId="CommentReference">
    <w:name w:val="annotation reference"/>
    <w:basedOn w:val="DefaultParagraphFont"/>
    <w:uiPriority w:val="99"/>
    <w:semiHidden/>
    <w:unhideWhenUsed/>
    <w:rsid w:val="00AB6715"/>
    <w:rPr>
      <w:sz w:val="16"/>
      <w:szCs w:val="16"/>
    </w:rPr>
  </w:style>
  <w:style w:type="paragraph" w:styleId="CommentText">
    <w:name w:val="annotation text"/>
    <w:basedOn w:val="Normal"/>
    <w:link w:val="CommentTextChar"/>
    <w:uiPriority w:val="99"/>
    <w:unhideWhenUsed/>
    <w:rsid w:val="00AB6715"/>
    <w:rPr>
      <w:sz w:val="20"/>
      <w:szCs w:val="20"/>
    </w:rPr>
  </w:style>
  <w:style w:type="character" w:customStyle="1" w:styleId="CommentTextChar">
    <w:name w:val="Comment Text Char"/>
    <w:basedOn w:val="DefaultParagraphFont"/>
    <w:link w:val="CommentText"/>
    <w:uiPriority w:val="99"/>
    <w:rsid w:val="00AB671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B6715"/>
    <w:rPr>
      <w:b/>
      <w:bCs/>
    </w:rPr>
  </w:style>
  <w:style w:type="character" w:customStyle="1" w:styleId="CommentSubjectChar">
    <w:name w:val="Comment Subject Char"/>
    <w:basedOn w:val="CommentTextChar"/>
    <w:link w:val="CommentSubject"/>
    <w:uiPriority w:val="99"/>
    <w:semiHidden/>
    <w:rsid w:val="00AB6715"/>
    <w:rPr>
      <w:rFonts w:ascii="Times New Roman" w:hAnsi="Times New Roman"/>
      <w:b/>
      <w:bCs/>
      <w:sz w:val="20"/>
      <w:szCs w:val="20"/>
    </w:rPr>
  </w:style>
  <w:style w:type="character" w:styleId="Emphasis">
    <w:name w:val="Emphasis"/>
    <w:basedOn w:val="DefaultParagraphFont"/>
    <w:uiPriority w:val="20"/>
    <w:qFormat/>
    <w:rsid w:val="00AB6715"/>
    <w:rPr>
      <w:rFonts w:ascii="Times New Roman" w:hAnsi="Times New Roman"/>
      <w:i/>
      <w:iCs/>
    </w:rPr>
  </w:style>
  <w:style w:type="character" w:styleId="EndnoteReference">
    <w:name w:val="endnote reference"/>
    <w:basedOn w:val="DefaultParagraphFont"/>
    <w:uiPriority w:val="99"/>
    <w:semiHidden/>
    <w:unhideWhenUsed/>
    <w:rsid w:val="00AB6715"/>
    <w:rPr>
      <w:vertAlign w:val="superscript"/>
    </w:rPr>
  </w:style>
  <w:style w:type="paragraph" w:styleId="EndnoteText">
    <w:name w:val="endnote text"/>
    <w:basedOn w:val="Normal"/>
    <w:link w:val="EndnoteTextChar"/>
    <w:uiPriority w:val="99"/>
    <w:semiHidden/>
    <w:unhideWhenUsed/>
    <w:rsid w:val="00AB6715"/>
    <w:pPr>
      <w:spacing w:after="0"/>
    </w:pPr>
    <w:rPr>
      <w:sz w:val="20"/>
      <w:szCs w:val="20"/>
    </w:rPr>
  </w:style>
  <w:style w:type="character" w:customStyle="1" w:styleId="EndnoteTextChar">
    <w:name w:val="Endnote Text Char"/>
    <w:basedOn w:val="DefaultParagraphFont"/>
    <w:link w:val="EndnoteText"/>
    <w:uiPriority w:val="99"/>
    <w:semiHidden/>
    <w:rsid w:val="00AB6715"/>
    <w:rPr>
      <w:rFonts w:ascii="Times New Roman" w:hAnsi="Times New Roman"/>
      <w:sz w:val="20"/>
      <w:szCs w:val="20"/>
    </w:rPr>
  </w:style>
  <w:style w:type="character" w:styleId="FollowedHyperlink">
    <w:name w:val="FollowedHyperlink"/>
    <w:basedOn w:val="DefaultParagraphFont"/>
    <w:uiPriority w:val="99"/>
    <w:semiHidden/>
    <w:unhideWhenUsed/>
    <w:rsid w:val="00AB6715"/>
    <w:rPr>
      <w:color w:val="800080" w:themeColor="followedHyperlink"/>
      <w:u w:val="single"/>
    </w:rPr>
  </w:style>
  <w:style w:type="paragraph" w:styleId="Footer">
    <w:name w:val="footer"/>
    <w:basedOn w:val="Normal"/>
    <w:link w:val="FooterChar"/>
    <w:uiPriority w:val="99"/>
    <w:unhideWhenUsed/>
    <w:rsid w:val="00AB6715"/>
    <w:pPr>
      <w:tabs>
        <w:tab w:val="center" w:pos="4844"/>
        <w:tab w:val="right" w:pos="9689"/>
      </w:tabs>
      <w:spacing w:after="0"/>
    </w:pPr>
  </w:style>
  <w:style w:type="character" w:customStyle="1" w:styleId="FooterChar">
    <w:name w:val="Footer Char"/>
    <w:basedOn w:val="DefaultParagraphFont"/>
    <w:link w:val="Footer"/>
    <w:uiPriority w:val="99"/>
    <w:rsid w:val="00AB6715"/>
    <w:rPr>
      <w:rFonts w:ascii="Times New Roman" w:hAnsi="Times New Roman"/>
      <w:sz w:val="24"/>
    </w:rPr>
  </w:style>
  <w:style w:type="character" w:styleId="FootnoteReference">
    <w:name w:val="footnote reference"/>
    <w:basedOn w:val="DefaultParagraphFont"/>
    <w:uiPriority w:val="99"/>
    <w:semiHidden/>
    <w:unhideWhenUsed/>
    <w:rsid w:val="00AB6715"/>
    <w:rPr>
      <w:vertAlign w:val="superscript"/>
    </w:rPr>
  </w:style>
  <w:style w:type="paragraph" w:styleId="FootnoteText">
    <w:name w:val="footnote text"/>
    <w:basedOn w:val="Normal"/>
    <w:link w:val="FootnoteTextChar"/>
    <w:uiPriority w:val="99"/>
    <w:semiHidden/>
    <w:unhideWhenUsed/>
    <w:rsid w:val="00AB6715"/>
    <w:pPr>
      <w:spacing w:after="0"/>
    </w:pPr>
    <w:rPr>
      <w:sz w:val="20"/>
      <w:szCs w:val="20"/>
    </w:rPr>
  </w:style>
  <w:style w:type="character" w:customStyle="1" w:styleId="FootnoteTextChar">
    <w:name w:val="Footnote Text Char"/>
    <w:basedOn w:val="DefaultParagraphFont"/>
    <w:link w:val="FootnoteText"/>
    <w:uiPriority w:val="99"/>
    <w:semiHidden/>
    <w:rsid w:val="00AB6715"/>
    <w:rPr>
      <w:rFonts w:ascii="Times New Roman" w:hAnsi="Times New Roman"/>
      <w:sz w:val="20"/>
      <w:szCs w:val="20"/>
    </w:rPr>
  </w:style>
  <w:style w:type="paragraph" w:styleId="Header">
    <w:name w:val="header"/>
    <w:basedOn w:val="Normal"/>
    <w:link w:val="HeaderChar"/>
    <w:uiPriority w:val="99"/>
    <w:unhideWhenUsed/>
    <w:rsid w:val="00AB6715"/>
    <w:pPr>
      <w:tabs>
        <w:tab w:val="center" w:pos="4844"/>
        <w:tab w:val="right" w:pos="9689"/>
      </w:tabs>
    </w:pPr>
    <w:rPr>
      <w:b/>
    </w:rPr>
  </w:style>
  <w:style w:type="character" w:customStyle="1" w:styleId="HeaderChar">
    <w:name w:val="Header Char"/>
    <w:basedOn w:val="DefaultParagraphFont"/>
    <w:link w:val="Header"/>
    <w:uiPriority w:val="99"/>
    <w:rsid w:val="00AB6715"/>
    <w:rPr>
      <w:rFonts w:ascii="Times New Roman" w:hAnsi="Times New Roman"/>
      <w:b/>
      <w:sz w:val="24"/>
    </w:rPr>
  </w:style>
  <w:style w:type="paragraph" w:styleId="ListParagraph">
    <w:name w:val="List Paragraph"/>
    <w:basedOn w:val="Normal"/>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DefaultParagraphFont"/>
    <w:uiPriority w:val="99"/>
    <w:unhideWhenUsed/>
    <w:rsid w:val="00AB6715"/>
    <w:rPr>
      <w:color w:val="0000FF"/>
      <w:u w:val="single"/>
    </w:rPr>
  </w:style>
  <w:style w:type="character" w:styleId="IntenseEmphasis">
    <w:name w:val="Intense Emphasis"/>
    <w:basedOn w:val="DefaultParagraphFont"/>
    <w:uiPriority w:val="21"/>
    <w:unhideWhenUsed/>
    <w:rsid w:val="00AB6715"/>
    <w:rPr>
      <w:rFonts w:ascii="Times New Roman" w:hAnsi="Times New Roman"/>
      <w:i/>
      <w:iCs/>
      <w:color w:val="auto"/>
    </w:rPr>
  </w:style>
  <w:style w:type="character" w:styleId="IntenseReference">
    <w:name w:val="Intense Reference"/>
    <w:basedOn w:val="DefaultParagraphFont"/>
    <w:uiPriority w:val="32"/>
    <w:qFormat/>
    <w:rsid w:val="00AB6715"/>
    <w:rPr>
      <w:b/>
      <w:bCs/>
      <w:smallCaps/>
      <w:color w:val="auto"/>
      <w:spacing w:val="5"/>
    </w:rPr>
  </w:style>
  <w:style w:type="character" w:styleId="LineNumber">
    <w:name w:val="line number"/>
    <w:basedOn w:val="DefaultParagraphFont"/>
    <w:uiPriority w:val="99"/>
    <w:semiHidden/>
    <w:unhideWhenUsed/>
    <w:rsid w:val="00AB6715"/>
  </w:style>
  <w:style w:type="character" w:customStyle="1" w:styleId="Heading3Char">
    <w:name w:val="Heading 3 Char"/>
    <w:basedOn w:val="DefaultParagraphFont"/>
    <w:link w:val="Heading3"/>
    <w:uiPriority w:val="2"/>
    <w:rsid w:val="00AB6715"/>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2"/>
    <w:rsid w:val="00AB6715"/>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Quote">
    <w:name w:val="Quote"/>
    <w:basedOn w:val="Normal"/>
    <w:next w:val="Normal"/>
    <w:link w:val="QuoteChar"/>
    <w:uiPriority w:val="29"/>
    <w:qFormat/>
    <w:rsid w:val="00AB671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B6715"/>
    <w:rPr>
      <w:rFonts w:ascii="Times New Roman" w:hAnsi="Times New Roman"/>
      <w:i/>
      <w:iCs/>
      <w:color w:val="404040" w:themeColor="text1" w:themeTint="BF"/>
      <w:sz w:val="24"/>
    </w:rPr>
  </w:style>
  <w:style w:type="character" w:styleId="Strong">
    <w:name w:val="Strong"/>
    <w:basedOn w:val="DefaultParagraphFont"/>
    <w:uiPriority w:val="22"/>
    <w:qFormat/>
    <w:rsid w:val="00AB6715"/>
    <w:rPr>
      <w:rFonts w:ascii="Times New Roman" w:hAnsi="Times New Roman"/>
      <w:b/>
      <w:bCs/>
    </w:rPr>
  </w:style>
  <w:style w:type="character" w:styleId="SubtleEmphasis">
    <w:name w:val="Subtle Emphasis"/>
    <w:basedOn w:val="DefaultParagraphFont"/>
    <w:uiPriority w:val="19"/>
    <w:qFormat/>
    <w:rsid w:val="00AB6715"/>
    <w:rPr>
      <w:rFonts w:ascii="Times New Roman" w:hAnsi="Times New Roman"/>
      <w:i/>
      <w:iCs/>
      <w:color w:val="404040" w:themeColor="text1" w:themeTint="BF"/>
    </w:rPr>
  </w:style>
  <w:style w:type="table" w:styleId="TableGrid">
    <w:name w:val="Table Grid"/>
    <w:basedOn w:val="TableNormal"/>
    <w:uiPriority w:val="5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AB6715"/>
    <w:pPr>
      <w:suppressLineNumbers/>
      <w:spacing w:before="240" w:after="360"/>
      <w:jc w:val="center"/>
    </w:pPr>
    <w:rPr>
      <w:rFonts w:cs="Times New Roman"/>
      <w:b/>
      <w:sz w:val="32"/>
      <w:szCs w:val="32"/>
    </w:rPr>
  </w:style>
  <w:style w:type="character" w:customStyle="1" w:styleId="TitleChar">
    <w:name w:val="Title Char"/>
    <w:basedOn w:val="DefaultParagraphFont"/>
    <w:link w:val="Title"/>
    <w:rsid w:val="00AB6715"/>
    <w:rPr>
      <w:rFonts w:ascii="Times New Roman" w:hAnsi="Times New Roman" w:cs="Times New Roman"/>
      <w:b/>
      <w:sz w:val="32"/>
      <w:szCs w:val="32"/>
    </w:rPr>
  </w:style>
  <w:style w:type="paragraph" w:customStyle="1" w:styleId="SupplementaryMaterial">
    <w:name w:val="Supplementary Material"/>
    <w:basedOn w:val="Title"/>
    <w:next w:val="Title"/>
    <w:qFormat/>
    <w:rsid w:val="0001436A"/>
    <w:pPr>
      <w:spacing w:after="120"/>
    </w:pPr>
    <w:rPr>
      <w:i/>
    </w:rPr>
  </w:style>
  <w:style w:type="character" w:customStyle="1" w:styleId="captions">
    <w:name w:val="captions"/>
    <w:basedOn w:val="DefaultParagraphFont"/>
    <w:rsid w:val="00FF532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57A95B22-B4E8-4C8E-ABCB-1E2B9143F8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Supplementary_Material</Template>
  <TotalTime>1</TotalTime>
  <Pages>6</Pages>
  <Words>508</Words>
  <Characters>2900</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Frontiers Media SA</dc:creator>
  <cp:lastModifiedBy>Santos Merino, Maria Del Carmen</cp:lastModifiedBy>
  <cp:revision>4</cp:revision>
  <cp:lastPrinted>2013-10-03T12:51:00Z</cp:lastPrinted>
  <dcterms:created xsi:type="dcterms:W3CDTF">2022-12-16T00:49:00Z</dcterms:created>
  <dcterms:modified xsi:type="dcterms:W3CDTF">2022-12-16T01:43:00Z</dcterms:modified>
</cp:coreProperties>
</file>