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EE3AC85" w14:textId="77777777" w:rsidR="005266A0" w:rsidRPr="005266A0" w:rsidRDefault="005266A0" w:rsidP="005266A0">
      <w:pPr>
        <w:spacing w:before="0" w:after="0" w:line="360" w:lineRule="auto"/>
        <w:rPr>
          <w:rFonts w:ascii="Calibri" w:eastAsia="Calibri" w:hAnsi="Calibri" w:cs="Arial"/>
          <w:b/>
          <w:bCs/>
          <w:szCs w:val="24"/>
          <w:lang w:val="en-IL" w:bidi="he-IL"/>
        </w:rPr>
      </w:pPr>
      <w:r w:rsidRPr="005266A0">
        <w:rPr>
          <w:rFonts w:ascii="Calibri" w:eastAsia="Calibri" w:hAnsi="Calibri" w:cs="Arial"/>
          <w:b/>
          <w:bCs/>
          <w:szCs w:val="24"/>
          <w:lang w:val="en-IL" w:bidi="he-IL"/>
        </w:rPr>
        <w:t xml:space="preserve">Immune profiling of experimental murine mastitis reveals conserved response to mammary pathogenic </w:t>
      </w:r>
      <w:r w:rsidRPr="005266A0">
        <w:rPr>
          <w:rFonts w:ascii="Calibri" w:eastAsia="Calibri" w:hAnsi="Calibri" w:cs="Arial"/>
          <w:b/>
          <w:bCs/>
          <w:i/>
          <w:iCs/>
          <w:szCs w:val="24"/>
          <w:lang w:val="en-IL" w:bidi="he-IL"/>
        </w:rPr>
        <w:t>Escherichia coli</w:t>
      </w:r>
      <w:r w:rsidRPr="005266A0">
        <w:rPr>
          <w:rFonts w:ascii="Calibri" w:eastAsia="Calibri" w:hAnsi="Calibri" w:cs="Arial"/>
          <w:b/>
          <w:bCs/>
          <w:szCs w:val="24"/>
          <w:lang w:val="en-IL" w:bidi="he-IL"/>
        </w:rPr>
        <w:t xml:space="preserve">, </w:t>
      </w:r>
      <w:r w:rsidRPr="005266A0">
        <w:rPr>
          <w:rFonts w:ascii="Calibri" w:eastAsia="Calibri" w:hAnsi="Calibri" w:cs="Arial"/>
          <w:b/>
          <w:bCs/>
          <w:i/>
          <w:iCs/>
          <w:szCs w:val="24"/>
          <w:lang w:val="en-IL" w:bidi="he-IL"/>
        </w:rPr>
        <w:t>Mycoplasma bovis</w:t>
      </w:r>
      <w:r w:rsidRPr="005266A0">
        <w:rPr>
          <w:rFonts w:ascii="Calibri" w:eastAsia="Calibri" w:hAnsi="Calibri" w:cs="Arial"/>
          <w:b/>
          <w:bCs/>
          <w:szCs w:val="24"/>
          <w:lang w:val="en-IL" w:bidi="he-IL"/>
        </w:rPr>
        <w:t xml:space="preserve"> and </w:t>
      </w:r>
      <w:r w:rsidRPr="005266A0">
        <w:rPr>
          <w:rFonts w:ascii="Calibri" w:eastAsia="Calibri" w:hAnsi="Calibri" w:cs="Arial"/>
          <w:b/>
          <w:bCs/>
          <w:i/>
          <w:iCs/>
          <w:szCs w:val="24"/>
          <w:lang w:val="en-IL" w:bidi="he-IL"/>
        </w:rPr>
        <w:t>Streptococcus uberis</w:t>
      </w:r>
    </w:p>
    <w:p w14:paraId="53856982" w14:textId="4CBE396C" w:rsidR="005266A0" w:rsidRPr="005266A0" w:rsidRDefault="005266A0" w:rsidP="005266A0">
      <w:pPr>
        <w:spacing w:before="0" w:after="0" w:line="360" w:lineRule="auto"/>
        <w:rPr>
          <w:rFonts w:eastAsia="Times New Roman" w:cs="Times New Roman"/>
          <w:szCs w:val="24"/>
          <w:lang w:val="en-IL" w:eastAsia="en-IL"/>
        </w:rPr>
      </w:pPr>
      <w:r w:rsidRPr="005266A0">
        <w:rPr>
          <w:rFonts w:ascii="Calibri" w:eastAsia="Calibri" w:hAnsi="Calibri" w:cs="Arial"/>
          <w:color w:val="000000"/>
          <w:kern w:val="24"/>
          <w:szCs w:val="24"/>
          <w:lang w:eastAsia="en-IL"/>
        </w:rPr>
        <w:t xml:space="preserve">Peleg Schneider, Hagit Salamon, Nathalie Weizmann, Einat Nissim-Eliraz, Inna </w:t>
      </w:r>
      <w:proofErr w:type="spellStart"/>
      <w:r w:rsidRPr="005266A0">
        <w:rPr>
          <w:rFonts w:ascii="Calibri" w:eastAsia="Calibri" w:hAnsi="Calibri" w:cs="Arial"/>
          <w:color w:val="000000"/>
          <w:kern w:val="24"/>
          <w:szCs w:val="24"/>
          <w:lang w:eastAsia="en-IL"/>
        </w:rPr>
        <w:t>Lysnyansky</w:t>
      </w:r>
      <w:proofErr w:type="spellEnd"/>
      <w:r w:rsidRPr="005266A0">
        <w:rPr>
          <w:rFonts w:ascii="Calibri" w:eastAsia="Calibri" w:hAnsi="Calibri" w:cs="Arial"/>
          <w:color w:val="000000"/>
          <w:kern w:val="24"/>
          <w:szCs w:val="24"/>
          <w:lang w:eastAsia="en-IL"/>
        </w:rPr>
        <w:t xml:space="preserve"> and Nahum Y. Shpigel</w:t>
      </w:r>
      <w:r w:rsidRPr="00994A3D">
        <w:rPr>
          <w:rFonts w:cs="Times New Roman"/>
          <w:b/>
        </w:rPr>
        <w:t>*</w:t>
      </w:r>
    </w:p>
    <w:p w14:paraId="217F3AE0" w14:textId="37006BE1" w:rsidR="002868E2" w:rsidRPr="00994A3D" w:rsidRDefault="002868E2" w:rsidP="00994A3D">
      <w:pPr>
        <w:spacing w:before="240" w:after="0"/>
        <w:rPr>
          <w:rFonts w:cs="Times New Roman"/>
        </w:rPr>
      </w:pPr>
      <w:bookmarkStart w:id="0" w:name="_Hlk122197420"/>
      <w:r w:rsidRPr="00994A3D">
        <w:rPr>
          <w:rFonts w:cs="Times New Roman"/>
          <w:b/>
        </w:rPr>
        <w:t>*</w:t>
      </w:r>
      <w:bookmarkEnd w:id="0"/>
      <w:r w:rsidRPr="00994A3D">
        <w:rPr>
          <w:rFonts w:cs="Times New Roman"/>
          <w:b/>
        </w:rPr>
        <w:t xml:space="preserve"> Correspondence: </w:t>
      </w:r>
      <w:r w:rsidRPr="00994A3D">
        <w:rPr>
          <w:rFonts w:cs="Times New Roman"/>
        </w:rPr>
        <w:t>Corresponding Author</w:t>
      </w:r>
      <w:r w:rsidR="00994A3D" w:rsidRPr="00994A3D">
        <w:rPr>
          <w:rFonts w:cs="Times New Roman"/>
        </w:rPr>
        <w:t xml:space="preserve">: </w:t>
      </w:r>
      <w:hyperlink r:id="rId12" w:history="1">
        <w:r w:rsidR="005266A0" w:rsidRPr="00552719">
          <w:rPr>
            <w:color w:val="0000FF" w:themeColor="hyperlink"/>
            <w:u w:val="single"/>
          </w:rPr>
          <w:t>nahum.shpigel@mail.huji.ac.il</w:t>
        </w:r>
      </w:hyperlink>
    </w:p>
    <w:p w14:paraId="07970E94" w14:textId="1C8583C8" w:rsidR="00994A3D" w:rsidRDefault="00994A3D" w:rsidP="005266A0">
      <w:pPr>
        <w:pStyle w:val="Heading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14:paraId="2EEF32CD" w14:textId="5E681B38" w:rsidR="007B6193" w:rsidRDefault="007B6193" w:rsidP="007B6193">
      <w:r>
        <w:rPr>
          <w:rFonts w:cs="Times New Roman"/>
          <w:noProof/>
          <w:szCs w:val="24"/>
        </w:rPr>
        <w:drawing>
          <wp:anchor distT="0" distB="0" distL="114300" distR="114300" simplePos="0" relativeHeight="251658240" behindDoc="1" locked="0" layoutInCell="1" allowOverlap="1" wp14:anchorId="2A636988" wp14:editId="52A5F557">
            <wp:simplePos x="0" y="0"/>
            <wp:positionH relativeFrom="margin">
              <wp:align>center</wp:align>
            </wp:positionH>
            <wp:positionV relativeFrom="paragraph">
              <wp:posOffset>23026</wp:posOffset>
            </wp:positionV>
            <wp:extent cx="6146165" cy="3338195"/>
            <wp:effectExtent l="0" t="0" r="0" b="0"/>
            <wp:wrapTight wrapText="bothSides">
              <wp:wrapPolygon edited="0">
                <wp:start x="1004" y="123"/>
                <wp:lineTo x="1138" y="2342"/>
                <wp:lineTo x="803" y="2958"/>
                <wp:lineTo x="736" y="4931"/>
                <wp:lineTo x="1004" y="6286"/>
                <wp:lineTo x="1071" y="8259"/>
                <wp:lineTo x="402" y="10231"/>
                <wp:lineTo x="469" y="12203"/>
                <wp:lineTo x="134" y="13436"/>
                <wp:lineTo x="0" y="14052"/>
                <wp:lineTo x="67" y="16394"/>
                <wp:lineTo x="402" y="18120"/>
                <wp:lineTo x="536" y="20092"/>
                <wp:lineTo x="669" y="20955"/>
                <wp:lineTo x="3749" y="21201"/>
                <wp:lineTo x="17340" y="21448"/>
                <wp:lineTo x="18411" y="21448"/>
                <wp:lineTo x="19616" y="21201"/>
                <wp:lineTo x="21223" y="20585"/>
                <wp:lineTo x="21156" y="16271"/>
                <wp:lineTo x="19549" y="15778"/>
                <wp:lineTo x="19482" y="14175"/>
                <wp:lineTo x="20888" y="12203"/>
                <wp:lineTo x="21357" y="12203"/>
                <wp:lineTo x="20419" y="10601"/>
                <wp:lineTo x="11448" y="10231"/>
                <wp:lineTo x="20286" y="8505"/>
                <wp:lineTo x="20219" y="6040"/>
                <wp:lineTo x="18813" y="4684"/>
                <wp:lineTo x="19616" y="4068"/>
                <wp:lineTo x="19817" y="3082"/>
                <wp:lineTo x="19348" y="2095"/>
                <wp:lineTo x="19348" y="740"/>
                <wp:lineTo x="19214" y="123"/>
                <wp:lineTo x="1004" y="12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333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D92FA" w14:textId="332E47F1" w:rsidR="007B6193" w:rsidRDefault="007B6193" w:rsidP="007B6193"/>
    <w:p w14:paraId="548E3554" w14:textId="7F60A37E" w:rsidR="007B6193" w:rsidRDefault="007B6193" w:rsidP="007B6193"/>
    <w:p w14:paraId="2678B975" w14:textId="2D7B85CD" w:rsidR="007B6193" w:rsidRDefault="007B6193" w:rsidP="007B6193"/>
    <w:p w14:paraId="4EFA9718" w14:textId="62C305B2" w:rsidR="007B6193" w:rsidRDefault="007B6193" w:rsidP="007B6193"/>
    <w:p w14:paraId="11626023" w14:textId="77777777" w:rsidR="007B6193" w:rsidRPr="007B6193" w:rsidRDefault="007B6193" w:rsidP="007B6193"/>
    <w:p w14:paraId="773EA7D2" w14:textId="1551FE98" w:rsidR="007B6193" w:rsidRDefault="007B6193" w:rsidP="007B6193">
      <w:pPr>
        <w:spacing w:before="240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  <w:r w:rsidRPr="007B6193">
        <w:rPr>
          <w:rFonts w:ascii="Calibri" w:eastAsia="Times New Roman" w:hAnsi="Calibri" w:cs="Arial"/>
          <w:b/>
          <w:bCs/>
          <w:color w:val="000000"/>
          <w:kern w:val="24"/>
          <w:szCs w:val="24"/>
          <w:lang w:eastAsia="en-IL"/>
        </w:rPr>
        <w:t xml:space="preserve">Supplementary Figure 1. </w:t>
      </w:r>
      <w:r w:rsidRPr="007B6193">
        <w:rPr>
          <w:rFonts w:ascii="Calibri" w:eastAsia="Times New Roman" w:hAnsi="Calibri" w:cs="Arial"/>
          <w:color w:val="000000"/>
          <w:kern w:val="24"/>
          <w:szCs w:val="24"/>
          <w:lang w:eastAsia="en-IL"/>
        </w:rPr>
        <w:t xml:space="preserve">Data analysis and computational steps used for the calculation of ligand-receptor communication scores for genes in the expression data set. Ligand-receptor (L-R) data was obtained from the </w:t>
      </w:r>
      <w:proofErr w:type="spellStart"/>
      <w:r w:rsidRPr="007B6193">
        <w:rPr>
          <w:rFonts w:ascii="Calibri" w:eastAsia="Times New Roman" w:hAnsi="Calibri" w:cs="Arial"/>
          <w:color w:val="000000"/>
          <w:kern w:val="24"/>
          <w:szCs w:val="24"/>
          <w:lang w:eastAsia="en-IL"/>
        </w:rPr>
        <w:t>CellTalkDB</w:t>
      </w:r>
      <w:proofErr w:type="spellEnd"/>
      <w:r w:rsidRPr="007B6193">
        <w:rPr>
          <w:rFonts w:ascii="Calibri" w:eastAsia="Times New Roman" w:hAnsi="Calibri" w:cs="Arial"/>
          <w:color w:val="000000"/>
          <w:kern w:val="24"/>
          <w:szCs w:val="24"/>
          <w:lang w:eastAsia="en-IL"/>
        </w:rPr>
        <w:t xml:space="preserve"> data base (http://tcm.zju.edu.cn/celltalkdb/index.php). All ligands (blue dots) and receptors (red dots) identified in the data set are presented using a Volcano plot for each pathogen (top panels). We assumed that a communication pathway is active only when ligand and receptor were both significantly (adjusted P-value &lt; 0.05) differentially expressed with fold change (FC) greater than 1 (all data points above the horizontal broken lines in the Volcano plots). Significantly differentially expressed L-R pairs are presented for each pathogen in the annotated correlation plots in the bottom panels. Insert correlation plots present all L-R pairs, black dots represent L-R pairs that were excluded from the analysis.</w:t>
      </w:r>
    </w:p>
    <w:p w14:paraId="4916FCC9" w14:textId="0A75A5D9" w:rsidR="007B6193" w:rsidRDefault="007B6193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2BD4C2B" w14:textId="7F4744CE" w:rsidR="00994A3D" w:rsidRPr="001549D3" w:rsidRDefault="003230E1" w:rsidP="00994A3D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734784DA" wp14:editId="47C16A26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6207760" cy="4625340"/>
            <wp:effectExtent l="0" t="0" r="2540" b="3810"/>
            <wp:wrapTight wrapText="bothSides">
              <wp:wrapPolygon edited="0">
                <wp:start x="0" y="0"/>
                <wp:lineTo x="0" y="21529"/>
                <wp:lineTo x="21543" y="21529"/>
                <wp:lineTo x="2154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180" cy="46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5C1F8" w14:textId="77777777" w:rsidR="003230E1" w:rsidRPr="003230E1" w:rsidRDefault="003230E1" w:rsidP="003230E1">
      <w:pPr>
        <w:spacing w:before="0" w:after="0"/>
        <w:rPr>
          <w:rFonts w:eastAsia="Times New Roman" w:cs="Times New Roman"/>
          <w:szCs w:val="24"/>
          <w:lang w:val="en-IL" w:eastAsia="en-IL"/>
        </w:rPr>
      </w:pPr>
      <w:r w:rsidRPr="003230E1">
        <w:rPr>
          <w:rFonts w:ascii="Calibri" w:eastAsia="Times New Roman" w:hAnsi="Calibri" w:cs="Arial"/>
          <w:b/>
          <w:bCs/>
          <w:color w:val="000000"/>
          <w:kern w:val="24"/>
          <w:szCs w:val="24"/>
          <w:lang w:eastAsia="en-IL"/>
        </w:rPr>
        <w:t>Supplementary Figure 2</w:t>
      </w:r>
      <w:r w:rsidRPr="003230E1">
        <w:rPr>
          <w:rFonts w:ascii="Calibri" w:eastAsia="Times New Roman" w:hAnsi="Calibri" w:cs="Arial"/>
          <w:color w:val="000000"/>
          <w:kern w:val="24"/>
          <w:szCs w:val="24"/>
          <w:lang w:eastAsia="en-IL"/>
        </w:rPr>
        <w:t xml:space="preserve">. Individual channels of merged image Figure 3B. Epifluorescence microscopic images of infected mammary gland stained using DAPI (A), anti Na-K-ATPase (B), anti CD31 (C), and anti S100a9 (D) antibodies. The alveolar and tubular epithelial system (B; Na-K-ATPase) is enveloped by the honeycomb-like vascular system (C; CD31). All neutrophils are visualized using anti-S100a9 staining (D). Scale bars; 50 µm.   </w:t>
      </w:r>
    </w:p>
    <w:p w14:paraId="11EC8DA1" w14:textId="14925E3E" w:rsidR="00994A3D" w:rsidRDefault="00216671" w:rsidP="003230E1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3C304998" wp14:editId="7DFFC5AF">
            <wp:extent cx="6192051" cy="46358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581" cy="4647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F0B38" w14:textId="2CB2FA05" w:rsidR="00216671" w:rsidRDefault="00216671" w:rsidP="00216671">
      <w:pPr>
        <w:spacing w:before="0" w:after="0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  <w:r w:rsidRPr="00216671">
        <w:rPr>
          <w:rFonts w:ascii="Calibri" w:eastAsia="Times New Roman" w:hAnsi="Calibri" w:cs="Arial"/>
          <w:b/>
          <w:bCs/>
          <w:color w:val="000000"/>
          <w:kern w:val="24"/>
          <w:szCs w:val="24"/>
          <w:lang w:eastAsia="en-IL"/>
        </w:rPr>
        <w:t xml:space="preserve">Supplementary Figure 3. Trafficking of blood neutrophils into the alveolar milk space. </w:t>
      </w:r>
      <w:r w:rsidRPr="00216671">
        <w:rPr>
          <w:rFonts w:ascii="Calibri" w:eastAsia="Times New Roman" w:hAnsi="Calibri" w:cs="Arial"/>
          <w:color w:val="000000"/>
          <w:kern w:val="24"/>
          <w:szCs w:val="24"/>
          <w:lang w:eastAsia="en-IL"/>
        </w:rPr>
        <w:t xml:space="preserve">Mammary tissues from infected glands were stained using phalloidin (white in A-D), DAPI (blue in B-D), and Ly6G (green in A-D). Boxed areas in A and C are enlarged in B and D, respectively. Ly6G-positive neutrophils (green) are visible in capillaries and post capillaries venules (white arrows in A-B), and at various stages of their parenchymal and transepithelial journey (red arrows in C-D) into the alveolar milk space (yellow arrows in A-D). Scale bars; 20 µm (A-C) and 5 µm (D). Representative images from mammary glands 24 hours after IMM challenge with </w:t>
      </w:r>
      <w:r w:rsidRPr="00216671">
        <w:rPr>
          <w:rFonts w:ascii="Calibri" w:eastAsia="Times New Roman" w:hAnsi="Calibri" w:cs="Arial"/>
          <w:i/>
          <w:iCs/>
          <w:color w:val="000000"/>
          <w:kern w:val="24"/>
          <w:szCs w:val="24"/>
          <w:lang w:eastAsia="en-IL"/>
        </w:rPr>
        <w:t>E. coli</w:t>
      </w:r>
      <w:r w:rsidRPr="00216671">
        <w:rPr>
          <w:rFonts w:ascii="Calibri" w:eastAsia="Times New Roman" w:hAnsi="Calibri" w:cs="Arial"/>
          <w:color w:val="000000"/>
          <w:kern w:val="24"/>
          <w:szCs w:val="24"/>
          <w:lang w:eastAsia="en-IL"/>
        </w:rPr>
        <w:t xml:space="preserve"> P4-NR bacteria.</w:t>
      </w:r>
    </w:p>
    <w:p w14:paraId="692E5CBE" w14:textId="33563D88" w:rsidR="00DC3F2C" w:rsidRDefault="00DC3F2C" w:rsidP="00216671">
      <w:pPr>
        <w:spacing w:before="0" w:after="0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p w14:paraId="0E83606D" w14:textId="6116FD27" w:rsidR="00DC3F2C" w:rsidRDefault="00DC3F2C" w:rsidP="00216671">
      <w:pPr>
        <w:spacing w:before="0" w:after="0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p w14:paraId="49FAACEA" w14:textId="30C86E7E" w:rsidR="00DC3F2C" w:rsidRDefault="00DC3F2C" w:rsidP="00216671">
      <w:pPr>
        <w:spacing w:before="0" w:after="0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p w14:paraId="14439751" w14:textId="0010B31B" w:rsidR="00DC3F2C" w:rsidRDefault="00DC3F2C" w:rsidP="00216671">
      <w:pPr>
        <w:spacing w:before="0" w:after="0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p w14:paraId="1BB3BA86" w14:textId="70987B34" w:rsidR="00C42502" w:rsidRDefault="00C42502">
      <w:pPr>
        <w:spacing w:before="0" w:after="200" w:line="276" w:lineRule="auto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  <w:r>
        <w:rPr>
          <w:rFonts w:ascii="Calibri" w:eastAsia="Times New Roman" w:hAnsi="Calibri" w:cs="Arial"/>
          <w:color w:val="000000"/>
          <w:kern w:val="24"/>
          <w:szCs w:val="24"/>
          <w:lang w:eastAsia="en-IL"/>
        </w:rPr>
        <w:br w:type="page"/>
      </w:r>
    </w:p>
    <w:p w14:paraId="409693ED" w14:textId="744358B4" w:rsidR="00C42502" w:rsidRDefault="00C42502">
      <w:pPr>
        <w:spacing w:before="0" w:after="200" w:line="276" w:lineRule="auto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  <w:r>
        <w:rPr>
          <w:rFonts w:ascii="Calibri" w:eastAsia="Times New Roman" w:hAnsi="Calibri" w:cs="Arial"/>
          <w:noProof/>
          <w:color w:val="000000"/>
          <w:kern w:val="24"/>
          <w:szCs w:val="24"/>
          <w:lang w:eastAsia="en-IL"/>
        </w:rPr>
        <w:lastRenderedPageBreak/>
        <w:drawing>
          <wp:anchor distT="0" distB="0" distL="114300" distR="114300" simplePos="0" relativeHeight="251661312" behindDoc="1" locked="0" layoutInCell="1" allowOverlap="1" wp14:anchorId="56D424EA" wp14:editId="56AED8A4">
            <wp:simplePos x="0" y="0"/>
            <wp:positionH relativeFrom="margin">
              <wp:align>right</wp:align>
            </wp:positionH>
            <wp:positionV relativeFrom="paragraph">
              <wp:posOffset>233</wp:posOffset>
            </wp:positionV>
            <wp:extent cx="6177915" cy="6463665"/>
            <wp:effectExtent l="0" t="0" r="0" b="0"/>
            <wp:wrapTight wrapText="bothSides">
              <wp:wrapPolygon edited="0">
                <wp:start x="1265" y="0"/>
                <wp:lineTo x="1199" y="2037"/>
                <wp:lineTo x="333" y="2546"/>
                <wp:lineTo x="333" y="4265"/>
                <wp:lineTo x="1066" y="5093"/>
                <wp:lineTo x="1199" y="9167"/>
                <wp:lineTo x="533" y="9422"/>
                <wp:lineTo x="333" y="9676"/>
                <wp:lineTo x="333" y="10950"/>
                <wp:lineTo x="400" y="11968"/>
                <wp:lineTo x="1199" y="12223"/>
                <wp:lineTo x="1199" y="15279"/>
                <wp:lineTo x="266" y="16297"/>
                <wp:lineTo x="333" y="19671"/>
                <wp:lineTo x="932" y="20371"/>
                <wp:lineTo x="1199" y="20371"/>
                <wp:lineTo x="1199" y="21517"/>
                <wp:lineTo x="1532" y="21517"/>
                <wp:lineTo x="21513" y="21517"/>
                <wp:lineTo x="21513" y="0"/>
                <wp:lineTo x="11523" y="0"/>
                <wp:lineTo x="1265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646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EBA7A" w14:textId="69AA5707" w:rsidR="00C42502" w:rsidRDefault="00C42502">
      <w:pPr>
        <w:spacing w:before="0" w:after="200" w:line="276" w:lineRule="auto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p w14:paraId="1124B5BA" w14:textId="77777777" w:rsidR="00C42502" w:rsidRDefault="00C42502">
      <w:pPr>
        <w:spacing w:before="0" w:after="200" w:line="276" w:lineRule="auto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p w14:paraId="1C35FDD3" w14:textId="77777777" w:rsidR="00C42502" w:rsidRDefault="00C42502">
      <w:pPr>
        <w:spacing w:before="0" w:after="200" w:line="276" w:lineRule="auto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p w14:paraId="52FFF89C" w14:textId="2ADD3ED7" w:rsidR="00C42502" w:rsidRDefault="00C42502">
      <w:pPr>
        <w:spacing w:before="0" w:after="200" w:line="276" w:lineRule="auto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p w14:paraId="5463775E" w14:textId="77777777" w:rsidR="00C42502" w:rsidRDefault="00C42502">
      <w:pPr>
        <w:spacing w:before="0" w:after="200" w:line="276" w:lineRule="auto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p w14:paraId="6EBC2E52" w14:textId="77777777" w:rsidR="00C42502" w:rsidRDefault="00C42502">
      <w:pPr>
        <w:spacing w:before="0" w:after="200" w:line="276" w:lineRule="auto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p w14:paraId="61FAB28B" w14:textId="77777777" w:rsidR="00C42502" w:rsidRDefault="00C42502">
      <w:pPr>
        <w:spacing w:before="0" w:after="200" w:line="276" w:lineRule="auto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p w14:paraId="474FCE14" w14:textId="77777777" w:rsidR="00C42502" w:rsidRDefault="00C42502">
      <w:pPr>
        <w:spacing w:before="0" w:after="200" w:line="276" w:lineRule="auto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p w14:paraId="64855374" w14:textId="77777777" w:rsidR="00C42502" w:rsidRDefault="00C42502" w:rsidP="00C42502">
      <w:pPr>
        <w:pStyle w:val="NormalWeb"/>
        <w:spacing w:before="0" w:beforeAutospacing="0" w:after="0" w:afterAutospacing="0"/>
        <w:rPr>
          <w:lang w:val="en-IL"/>
        </w:rPr>
      </w:pPr>
      <w:r>
        <w:rPr>
          <w:rFonts w:ascii="Calibri" w:eastAsia="+mn-ea" w:hAnsi="Calibri" w:cs="+mn-cs"/>
          <w:b/>
          <w:bCs/>
          <w:color w:val="000000"/>
          <w:kern w:val="24"/>
        </w:rPr>
        <w:t>Supplementary Figure 4.</w:t>
      </w:r>
      <w:r>
        <w:rPr>
          <w:rFonts w:ascii="Calibri" w:eastAsia="+mn-ea" w:hAnsi="Calibri" w:cs="+mn-cs"/>
          <w:color w:val="000000"/>
          <w:kern w:val="24"/>
        </w:rPr>
        <w:t xml:space="preserve"> Representative images of immunofluorescence staining for DAPI (blue), phalloidin (red), myeloperoxidase (green), and citrullinated histone H3 (white) in mouse mammary glands challenged with </w:t>
      </w:r>
      <w:r>
        <w:rPr>
          <w:rFonts w:ascii="Calibri" w:eastAsia="+mn-ea" w:hAnsi="Calibri" w:cs="+mn-cs"/>
          <w:i/>
          <w:iCs/>
          <w:color w:val="000000"/>
          <w:kern w:val="24"/>
        </w:rPr>
        <w:t>E. coli</w:t>
      </w:r>
      <w:r>
        <w:rPr>
          <w:rFonts w:ascii="Calibri" w:eastAsia="+mn-ea" w:hAnsi="Calibri" w:cs="+mn-cs"/>
          <w:color w:val="000000"/>
          <w:kern w:val="24"/>
        </w:rPr>
        <w:t xml:space="preserve"> (top panel), </w:t>
      </w:r>
      <w:r>
        <w:rPr>
          <w:rFonts w:ascii="Calibri" w:eastAsia="+mn-ea" w:hAnsi="Calibri" w:cs="+mn-cs"/>
          <w:i/>
          <w:iCs/>
          <w:color w:val="000000"/>
          <w:kern w:val="24"/>
        </w:rPr>
        <w:t>M. bovis</w:t>
      </w:r>
      <w:r>
        <w:rPr>
          <w:rFonts w:ascii="Calibri" w:eastAsia="+mn-ea" w:hAnsi="Calibri" w:cs="+mn-cs"/>
          <w:color w:val="000000"/>
          <w:kern w:val="24"/>
        </w:rPr>
        <w:t xml:space="preserve"> (middle panel) and Strep. uberis (bottom panel). Scale bars; 20µm (top and bottom panels) and 50µm (middle panel).</w:t>
      </w:r>
    </w:p>
    <w:p w14:paraId="24BB5E85" w14:textId="69A057A9" w:rsidR="00C42502" w:rsidRDefault="00C42502">
      <w:pPr>
        <w:spacing w:before="0" w:after="200" w:line="276" w:lineRule="auto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  <w:r>
        <w:rPr>
          <w:rFonts w:ascii="Calibri" w:eastAsia="Times New Roman" w:hAnsi="Calibri" w:cs="Arial"/>
          <w:color w:val="000000"/>
          <w:kern w:val="24"/>
          <w:szCs w:val="24"/>
          <w:lang w:eastAsia="en-IL"/>
        </w:rPr>
        <w:br w:type="page"/>
      </w:r>
    </w:p>
    <w:p w14:paraId="20DDC9D4" w14:textId="77777777" w:rsidR="00DC3F2C" w:rsidRDefault="00DC3F2C" w:rsidP="00216671">
      <w:pPr>
        <w:spacing w:before="0" w:after="0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p w14:paraId="0BA73DFF" w14:textId="2A021BA8" w:rsidR="00DC3F2C" w:rsidRDefault="00DC3F2C" w:rsidP="00216671">
      <w:pPr>
        <w:spacing w:before="0" w:after="0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p w14:paraId="2DEBC277" w14:textId="48901F2E" w:rsidR="00DC3F2C" w:rsidRDefault="00DC3F2C" w:rsidP="00216671">
      <w:pPr>
        <w:spacing w:before="0" w:after="0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p w14:paraId="5C08FA48" w14:textId="5F767C70" w:rsidR="00DC3F2C" w:rsidRDefault="00DC3F2C" w:rsidP="00216671">
      <w:pPr>
        <w:spacing w:before="0" w:after="0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p w14:paraId="5F90BE2F" w14:textId="4EDD07AF" w:rsidR="00DC3F2C" w:rsidRDefault="00DC3F2C" w:rsidP="00216671">
      <w:pPr>
        <w:spacing w:before="0" w:after="0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p w14:paraId="107CB306" w14:textId="1AEC969E" w:rsidR="00DC3F2C" w:rsidRDefault="00DC3F2C" w:rsidP="00216671">
      <w:pPr>
        <w:spacing w:before="0" w:after="0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p w14:paraId="015AF009" w14:textId="18B74B6F" w:rsidR="00DC3F2C" w:rsidRDefault="00DC3F2C" w:rsidP="00216671">
      <w:pPr>
        <w:spacing w:before="0" w:after="0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p w14:paraId="4AD5A3B6" w14:textId="00F65FEA" w:rsidR="00DC3F2C" w:rsidRDefault="00DC3F2C" w:rsidP="00216671">
      <w:pPr>
        <w:spacing w:before="0" w:after="0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p w14:paraId="06CA4743" w14:textId="52259157" w:rsidR="00DC3F2C" w:rsidRDefault="00DC3F2C" w:rsidP="00216671">
      <w:pPr>
        <w:spacing w:before="0" w:after="0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7D84D402" wp14:editId="0645A18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91885" cy="4676140"/>
            <wp:effectExtent l="0" t="0" r="0" b="0"/>
            <wp:wrapTight wrapText="bothSides">
              <wp:wrapPolygon edited="0">
                <wp:start x="0" y="0"/>
                <wp:lineTo x="0" y="21471"/>
                <wp:lineTo x="10965" y="21471"/>
                <wp:lineTo x="21531" y="21295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7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F8C0F" w14:textId="3C888A77" w:rsidR="00DC3F2C" w:rsidRPr="00DC3F2C" w:rsidRDefault="00DC3F2C" w:rsidP="00DC3F2C">
      <w:pPr>
        <w:spacing w:before="0" w:after="0"/>
        <w:rPr>
          <w:rFonts w:eastAsia="Times New Roman" w:cs="Times New Roman"/>
          <w:szCs w:val="24"/>
          <w:lang w:val="en-IL" w:eastAsia="en-IL"/>
        </w:rPr>
      </w:pPr>
      <w:r w:rsidRPr="00DC3F2C">
        <w:rPr>
          <w:rFonts w:ascii="Calibri" w:eastAsia="+mn-ea" w:hAnsi="Calibri" w:cs="+mn-cs"/>
          <w:b/>
          <w:bCs/>
          <w:color w:val="000000"/>
          <w:kern w:val="24"/>
          <w:szCs w:val="24"/>
          <w:lang w:eastAsia="en-IL"/>
        </w:rPr>
        <w:t xml:space="preserve">Supplementary Figure </w:t>
      </w:r>
      <w:r w:rsidR="00C42502">
        <w:rPr>
          <w:rFonts w:ascii="Calibri" w:eastAsia="+mn-ea" w:hAnsi="Calibri" w:cs="+mn-cs"/>
          <w:b/>
          <w:bCs/>
          <w:color w:val="000000"/>
          <w:kern w:val="24"/>
          <w:szCs w:val="24"/>
          <w:lang w:eastAsia="en-IL"/>
        </w:rPr>
        <w:t>5</w:t>
      </w:r>
      <w:r w:rsidRPr="00DC3F2C">
        <w:rPr>
          <w:rFonts w:ascii="Calibri" w:eastAsia="+mn-ea" w:hAnsi="Calibri" w:cs="+mn-cs"/>
          <w:b/>
          <w:bCs/>
          <w:color w:val="000000"/>
          <w:kern w:val="24"/>
          <w:szCs w:val="24"/>
          <w:lang w:eastAsia="en-IL"/>
        </w:rPr>
        <w:t xml:space="preserve">. Expression of ICAM-1 in blood vessels of infected glands. </w:t>
      </w:r>
      <w:r w:rsidRPr="00DC3F2C">
        <w:rPr>
          <w:rFonts w:ascii="Calibri" w:eastAsia="+mn-ea" w:hAnsi="Calibri" w:cs="+mn-cs"/>
          <w:color w:val="000000"/>
          <w:kern w:val="24"/>
          <w:szCs w:val="24"/>
          <w:lang w:eastAsia="en-IL"/>
        </w:rPr>
        <w:t>Mammary tissues from infected glands were stained using DAPI (blue in A</w:t>
      </w:r>
      <w:r>
        <w:rPr>
          <w:rFonts w:ascii="Calibri" w:eastAsia="+mn-ea" w:hAnsi="Calibri" w:cs="+mn-cs"/>
          <w:color w:val="000000"/>
          <w:kern w:val="24"/>
          <w:szCs w:val="24"/>
          <w:lang w:eastAsia="en-IL"/>
        </w:rPr>
        <w:t xml:space="preserve"> and </w:t>
      </w:r>
      <w:r w:rsidRPr="00DC3F2C">
        <w:rPr>
          <w:rFonts w:ascii="Calibri" w:eastAsia="+mn-ea" w:hAnsi="Calibri" w:cs="+mn-cs"/>
          <w:color w:val="000000"/>
          <w:kern w:val="24"/>
          <w:szCs w:val="24"/>
          <w:lang w:eastAsia="en-IL"/>
        </w:rPr>
        <w:t>D), phalloidin (red in B</w:t>
      </w:r>
      <w:r>
        <w:rPr>
          <w:rFonts w:ascii="Calibri" w:eastAsia="+mn-ea" w:hAnsi="Calibri" w:cs="+mn-cs"/>
          <w:color w:val="000000"/>
          <w:kern w:val="24"/>
          <w:szCs w:val="24"/>
          <w:lang w:eastAsia="en-IL"/>
        </w:rPr>
        <w:t xml:space="preserve"> and </w:t>
      </w:r>
      <w:r w:rsidRPr="00DC3F2C">
        <w:rPr>
          <w:rFonts w:ascii="Calibri" w:eastAsia="+mn-ea" w:hAnsi="Calibri" w:cs="+mn-cs"/>
          <w:color w:val="000000"/>
          <w:kern w:val="24"/>
          <w:szCs w:val="24"/>
          <w:lang w:eastAsia="en-IL"/>
        </w:rPr>
        <w:t>D), and anti-ICAM-1 antibodies (white in C</w:t>
      </w:r>
      <w:r w:rsidR="00153144">
        <w:rPr>
          <w:rFonts w:ascii="Calibri" w:eastAsia="+mn-ea" w:hAnsi="Calibri" w:cs="+mn-cs"/>
          <w:color w:val="000000"/>
          <w:kern w:val="24"/>
          <w:szCs w:val="24"/>
          <w:lang w:eastAsia="en-IL"/>
        </w:rPr>
        <w:t xml:space="preserve"> and </w:t>
      </w:r>
      <w:r w:rsidRPr="00DC3F2C">
        <w:rPr>
          <w:rFonts w:ascii="Calibri" w:eastAsia="+mn-ea" w:hAnsi="Calibri" w:cs="+mn-cs"/>
          <w:color w:val="000000"/>
          <w:kern w:val="24"/>
          <w:szCs w:val="24"/>
          <w:lang w:eastAsia="en-IL"/>
        </w:rPr>
        <w:t xml:space="preserve">D). Numerous neutrophils are visible in the alveolar space (white asterisks in </w:t>
      </w:r>
      <w:bookmarkStart w:id="1" w:name="_GoBack"/>
      <w:bookmarkEnd w:id="1"/>
      <w:r w:rsidRPr="00DC3F2C">
        <w:rPr>
          <w:rFonts w:ascii="Calibri" w:eastAsia="+mn-ea" w:hAnsi="Calibri" w:cs="+mn-cs"/>
          <w:color w:val="000000"/>
          <w:kern w:val="24"/>
          <w:szCs w:val="24"/>
          <w:lang w:eastAsia="en-IL"/>
        </w:rPr>
        <w:t>A</w:t>
      </w:r>
      <w:r>
        <w:rPr>
          <w:rFonts w:ascii="Calibri" w:eastAsia="+mn-ea" w:hAnsi="Calibri" w:cs="+mn-cs"/>
          <w:color w:val="000000"/>
          <w:kern w:val="24"/>
          <w:szCs w:val="24"/>
          <w:lang w:eastAsia="en-IL"/>
        </w:rPr>
        <w:t xml:space="preserve"> and </w:t>
      </w:r>
      <w:r w:rsidRPr="00DC3F2C">
        <w:rPr>
          <w:rFonts w:ascii="Calibri" w:eastAsia="+mn-ea" w:hAnsi="Calibri" w:cs="+mn-cs"/>
          <w:color w:val="000000"/>
          <w:kern w:val="24"/>
          <w:szCs w:val="24"/>
          <w:lang w:eastAsia="en-IL"/>
        </w:rPr>
        <w:t>D). Leger blood vessels are intensely stained for phalloidin and ICAM-1 (yellow arrows in B</w:t>
      </w:r>
      <w:r>
        <w:rPr>
          <w:rFonts w:ascii="Calibri" w:eastAsia="+mn-ea" w:hAnsi="Calibri" w:cs="+mn-cs"/>
          <w:color w:val="000000"/>
          <w:kern w:val="24"/>
          <w:szCs w:val="24"/>
          <w:lang w:eastAsia="en-IL"/>
        </w:rPr>
        <w:t xml:space="preserve"> and </w:t>
      </w:r>
      <w:r w:rsidRPr="00DC3F2C">
        <w:rPr>
          <w:rFonts w:ascii="Calibri" w:eastAsia="+mn-ea" w:hAnsi="Calibri" w:cs="+mn-cs"/>
          <w:color w:val="000000"/>
          <w:kern w:val="24"/>
          <w:szCs w:val="24"/>
          <w:lang w:eastAsia="en-IL"/>
        </w:rPr>
        <w:t xml:space="preserve">C). High expression of ICAM-1 in smaller perialveolar blood vessels in also visible (white arrows in C). Scale bars; 50 µm. </w:t>
      </w:r>
      <w:bookmarkStart w:id="2" w:name="_Hlk121689951"/>
      <w:r w:rsidRPr="00DC3F2C">
        <w:rPr>
          <w:rFonts w:ascii="Calibri" w:eastAsia="+mn-ea" w:hAnsi="Calibri" w:cs="+mn-cs"/>
          <w:color w:val="000000"/>
          <w:kern w:val="24"/>
          <w:szCs w:val="24"/>
          <w:lang w:eastAsia="en-IL"/>
        </w:rPr>
        <w:t xml:space="preserve">Representative images from mammary glands 24 hours after IMM challenge with </w:t>
      </w:r>
      <w:r w:rsidRPr="00DC3F2C">
        <w:rPr>
          <w:rFonts w:ascii="Calibri" w:eastAsia="+mn-ea" w:hAnsi="Calibri" w:cs="+mn-cs"/>
          <w:i/>
          <w:iCs/>
          <w:color w:val="000000"/>
          <w:kern w:val="24"/>
          <w:szCs w:val="24"/>
          <w:lang w:eastAsia="en-IL"/>
        </w:rPr>
        <w:t xml:space="preserve">E. coli </w:t>
      </w:r>
      <w:r w:rsidRPr="00DC3F2C">
        <w:rPr>
          <w:rFonts w:ascii="Calibri" w:eastAsia="+mn-ea" w:hAnsi="Calibri" w:cs="+mn-cs"/>
          <w:color w:val="000000"/>
          <w:kern w:val="24"/>
          <w:szCs w:val="24"/>
          <w:lang w:eastAsia="en-IL"/>
        </w:rPr>
        <w:t>P4-NR bacteria.</w:t>
      </w:r>
      <w:bookmarkEnd w:id="2"/>
    </w:p>
    <w:p w14:paraId="67118727" w14:textId="600AD680" w:rsidR="00DC3F2C" w:rsidRDefault="00DC3F2C" w:rsidP="00216671">
      <w:pPr>
        <w:spacing w:before="0" w:after="0"/>
        <w:rPr>
          <w:rFonts w:ascii="Calibri" w:eastAsia="Times New Roman" w:hAnsi="Calibri" w:cs="Arial"/>
          <w:color w:val="000000"/>
          <w:kern w:val="24"/>
          <w:szCs w:val="24"/>
          <w:lang w:eastAsia="en-IL"/>
        </w:rPr>
      </w:pPr>
    </w:p>
    <w:sectPr w:rsidR="00DC3F2C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F5592" w14:textId="77777777" w:rsidR="008210B5" w:rsidRDefault="008210B5" w:rsidP="00117666">
      <w:pPr>
        <w:spacing w:after="0"/>
      </w:pPr>
      <w:r>
        <w:separator/>
      </w:r>
    </w:p>
  </w:endnote>
  <w:endnote w:type="continuationSeparator" w:id="0">
    <w:p w14:paraId="514D8AA5" w14:textId="77777777" w:rsidR="008210B5" w:rsidRDefault="008210B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DC28AA" w14:textId="77777777" w:rsidR="008210B5" w:rsidRDefault="008210B5" w:rsidP="00117666">
      <w:pPr>
        <w:spacing w:after="0"/>
      </w:pPr>
      <w:r>
        <w:separator/>
      </w:r>
    </w:p>
  </w:footnote>
  <w:footnote w:type="continuationSeparator" w:id="0">
    <w:p w14:paraId="0902B09A" w14:textId="77777777" w:rsidR="008210B5" w:rsidRDefault="008210B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3144"/>
    <w:rsid w:val="001549D3"/>
    <w:rsid w:val="00160065"/>
    <w:rsid w:val="00177D84"/>
    <w:rsid w:val="00216671"/>
    <w:rsid w:val="00267D18"/>
    <w:rsid w:val="002868E2"/>
    <w:rsid w:val="002869C3"/>
    <w:rsid w:val="002936E4"/>
    <w:rsid w:val="002B4A57"/>
    <w:rsid w:val="002C74CA"/>
    <w:rsid w:val="003230E1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266A0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A28BB"/>
    <w:rsid w:val="007B6193"/>
    <w:rsid w:val="007C206C"/>
    <w:rsid w:val="00803D24"/>
    <w:rsid w:val="00817DD6"/>
    <w:rsid w:val="008210B5"/>
    <w:rsid w:val="00866451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C42502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C3F2C"/>
    <w:rsid w:val="00DE23E8"/>
    <w:rsid w:val="00E52377"/>
    <w:rsid w:val="00E64E17"/>
    <w:rsid w:val="00E866C9"/>
    <w:rsid w:val="00EA3D3C"/>
    <w:rsid w:val="00F46900"/>
    <w:rsid w:val="00F61D89"/>
    <w:rsid w:val="00F63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hyperlink" Target="mailto:nahum.shpigel@mail.huji.ac.i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AABF88B6-A7AB-45AA-A2B0-A7271A025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5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shpigeln</cp:lastModifiedBy>
  <cp:revision>2</cp:revision>
  <cp:lastPrinted>2013-10-03T12:51:00Z</cp:lastPrinted>
  <dcterms:created xsi:type="dcterms:W3CDTF">2023-02-03T20:32:00Z</dcterms:created>
  <dcterms:modified xsi:type="dcterms:W3CDTF">2023-02-03T20:32:00Z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