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462E" w14:textId="77777777" w:rsidR="00EE025F" w:rsidRDefault="007F22E7" w:rsidP="007F22E7">
      <w:pPr>
        <w:spacing w:after="0" w:line="480" w:lineRule="auto"/>
        <w:rPr>
          <w:rStyle w:val="SubtleEmphasis"/>
          <w:rFonts w:ascii="Arial" w:hAnsi="Arial" w:cs="Arial"/>
        </w:rPr>
      </w:pPr>
      <w:r w:rsidRPr="004137BC">
        <w:rPr>
          <w:rStyle w:val="SubtleEmphasis"/>
          <w:rFonts w:ascii="Arial" w:hAnsi="Arial" w:cs="Arial"/>
        </w:rPr>
        <w:t xml:space="preserve">Supplementary experiment: </w:t>
      </w:r>
    </w:p>
    <w:p w14:paraId="54B745B6" w14:textId="24822403" w:rsidR="007F22E7" w:rsidRPr="004137BC" w:rsidRDefault="007F22E7" w:rsidP="007F22E7">
      <w:pPr>
        <w:spacing w:after="0" w:line="480" w:lineRule="auto"/>
        <w:rPr>
          <w:rStyle w:val="SubtleEmphasis"/>
          <w:rFonts w:ascii="Arial" w:hAnsi="Arial" w:cs="Arial"/>
        </w:rPr>
      </w:pPr>
      <w:r w:rsidRPr="004137BC">
        <w:rPr>
          <w:rStyle w:val="SubtleEmphasis"/>
          <w:rFonts w:ascii="Arial" w:hAnsi="Arial" w:cs="Arial"/>
        </w:rPr>
        <w:t>Testing of semi-nested PCR approach to prevent host contamination of ITS reads.</w:t>
      </w:r>
    </w:p>
    <w:p w14:paraId="604A3A34" w14:textId="3E7008D9" w:rsidR="00CC4E0E" w:rsidRPr="004137BC" w:rsidRDefault="00CC4E0E" w:rsidP="00CC4E0E">
      <w:pPr>
        <w:spacing w:after="0" w:line="480" w:lineRule="auto"/>
        <w:contextualSpacing/>
        <w:rPr>
          <w:rFonts w:ascii="Arial" w:eastAsia="Times New Roman" w:hAnsi="Arial" w:cs="Arial"/>
          <w:sz w:val="28"/>
          <w:lang w:eastAsia="en-AU"/>
        </w:rPr>
      </w:pPr>
      <w:r w:rsidRPr="004137BC">
        <w:rPr>
          <w:rFonts w:ascii="Arial" w:eastAsia="Times New Roman" w:hAnsi="Arial" w:cs="Arial"/>
          <w:b/>
          <w:bCs/>
          <w:sz w:val="28"/>
          <w:lang w:eastAsia="en-AU"/>
        </w:rPr>
        <w:t>The Core Fungal Microbiome of Banana Plants (</w:t>
      </w:r>
      <w:r w:rsidRPr="004137BC">
        <w:rPr>
          <w:rFonts w:ascii="Arial" w:eastAsia="Times New Roman" w:hAnsi="Arial" w:cs="Arial"/>
          <w:b/>
          <w:bCs/>
          <w:i/>
          <w:sz w:val="28"/>
          <w:lang w:eastAsia="en-AU"/>
        </w:rPr>
        <w:t>Musa</w:t>
      </w:r>
      <w:r w:rsidRPr="004137BC">
        <w:rPr>
          <w:rFonts w:ascii="Arial" w:eastAsia="Times New Roman" w:hAnsi="Arial" w:cs="Arial"/>
          <w:b/>
          <w:bCs/>
          <w:sz w:val="28"/>
          <w:lang w:eastAsia="en-AU"/>
        </w:rPr>
        <w:t xml:space="preserve"> spp.)</w:t>
      </w:r>
    </w:p>
    <w:p w14:paraId="3954C2C4" w14:textId="77777777" w:rsidR="007F22E7" w:rsidRPr="004137BC" w:rsidRDefault="007F22E7" w:rsidP="007F22E7">
      <w:pPr>
        <w:spacing w:after="0" w:line="480" w:lineRule="auto"/>
        <w:rPr>
          <w:rFonts w:ascii="Arial" w:eastAsia="Times New Roman" w:hAnsi="Arial" w:cs="Arial"/>
          <w:lang w:eastAsia="en-AU"/>
        </w:rPr>
      </w:pPr>
    </w:p>
    <w:p w14:paraId="03C09AC5" w14:textId="77777777" w:rsidR="007F22E7" w:rsidRPr="004137BC" w:rsidRDefault="007F22E7" w:rsidP="007F22E7">
      <w:pPr>
        <w:spacing w:after="0" w:line="480" w:lineRule="auto"/>
        <w:rPr>
          <w:rFonts w:ascii="Arial" w:eastAsia="Times New Roman" w:hAnsi="Arial" w:cs="Arial"/>
          <w:vertAlign w:val="superscript"/>
          <w:lang w:eastAsia="en-AU"/>
        </w:rPr>
      </w:pPr>
      <w:r w:rsidRPr="004137BC">
        <w:rPr>
          <w:rFonts w:ascii="Arial" w:eastAsia="Times New Roman" w:hAnsi="Arial" w:cs="Arial"/>
          <w:lang w:eastAsia="en-AU"/>
        </w:rPr>
        <w:t>Henry W. G. Birt</w:t>
      </w:r>
      <w:r w:rsidRPr="004137BC">
        <w:rPr>
          <w:rFonts w:ascii="Arial" w:eastAsia="Times New Roman" w:hAnsi="Arial" w:cs="Arial"/>
          <w:vertAlign w:val="superscript"/>
          <w:lang w:eastAsia="en-AU"/>
        </w:rPr>
        <w:t>1</w:t>
      </w:r>
      <w:r w:rsidRPr="004137BC">
        <w:rPr>
          <w:rFonts w:ascii="Arial" w:eastAsia="Times New Roman" w:hAnsi="Arial" w:cs="Arial"/>
          <w:lang w:eastAsia="en-AU"/>
        </w:rPr>
        <w:t>, Anthony B. Pattison</w:t>
      </w:r>
      <w:r w:rsidRPr="004137BC">
        <w:rPr>
          <w:rFonts w:ascii="Arial" w:eastAsia="Times New Roman" w:hAnsi="Arial" w:cs="Arial"/>
          <w:vertAlign w:val="superscript"/>
          <w:lang w:eastAsia="en-AU"/>
        </w:rPr>
        <w:t>2</w:t>
      </w:r>
      <w:r w:rsidRPr="004137BC">
        <w:rPr>
          <w:rFonts w:ascii="Arial" w:eastAsia="Times New Roman" w:hAnsi="Arial" w:cs="Arial"/>
          <w:lang w:eastAsia="en-AU"/>
        </w:rPr>
        <w:t>, Adam Skarshewski</w:t>
      </w:r>
      <w:r w:rsidRPr="004137BC">
        <w:rPr>
          <w:rFonts w:ascii="Arial" w:eastAsia="Times New Roman" w:hAnsi="Arial" w:cs="Arial"/>
          <w:vertAlign w:val="superscript"/>
          <w:lang w:eastAsia="en-AU"/>
        </w:rPr>
        <w:t>1</w:t>
      </w:r>
      <w:r w:rsidRPr="004137BC">
        <w:rPr>
          <w:rFonts w:ascii="Arial" w:eastAsia="Times New Roman" w:hAnsi="Arial" w:cs="Arial"/>
          <w:lang w:eastAsia="en-AU"/>
        </w:rPr>
        <w:t>, Jeff Daniells</w:t>
      </w:r>
      <w:r w:rsidRPr="004137BC">
        <w:rPr>
          <w:rFonts w:ascii="Arial" w:eastAsia="Times New Roman" w:hAnsi="Arial" w:cs="Arial"/>
          <w:vertAlign w:val="superscript"/>
          <w:lang w:eastAsia="en-AU"/>
        </w:rPr>
        <w:t>2</w:t>
      </w:r>
      <w:r w:rsidRPr="004137BC">
        <w:rPr>
          <w:rFonts w:ascii="Arial" w:eastAsia="Times New Roman" w:hAnsi="Arial" w:cs="Arial"/>
          <w:lang w:eastAsia="en-AU"/>
        </w:rPr>
        <w:t>, Anil Raghavendra</w:t>
      </w:r>
      <w:r w:rsidRPr="004137BC">
        <w:rPr>
          <w:rFonts w:ascii="Arial" w:eastAsia="Times New Roman" w:hAnsi="Arial" w:cs="Arial"/>
          <w:vertAlign w:val="superscript"/>
          <w:lang w:eastAsia="en-AU"/>
        </w:rPr>
        <w:t>1</w:t>
      </w:r>
      <w:r w:rsidRPr="004137BC">
        <w:rPr>
          <w:rFonts w:ascii="Arial" w:eastAsia="Times New Roman" w:hAnsi="Arial" w:cs="Arial"/>
          <w:lang w:eastAsia="en-AU"/>
        </w:rPr>
        <w:t>, Paul G. Dennis</w:t>
      </w:r>
      <w:r w:rsidRPr="004137BC">
        <w:rPr>
          <w:rFonts w:ascii="Arial" w:eastAsia="Times New Roman" w:hAnsi="Arial" w:cs="Arial"/>
          <w:vertAlign w:val="superscript"/>
          <w:lang w:eastAsia="en-AU"/>
        </w:rPr>
        <w:t xml:space="preserve">1* </w:t>
      </w:r>
    </w:p>
    <w:p w14:paraId="0EFE2893" w14:textId="77777777" w:rsidR="007F22E7" w:rsidRPr="004137BC" w:rsidRDefault="007F22E7" w:rsidP="007F22E7">
      <w:pPr>
        <w:spacing w:after="0" w:line="480" w:lineRule="auto"/>
        <w:rPr>
          <w:rFonts w:ascii="Arial" w:eastAsia="Times New Roman" w:hAnsi="Arial" w:cs="Arial"/>
          <w:lang w:eastAsia="en-AU"/>
        </w:rPr>
      </w:pPr>
      <w:r w:rsidRPr="004137BC">
        <w:rPr>
          <w:rFonts w:ascii="Arial" w:eastAsia="Times New Roman" w:hAnsi="Arial" w:cs="Arial"/>
          <w:lang w:eastAsia="en-AU"/>
        </w:rPr>
        <w:t xml:space="preserve"> </w:t>
      </w:r>
    </w:p>
    <w:p w14:paraId="5E4CD11E" w14:textId="3A83AB7B" w:rsidR="007F22E7" w:rsidRPr="004137BC" w:rsidRDefault="007F22E7" w:rsidP="007F22E7">
      <w:pPr>
        <w:spacing w:after="0" w:line="480" w:lineRule="auto"/>
        <w:jc w:val="both"/>
        <w:rPr>
          <w:rFonts w:ascii="Arial" w:hAnsi="Arial" w:cs="Arial"/>
          <w:b/>
        </w:rPr>
      </w:pPr>
      <w:r w:rsidRPr="004137BC">
        <w:rPr>
          <w:rFonts w:ascii="Arial" w:eastAsia="Times New Roman" w:hAnsi="Arial" w:cs="Arial"/>
          <w:vertAlign w:val="superscript"/>
          <w:lang w:eastAsia="en-AU"/>
        </w:rPr>
        <w:t>1</w:t>
      </w:r>
      <w:r w:rsidRPr="004137BC">
        <w:rPr>
          <w:rFonts w:ascii="Arial" w:eastAsia="Times New Roman" w:hAnsi="Arial" w:cs="Arial"/>
          <w:i/>
          <w:lang w:eastAsia="en-AU"/>
        </w:rPr>
        <w:t xml:space="preserve">School of Earth and Environmental Sciences, The University of Queensland, Brisbane, QLD 4072, Australia; </w:t>
      </w:r>
      <w:r w:rsidRPr="004137BC">
        <w:rPr>
          <w:rFonts w:ascii="Arial" w:eastAsia="Times New Roman" w:hAnsi="Arial" w:cs="Arial"/>
          <w:vertAlign w:val="superscript"/>
          <w:lang w:eastAsia="en-AU"/>
        </w:rPr>
        <w:t>2</w:t>
      </w:r>
      <w:r w:rsidRPr="004137BC">
        <w:rPr>
          <w:rFonts w:ascii="Arial" w:eastAsia="Times New Roman" w:hAnsi="Arial" w:cs="Arial"/>
          <w:i/>
          <w:lang w:eastAsia="en-AU"/>
        </w:rPr>
        <w:t>Department of Agriculture and Fisheries, Centre for Wet Tropics Agriculture, 24 Experimental Station Road, South Johnstone, QLD 4859, Australia</w:t>
      </w:r>
      <w:r w:rsidR="00EE025F">
        <w:rPr>
          <w:rFonts w:ascii="Arial" w:eastAsia="Times New Roman" w:hAnsi="Arial" w:cs="Arial"/>
          <w:i/>
          <w:lang w:eastAsia="en-AU"/>
        </w:rPr>
        <w:t xml:space="preserve">. </w:t>
      </w:r>
      <w:r w:rsidRPr="004137BC">
        <w:rPr>
          <w:rFonts w:ascii="Arial" w:eastAsia="Times New Roman" w:hAnsi="Arial" w:cs="Arial"/>
          <w:lang w:eastAsia="en-AU"/>
        </w:rPr>
        <w:t>*Correspondence: p.dennis@uq.edu.au</w:t>
      </w:r>
      <w:r w:rsidRPr="004137BC">
        <w:rPr>
          <w:rFonts w:ascii="Arial" w:hAnsi="Arial" w:cs="Arial"/>
          <w:b/>
        </w:rPr>
        <w:br w:type="page"/>
      </w:r>
    </w:p>
    <w:p w14:paraId="43FF5420" w14:textId="77777777" w:rsidR="006C2DBB" w:rsidRPr="004137BC" w:rsidRDefault="007F22E7" w:rsidP="007F22E7">
      <w:pPr>
        <w:spacing w:line="480" w:lineRule="auto"/>
        <w:rPr>
          <w:rFonts w:ascii="Arial" w:hAnsi="Arial" w:cs="Arial"/>
          <w:b/>
        </w:rPr>
      </w:pPr>
      <w:r w:rsidRPr="004137BC">
        <w:rPr>
          <w:rFonts w:ascii="Arial" w:hAnsi="Arial" w:cs="Arial"/>
          <w:b/>
        </w:rPr>
        <w:lastRenderedPageBreak/>
        <w:t>Background</w:t>
      </w:r>
    </w:p>
    <w:p w14:paraId="354B1C81" w14:textId="04A87AF6" w:rsidR="007F22E7" w:rsidRDefault="00D120F9" w:rsidP="007F22E7">
      <w:pPr>
        <w:spacing w:line="480" w:lineRule="auto"/>
        <w:rPr>
          <w:rFonts w:ascii="Arial" w:hAnsi="Arial" w:cs="Arial"/>
        </w:rPr>
      </w:pPr>
      <w:r w:rsidRPr="004137BC">
        <w:rPr>
          <w:rFonts w:ascii="Arial" w:hAnsi="Arial" w:cs="Arial"/>
        </w:rPr>
        <w:t>T</w:t>
      </w:r>
      <w:r w:rsidR="007F22E7" w:rsidRPr="004137BC">
        <w:rPr>
          <w:rFonts w:ascii="Arial" w:hAnsi="Arial" w:cs="Arial"/>
        </w:rPr>
        <w:t xml:space="preserve">o </w:t>
      </w:r>
      <w:r w:rsidR="008576D8">
        <w:rPr>
          <w:rFonts w:ascii="Arial" w:hAnsi="Arial" w:cs="Arial"/>
        </w:rPr>
        <w:t>profile</w:t>
      </w:r>
      <w:r w:rsidR="007F22E7" w:rsidRPr="004137BC">
        <w:rPr>
          <w:rFonts w:ascii="Arial" w:hAnsi="Arial" w:cs="Arial"/>
        </w:rPr>
        <w:t xml:space="preserve"> fungal communities, the ITS regions of r</w:t>
      </w:r>
      <w:r w:rsidR="008576D8">
        <w:rPr>
          <w:rFonts w:ascii="Arial" w:hAnsi="Arial" w:cs="Arial"/>
        </w:rPr>
        <w:t>RNA operons</w:t>
      </w:r>
      <w:r w:rsidR="007F22E7" w:rsidRPr="004137BC">
        <w:rPr>
          <w:rFonts w:ascii="Arial" w:hAnsi="Arial" w:cs="Arial"/>
        </w:rPr>
        <w:t xml:space="preserve"> are often amplified via </w:t>
      </w:r>
      <w:r w:rsidR="008576D8">
        <w:rPr>
          <w:rFonts w:ascii="Arial" w:hAnsi="Arial" w:cs="Arial"/>
        </w:rPr>
        <w:t>polymerase chain reaction (</w:t>
      </w:r>
      <w:r w:rsidR="007F22E7" w:rsidRPr="004137BC">
        <w:rPr>
          <w:rFonts w:ascii="Arial" w:hAnsi="Arial" w:cs="Arial"/>
        </w:rPr>
        <w:t>PCR</w:t>
      </w:r>
      <w:r w:rsidR="008576D8">
        <w:rPr>
          <w:rFonts w:ascii="Arial" w:hAnsi="Arial" w:cs="Arial"/>
        </w:rPr>
        <w:t>)</w:t>
      </w:r>
      <w:r w:rsidR="007F22E7" w:rsidRPr="004137BC">
        <w:rPr>
          <w:rFonts w:ascii="Arial" w:hAnsi="Arial" w:cs="Arial"/>
        </w:rPr>
        <w:t xml:space="preserve">, </w:t>
      </w:r>
      <w:proofErr w:type="gramStart"/>
      <w:r w:rsidR="007F22E7" w:rsidRPr="004137BC">
        <w:rPr>
          <w:rFonts w:ascii="Arial" w:hAnsi="Arial" w:cs="Arial"/>
        </w:rPr>
        <w:t>sequenced</w:t>
      </w:r>
      <w:proofErr w:type="gramEnd"/>
      <w:r w:rsidR="007F22E7" w:rsidRPr="004137BC">
        <w:rPr>
          <w:rFonts w:ascii="Arial" w:hAnsi="Arial" w:cs="Arial"/>
        </w:rPr>
        <w:t xml:space="preserve"> and compared to a reference database. </w:t>
      </w:r>
      <w:r w:rsidR="005A6BD1">
        <w:rPr>
          <w:rFonts w:ascii="Arial" w:hAnsi="Arial" w:cs="Arial"/>
        </w:rPr>
        <w:t xml:space="preserve">For host-associated fungal communities it is </w:t>
      </w:r>
      <w:r w:rsidR="00325272">
        <w:rPr>
          <w:rFonts w:ascii="Arial" w:hAnsi="Arial" w:cs="Arial"/>
        </w:rPr>
        <w:t xml:space="preserve">important to consider whether the PCR primers </w:t>
      </w:r>
      <w:r w:rsidR="007B077D">
        <w:rPr>
          <w:rFonts w:ascii="Arial" w:hAnsi="Arial" w:cs="Arial"/>
        </w:rPr>
        <w:t xml:space="preserve">used to characterise fungi </w:t>
      </w:r>
      <w:r w:rsidR="00325272">
        <w:rPr>
          <w:rFonts w:ascii="Arial" w:hAnsi="Arial" w:cs="Arial"/>
        </w:rPr>
        <w:t xml:space="preserve">are likely to also amplify host DNA. </w:t>
      </w:r>
      <w:r w:rsidR="00DF5409">
        <w:rPr>
          <w:rFonts w:ascii="Arial" w:hAnsi="Arial" w:cs="Arial"/>
        </w:rPr>
        <w:t xml:space="preserve">To profile fungal communities, we typically use </w:t>
      </w:r>
      <w:r w:rsidR="001A65B5">
        <w:rPr>
          <w:rFonts w:ascii="Arial" w:hAnsi="Arial" w:cs="Arial"/>
        </w:rPr>
        <w:t xml:space="preserve">primers gITS7 </w:t>
      </w:r>
      <w:r w:rsidR="003F6F88" w:rsidRPr="003F6F88">
        <w:rPr>
          <w:rFonts w:ascii="Arial" w:hAnsi="Arial" w:cs="Arial"/>
        </w:rPr>
        <w:fldChar w:fldCharType="begin" w:fldLock="1"/>
      </w:r>
      <w:r w:rsidR="003F6F88" w:rsidRPr="003F6F88">
        <w:rPr>
          <w:rFonts w:ascii="Arial" w:hAnsi="Arial" w:cs="Arial"/>
        </w:rPr>
        <w:instrText>ADDIN CSL_CITATION {"citationItems":[{"id":"ITEM-1","itemData":{"ISSN":"0168-6496","author":[{"dropping-particle":"","family":"Ihrmark","given":"Katarina","non-dropping-particle":"","parse-names":false,"suffix":""},{"dropping-particle":"","family":"Bödeker","given":"Inga","non-dropping-particle":"","parse-names":false,"suffix":""},{"dropping-particle":"","family":"Cruz-Martinez","given":"Karelyn","non-dropping-particle":"","parse-names":false,"suffix":""},{"dropping-particle":"","family":"Friberg","given":"Hanna","non-dropping-particle":"","parse-names":false,"suffix":""},{"dropping-particle":"","family":"Kubartova","given":"Ariana","non-dropping-particle":"","parse-names":false,"suffix":""},{"dropping-particle":"","family":"Schenck","given":"Jessica","non-dropping-particle":"","parse-names":false,"suffix":""},{"dropping-particle":"","family":"Strid","given":"Ylva","non-dropping-particle":"","parse-names":false,"suffix":""},{"dropping-particle":"","family":"Stenlid","given":"Jan","non-dropping-particle":"","parse-names":false,"suffix":""},{"dropping-particle":"","family":"Brandström-Durling","given":"Mikael","non-dropping-particle":"","parse-names":false,"suffix":""},{"dropping-particle":"","family":"Clemmensen","given":"Karina E","non-dropping-particle":"","parse-names":false,"suffix":""}],"container-title":"FEMS microbiology ecology","id":"ITEM-1","issue":"3","issued":{"date-parts":[["2012"]]},"page":"666-677","publisher":"Oxford University Press","title":"New primers to amplify the fungal ITS2 region–evaluation by 454-sequencing of artificial and natural communities","type":"article-journal","volume":"82"},"uris":["http://www.mendeley.com/documents/?uuid=0c1a4f2b-8b6d-4ac2-9c05-d1ec0686a0e1"]}],"mendeley":{"formattedCitation":"(Ihrmark et al., 2012)","plainTextFormattedCitation":"(Ihrmark et al., 2012)","previouslyFormattedCitation":"(Ihrmark et al., 2012)"},"properties":{"noteIndex":0},"schema":"https://github.com/citation-style-language/schema/raw/master/csl-citation.json"}</w:instrText>
      </w:r>
      <w:r w:rsidR="003F6F88" w:rsidRPr="003F6F88">
        <w:rPr>
          <w:rFonts w:ascii="Arial" w:hAnsi="Arial" w:cs="Arial"/>
        </w:rPr>
        <w:fldChar w:fldCharType="separate"/>
      </w:r>
      <w:r w:rsidR="003F6F88" w:rsidRPr="003F6F88">
        <w:rPr>
          <w:rFonts w:ascii="Arial" w:hAnsi="Arial" w:cs="Arial"/>
        </w:rPr>
        <w:t>(Ihrmark et al., 2012)</w:t>
      </w:r>
      <w:r w:rsidR="003F6F88" w:rsidRPr="003F6F88">
        <w:rPr>
          <w:rFonts w:ascii="Arial" w:hAnsi="Arial" w:cs="Arial"/>
        </w:rPr>
        <w:fldChar w:fldCharType="end"/>
      </w:r>
      <w:r w:rsidR="003F6F88">
        <w:rPr>
          <w:rFonts w:ascii="Arial" w:hAnsi="Arial" w:cs="Arial"/>
        </w:rPr>
        <w:t xml:space="preserve"> </w:t>
      </w:r>
      <w:r w:rsidR="001A65B5">
        <w:rPr>
          <w:rFonts w:ascii="Arial" w:hAnsi="Arial" w:cs="Arial"/>
        </w:rPr>
        <w:t>and ITS4</w:t>
      </w:r>
      <w:r w:rsidR="003F6F88">
        <w:rPr>
          <w:rFonts w:ascii="Arial" w:hAnsi="Arial" w:cs="Arial"/>
        </w:rPr>
        <w:t xml:space="preserve"> </w:t>
      </w:r>
      <w:r w:rsidR="003F6F88" w:rsidRPr="003F6F88">
        <w:rPr>
          <w:rFonts w:ascii="Arial" w:hAnsi="Arial" w:cs="Arial"/>
          <w:iCs/>
        </w:rPr>
        <w:fldChar w:fldCharType="begin" w:fldLock="1"/>
      </w:r>
      <w:r w:rsidR="003F6F88" w:rsidRPr="003F6F88">
        <w:rPr>
          <w:rFonts w:ascii="Arial" w:hAnsi="Arial" w:cs="Arial"/>
          <w:iCs/>
        </w:rPr>
        <w:instrText>ADDIN CSL_CITATION {"citationItems":[{"id":"ITEM-1","itemData":{"author":[{"dropping-particle":"","family":"White","given":"Thomas J","non-dropping-particle":"","parse-names":false,"suffix":""},{"dropping-particle":"","family":"Bruns","given":"Thomas","non-dropping-particle":"","parse-names":false,"suffix":""},{"dropping-particle":"","family":"Lee","given":"SJWT","non-dropping-particle":"","parse-names":false,"suffix":""},{"dropping-particle":"","family":"Taylor","given":"J L","non-dropping-particle":"","parse-names":false,"suffix":""}],"container-title":"PCR protocols: a guide to methods and applications","id":"ITEM-1","issue":"1","issued":{"date-parts":[["1990"]]},"page":"315-322","publisher":"San Diego.","title":"Amplification and direct sequencing of fungal ribosomal RNA genes for phylogenetics","type":"article-journal","volume":"18"},"uris":["http://www.mendeley.com/documents/?uuid=2a4f61e3-d871-44b8-be23-6588ecbb3465"]}],"mendeley":{"formattedCitation":"(White et al., 1990)","plainTextFormattedCitation":"(White et al., 1990)","previouslyFormattedCitation":"(White et al., 1990)"},"properties":{"noteIndex":0},"schema":"https://github.com/citation-style-language/schema/raw/master/csl-citation.json"}</w:instrText>
      </w:r>
      <w:r w:rsidR="003F6F88" w:rsidRPr="003F6F88">
        <w:rPr>
          <w:rFonts w:ascii="Arial" w:hAnsi="Arial" w:cs="Arial"/>
          <w:iCs/>
        </w:rPr>
        <w:fldChar w:fldCharType="separate"/>
      </w:r>
      <w:r w:rsidR="003F6F88" w:rsidRPr="003F6F88">
        <w:rPr>
          <w:rFonts w:ascii="Arial" w:hAnsi="Arial" w:cs="Arial"/>
          <w:iCs/>
          <w:noProof/>
        </w:rPr>
        <w:t>(White et al., 1990)</w:t>
      </w:r>
      <w:r w:rsidR="003F6F88" w:rsidRPr="003F6F88">
        <w:rPr>
          <w:rFonts w:ascii="Arial" w:hAnsi="Arial" w:cs="Arial"/>
          <w:iCs/>
        </w:rPr>
        <w:fldChar w:fldCharType="end"/>
      </w:r>
      <w:r w:rsidR="00DF5409">
        <w:rPr>
          <w:rFonts w:ascii="Arial" w:hAnsi="Arial" w:cs="Arial"/>
        </w:rPr>
        <w:t xml:space="preserve">, which amplify the ITS2 region. Experience, however, demonstrated that these primers </w:t>
      </w:r>
      <w:r w:rsidR="003F6F88">
        <w:rPr>
          <w:rFonts w:ascii="Arial" w:hAnsi="Arial" w:cs="Arial"/>
        </w:rPr>
        <w:t>co-</w:t>
      </w:r>
      <w:r w:rsidR="001A65B5">
        <w:rPr>
          <w:rFonts w:ascii="Arial" w:hAnsi="Arial" w:cs="Arial"/>
        </w:rPr>
        <w:t xml:space="preserve">amplify </w:t>
      </w:r>
      <w:r w:rsidR="001A65B5" w:rsidRPr="003F6F88">
        <w:rPr>
          <w:rFonts w:ascii="Arial" w:hAnsi="Arial" w:cs="Arial"/>
          <w:i/>
          <w:iCs/>
        </w:rPr>
        <w:t>Musa</w:t>
      </w:r>
      <w:r w:rsidR="001A65B5">
        <w:rPr>
          <w:rFonts w:ascii="Arial" w:hAnsi="Arial" w:cs="Arial"/>
        </w:rPr>
        <w:t xml:space="preserve"> spp. DNA</w:t>
      </w:r>
      <w:r w:rsidR="00DF5409">
        <w:rPr>
          <w:rFonts w:ascii="Arial" w:hAnsi="Arial" w:cs="Arial"/>
        </w:rPr>
        <w:t>. Hence</w:t>
      </w:r>
      <w:r w:rsidR="007B077D">
        <w:rPr>
          <w:rFonts w:ascii="Arial" w:hAnsi="Arial" w:cs="Arial"/>
        </w:rPr>
        <w:t xml:space="preserve">, </w:t>
      </w:r>
      <w:r w:rsidR="00DF5409">
        <w:rPr>
          <w:rFonts w:ascii="Arial" w:hAnsi="Arial" w:cs="Arial"/>
        </w:rPr>
        <w:t xml:space="preserve">we designed a </w:t>
      </w:r>
      <w:r w:rsidR="007F22E7" w:rsidRPr="004137BC">
        <w:rPr>
          <w:rFonts w:ascii="Arial" w:hAnsi="Arial" w:cs="Arial"/>
        </w:rPr>
        <w:t>‘semi-nested’ two-step PCR</w:t>
      </w:r>
      <w:r w:rsidR="0000584A">
        <w:rPr>
          <w:rFonts w:ascii="Arial" w:hAnsi="Arial" w:cs="Arial"/>
        </w:rPr>
        <w:t xml:space="preserve"> that avoids significant co-amplification of banana DNA. Here, we </w:t>
      </w:r>
      <w:r w:rsidR="00035534">
        <w:rPr>
          <w:rFonts w:ascii="Arial" w:hAnsi="Arial" w:cs="Arial"/>
        </w:rPr>
        <w:t xml:space="preserve">demonstrate </w:t>
      </w:r>
      <w:r w:rsidR="00B10F8F">
        <w:rPr>
          <w:rFonts w:ascii="Arial" w:hAnsi="Arial" w:cs="Arial"/>
        </w:rPr>
        <w:t xml:space="preserve">using soil samples free of host-contamination, </w:t>
      </w:r>
      <w:r w:rsidR="00035534">
        <w:rPr>
          <w:rFonts w:ascii="Arial" w:hAnsi="Arial" w:cs="Arial"/>
        </w:rPr>
        <w:t xml:space="preserve">that the </w:t>
      </w:r>
      <w:r w:rsidR="002D2DB0">
        <w:rPr>
          <w:rFonts w:ascii="Arial" w:hAnsi="Arial" w:cs="Arial"/>
        </w:rPr>
        <w:t xml:space="preserve">diversity of </w:t>
      </w:r>
      <w:r w:rsidR="00035534">
        <w:rPr>
          <w:rFonts w:ascii="Arial" w:hAnsi="Arial" w:cs="Arial"/>
        </w:rPr>
        <w:t>fungal communit</w:t>
      </w:r>
      <w:r w:rsidR="002D2DB0">
        <w:rPr>
          <w:rFonts w:ascii="Arial" w:hAnsi="Arial" w:cs="Arial"/>
        </w:rPr>
        <w:t>ies</w:t>
      </w:r>
      <w:r w:rsidR="00035534">
        <w:rPr>
          <w:rFonts w:ascii="Arial" w:hAnsi="Arial" w:cs="Arial"/>
        </w:rPr>
        <w:t xml:space="preserve"> recovered using </w:t>
      </w:r>
      <w:r w:rsidR="0000584A">
        <w:rPr>
          <w:rFonts w:ascii="Arial" w:hAnsi="Arial" w:cs="Arial"/>
        </w:rPr>
        <w:t xml:space="preserve">this </w:t>
      </w:r>
      <w:r w:rsidR="00035534">
        <w:rPr>
          <w:rFonts w:ascii="Arial" w:hAnsi="Arial" w:cs="Arial"/>
        </w:rPr>
        <w:t xml:space="preserve">two-step PCR, </w:t>
      </w:r>
      <w:r w:rsidR="002D2DB0">
        <w:rPr>
          <w:rFonts w:ascii="Arial" w:hAnsi="Arial" w:cs="Arial"/>
        </w:rPr>
        <w:t xml:space="preserve">is equivalent to that recovered </w:t>
      </w:r>
      <w:r w:rsidR="00035534">
        <w:rPr>
          <w:rFonts w:ascii="Arial" w:hAnsi="Arial" w:cs="Arial"/>
        </w:rPr>
        <w:t xml:space="preserve">using </w:t>
      </w:r>
      <w:r w:rsidR="002D2DB0">
        <w:rPr>
          <w:rFonts w:ascii="Arial" w:hAnsi="Arial" w:cs="Arial"/>
        </w:rPr>
        <w:t xml:space="preserve">a single-step PCR with </w:t>
      </w:r>
      <w:r w:rsidR="00035534">
        <w:rPr>
          <w:rFonts w:ascii="Arial" w:hAnsi="Arial" w:cs="Arial"/>
        </w:rPr>
        <w:t xml:space="preserve">gITS7 and ITS4.  </w:t>
      </w:r>
    </w:p>
    <w:p w14:paraId="4E81F08E" w14:textId="77777777" w:rsidR="00B10F8F" w:rsidRPr="004137BC" w:rsidRDefault="00B10F8F" w:rsidP="007F22E7">
      <w:pPr>
        <w:spacing w:line="480" w:lineRule="auto"/>
        <w:rPr>
          <w:rFonts w:ascii="Arial" w:hAnsi="Arial" w:cs="Arial"/>
        </w:rPr>
      </w:pPr>
    </w:p>
    <w:p w14:paraId="1D914247" w14:textId="77777777" w:rsidR="007F22E7" w:rsidRPr="004137BC" w:rsidRDefault="007F22E7" w:rsidP="007F22E7">
      <w:pPr>
        <w:spacing w:line="480" w:lineRule="auto"/>
        <w:rPr>
          <w:rFonts w:ascii="Arial" w:hAnsi="Arial" w:cs="Arial"/>
        </w:rPr>
      </w:pPr>
      <w:r w:rsidRPr="004137BC">
        <w:rPr>
          <w:rFonts w:ascii="Arial" w:hAnsi="Arial" w:cs="Arial"/>
          <w:b/>
        </w:rPr>
        <w:t>Method</w:t>
      </w:r>
    </w:p>
    <w:p w14:paraId="68A86738" w14:textId="763AC659" w:rsidR="007F22E7" w:rsidRPr="004137BC" w:rsidRDefault="007F22E7" w:rsidP="007F22E7">
      <w:pPr>
        <w:spacing w:line="480" w:lineRule="auto"/>
        <w:rPr>
          <w:rFonts w:ascii="Arial" w:eastAsia="Times New Roman" w:hAnsi="Arial" w:cs="Arial"/>
          <w:lang w:eastAsia="en-AU"/>
        </w:rPr>
      </w:pPr>
      <w:r w:rsidRPr="004137BC">
        <w:rPr>
          <w:rFonts w:ascii="Arial" w:hAnsi="Arial" w:cs="Arial"/>
        </w:rPr>
        <w:t>Two sets of PCR conditions were tested to determine whether any bias was introduced through the semi-nested approach. The first used the semi-nested as described in the main text: ‘</w:t>
      </w:r>
      <w:r w:rsidRPr="004137BC">
        <w:rPr>
          <w:rFonts w:ascii="Arial" w:hAnsi="Arial" w:cs="Arial"/>
          <w:i/>
        </w:rPr>
        <w:t xml:space="preserve">An initial round of fifteen cycles of PCR was conducted using ITS-F_KYO1 (5’- CTH GGT CAT  TTA GAG GAA STA A-‘3) </w:t>
      </w:r>
      <w:r w:rsidRPr="004137BC">
        <w:rPr>
          <w:rFonts w:ascii="Arial" w:hAnsi="Arial" w:cs="Arial"/>
          <w:i/>
        </w:rPr>
        <w:fldChar w:fldCharType="begin" w:fldLock="1"/>
      </w:r>
      <w:r w:rsidRPr="004137BC">
        <w:rPr>
          <w:rFonts w:ascii="Arial" w:hAnsi="Arial" w:cs="Arial"/>
          <w:i/>
        </w:rPr>
        <w:instrText>ADDIN CSL_CITATION {"citationItems":[{"id":"ITEM-1","itemData":{"DOI":"10.1371/journal.pone.0040863","ISBN":"1932-6203 (Electronic)\\r1932-6203 (Linking)","ISSN":"19326203","PMID":"22808280","abstract":"The kingdom Fungi is estimated to include 1.5 million or more species, playing key roles as decomposers, mutualists, and parasites in every biome on the earth. To comprehensively understand the diversity and ecology of this huge kingdom, DNA barcoding targeting the internal transcribed spacer (ITS) region of the nuclear ribosomal repeat has been regarded as a prerequisite procedure. By extensively surveying ITS sequences in public databases, we designed new ITS primers with improved coverage across diverse taxonomic groups of fungi compared to existing primers. An in silico analysis based on public sequence databases indicated that the newly designed primers matched 99% of ascomycete and basidiomycete ITS taxa (species, subspecies or varieties), causing little taxonomic bias toward either fungal group. Two of the newly designed primers could inhibit the amplification of plant sequences and would enable the selective investigation of fungal communities in mycorrhizal associations, soil, and other types of environmental samples. Optimal PCR conditions for the primers were explored in an in vitro investigation. The new primers developed in this study will provide a basis for ecological studies on the diversity and community structures of fungi in the era of massive DNA sequencing.","author":[{"dropping-particle":"","family":"Toju","given":"Hirokazu","non-dropping-particle":"","parse-names":false,"suffix":""},{"dropping-particle":"","family":"Tanabe","given":"Akifumi S.","non-dropping-particle":"","parse-names":false,"suffix":""},{"dropping-particle":"","family":"Yamamoto","given":"Satoshi","non-dropping-particle":"","parse-names":false,"suffix":""},{"dropping-particle":"","family":"Sato","given":"Hirotoshi","non-dropping-particle":"","parse-names":false,"suffix":""}],"container-title":"PLoS ONE","id":"ITEM-1","issue":"7","issued":{"date-parts":[["2012"]]},"title":"High-coverage ITS primers for the DNA-based identification of ascomycetes and basidiomycetes in environmental samples","type":"article-journal","volume":"7"},"uris":["http://www.mendeley.com/documents/?uuid=4a20fd32-53ce-4463-9c8d-2fc277f98b25"]}],"mendeley":{"formattedCitation":"(Toju et al., 2012)","plainTextFormattedCitation":"(Toju et al., 2012)","previouslyFormattedCitation":"(Toju et al., 2012)"},"properties":{"noteIndex":0},"schema":"https://github.com/citation-style-language/schema/raw/master/csl-citation.json"}</w:instrText>
      </w:r>
      <w:r w:rsidRPr="004137BC">
        <w:rPr>
          <w:rFonts w:ascii="Arial" w:hAnsi="Arial" w:cs="Arial"/>
          <w:i/>
        </w:rPr>
        <w:fldChar w:fldCharType="separate"/>
      </w:r>
      <w:r w:rsidRPr="004137BC">
        <w:rPr>
          <w:rFonts w:ascii="Arial" w:hAnsi="Arial" w:cs="Arial"/>
          <w:i/>
          <w:noProof/>
        </w:rPr>
        <w:t>(Toju et al., 2012)</w:t>
      </w:r>
      <w:r w:rsidRPr="004137BC">
        <w:rPr>
          <w:rFonts w:ascii="Arial" w:hAnsi="Arial" w:cs="Arial"/>
          <w:i/>
        </w:rPr>
        <w:fldChar w:fldCharType="end"/>
      </w:r>
      <w:r w:rsidRPr="004137BC">
        <w:rPr>
          <w:rFonts w:ascii="Arial" w:hAnsi="Arial" w:cs="Arial"/>
          <w:i/>
        </w:rPr>
        <w:t xml:space="preserve"> and ITS4 (5’- TCC </w:t>
      </w:r>
      <w:proofErr w:type="spellStart"/>
      <w:r w:rsidRPr="004137BC">
        <w:rPr>
          <w:rFonts w:ascii="Arial" w:hAnsi="Arial" w:cs="Arial"/>
          <w:i/>
        </w:rPr>
        <w:t>TCC</w:t>
      </w:r>
      <w:proofErr w:type="spellEnd"/>
      <w:r w:rsidRPr="004137BC">
        <w:rPr>
          <w:rFonts w:ascii="Arial" w:hAnsi="Arial" w:cs="Arial"/>
          <w:i/>
        </w:rPr>
        <w:t xml:space="preserve"> GCT TAT TGA TAT GC-‘3) </w:t>
      </w:r>
      <w:r w:rsidRPr="004137BC">
        <w:rPr>
          <w:rFonts w:ascii="Arial" w:hAnsi="Arial" w:cs="Arial"/>
          <w:i/>
        </w:rPr>
        <w:fldChar w:fldCharType="begin" w:fldLock="1"/>
      </w:r>
      <w:r w:rsidRPr="004137BC">
        <w:rPr>
          <w:rFonts w:ascii="Arial" w:hAnsi="Arial" w:cs="Arial"/>
          <w:i/>
        </w:rPr>
        <w:instrText>ADDIN CSL_CITATION {"citationItems":[{"id":"ITEM-1","itemData":{"author":[{"dropping-particle":"","family":"White","given":"Thomas J","non-dropping-particle":"","parse-names":false,"suffix":""},{"dropping-particle":"","family":"Bruns","given":"Thomas","non-dropping-particle":"","parse-names":false,"suffix":""},{"dropping-particle":"","family":"Lee","given":"SJWT","non-dropping-particle":"","parse-names":false,"suffix":""},{"dropping-particle":"","family":"Taylor","given":"J L","non-dropping-particle":"","parse-names":false,"suffix":""}],"container-title":"PCR protocols: a guide to methods and applications","id":"ITEM-1","issue":"1","issued":{"date-parts":[["1990"]]},"page":"315-322","publisher":"San Diego.","title":"Amplification and direct sequencing of fungal ribosomal RNA genes for phylogenetics","type":"article-journal","volume":"18"},"uris":["http://www.mendeley.com/documents/?uuid=2a4f61e3-d871-44b8-be23-6588ecbb3465"]}],"mendeley":{"formattedCitation":"(White et al., 1990)","plainTextFormattedCitation":"(White et al., 1990)","previouslyFormattedCitation":"(White et al., 1990)"},"properties":{"noteIndex":0},"schema":"https://github.com/citation-style-language/schema/raw/master/csl-citation.json"}</w:instrText>
      </w:r>
      <w:r w:rsidRPr="004137BC">
        <w:rPr>
          <w:rFonts w:ascii="Arial" w:hAnsi="Arial" w:cs="Arial"/>
          <w:i/>
        </w:rPr>
        <w:fldChar w:fldCharType="separate"/>
      </w:r>
      <w:r w:rsidRPr="004137BC">
        <w:rPr>
          <w:rFonts w:ascii="Arial" w:hAnsi="Arial" w:cs="Arial"/>
          <w:i/>
          <w:noProof/>
        </w:rPr>
        <w:t>(White et al., 1990)</w:t>
      </w:r>
      <w:r w:rsidRPr="004137BC">
        <w:rPr>
          <w:rFonts w:ascii="Arial" w:hAnsi="Arial" w:cs="Arial"/>
          <w:i/>
        </w:rPr>
        <w:fldChar w:fldCharType="end"/>
      </w:r>
      <w:r w:rsidRPr="004137BC">
        <w:rPr>
          <w:rFonts w:ascii="Arial" w:hAnsi="Arial" w:cs="Arial"/>
          <w:i/>
        </w:rPr>
        <w:t xml:space="preserve">. The resulting amplicons were then purified using magnetic beads </w:t>
      </w:r>
      <w:r w:rsidRPr="004137BC">
        <w:rPr>
          <w:rFonts w:ascii="Arial" w:hAnsi="Arial" w:cs="Arial"/>
          <w:i/>
        </w:rPr>
        <w:fldChar w:fldCharType="begin" w:fldLock="1"/>
      </w:r>
      <w:r w:rsidRPr="004137BC">
        <w:rPr>
          <w:rFonts w:ascii="Arial" w:hAnsi="Arial" w:cs="Arial"/>
          <w:i/>
        </w:rPr>
        <w:instrText>ADDIN CSL_CITATION {"citationItems":[{"id":"ITEM-1","itemData":{"DOI":"10.1101/gr.128124.111.22","ISBN":"1549-5469 (Electronic)\\r1088-9051 (Linking)","ISSN":"10889051","PMID":"22267522","abstract":"Improvements in technology have reduced the cost of DNA sequencing to the point that the limiting factor for many experiments is the time and reagent cost of sample preparation. We present an approach in which 192 sequencing libraries can be produced in a single day of technician time at a cost of about $15 per sample. These libraries are effective not only for low-pass whole-genome sequencing, but also for simultaneously enriching them in pools of approximately 100 in- dividually barcoded samples for a subset of the genome without substantial loss in efficiency of target capture. We illustrate the power and effectiveness of this approach on about 2000 samples from a prostate cancer study.","author":[{"dropping-particle":"","family":"Rohland","given":"Nadin","non-dropping-particle":"","parse-names":false,"suffix":""},{"dropping-particle":"","family":"Reich","given":"David","non-dropping-particle":"","parse-names":false,"suffix":""}],"container-title":"Genome Res.","id":"ITEM-1","issued":{"date-parts":[["2011"]]},"page":"939-946","title":"Cost-effective , high-throughput DNA sequencing","type":"article-journal"},"uris":["http://www.mendeley.com/documents/?uuid=fe081594-98d2-48d5-b45f-f12032f2618e"]}],"mendeley":{"formattedCitation":"(Rohland and Reich, 2011)","plainTextFormattedCitation":"(Rohland and Reich, 2011)","previouslyFormattedCitation":"(Rohland and Reich, 2011)"},"properties":{"noteIndex":0},"schema":"https://github.com/citation-style-language/schema/raw/master/csl-citation.json"}</w:instrText>
      </w:r>
      <w:r w:rsidRPr="004137BC">
        <w:rPr>
          <w:rFonts w:ascii="Arial" w:hAnsi="Arial" w:cs="Arial"/>
          <w:i/>
        </w:rPr>
        <w:fldChar w:fldCharType="separate"/>
      </w:r>
      <w:r w:rsidRPr="004137BC">
        <w:rPr>
          <w:rFonts w:ascii="Arial" w:hAnsi="Arial" w:cs="Arial"/>
          <w:i/>
          <w:noProof/>
        </w:rPr>
        <w:t>(Rohland and Reich, 2011)</w:t>
      </w:r>
      <w:r w:rsidRPr="004137BC">
        <w:rPr>
          <w:rFonts w:ascii="Arial" w:hAnsi="Arial" w:cs="Arial"/>
          <w:i/>
        </w:rPr>
        <w:fldChar w:fldCharType="end"/>
      </w:r>
      <w:r w:rsidRPr="004137BC">
        <w:rPr>
          <w:rFonts w:ascii="Arial" w:hAnsi="Arial" w:cs="Arial"/>
          <w:i/>
        </w:rPr>
        <w:t xml:space="preserve">. Purified amplicons were used in a further twenty rounds of PCR using the primers gITS7 (5’- GTG AAT CAT CGA ATC TTT G-‘3) </w:t>
      </w:r>
      <w:r w:rsidRPr="004137BC">
        <w:rPr>
          <w:rFonts w:ascii="Arial" w:hAnsi="Arial" w:cs="Arial"/>
          <w:i/>
        </w:rPr>
        <w:fldChar w:fldCharType="begin" w:fldLock="1"/>
      </w:r>
      <w:r w:rsidRPr="004137BC">
        <w:rPr>
          <w:rFonts w:ascii="Arial" w:hAnsi="Arial" w:cs="Arial"/>
          <w:i/>
        </w:rPr>
        <w:instrText>ADDIN CSL_CITATION {"citationItems":[{"id":"ITEM-1","itemData":{"ISSN":"0168-6496","author":[{"dropping-particle":"","family":"Ihrmark","given":"Katarina","non-dropping-particle":"","parse-names":false,"suffix":""},{"dropping-particle":"","family":"Bödeker","given":"Inga","non-dropping-particle":"","parse-names":false,"suffix":""},{"dropping-particle":"","family":"Cruz-Martinez","given":"Karelyn","non-dropping-particle":"","parse-names":false,"suffix":""},{"dropping-particle":"","family":"Friberg","given":"Hanna","non-dropping-particle":"","parse-names":false,"suffix":""},{"dropping-particle":"","family":"Kubartova","given":"Ariana","non-dropping-particle":"","parse-names":false,"suffix":""},{"dropping-particle":"","family":"Schenck","given":"Jessica","non-dropping-particle":"","parse-names":false,"suffix":""},{"dropping-particle":"","family":"Strid","given":"Ylva","non-dropping-particle":"","parse-names":false,"suffix":""},{"dropping-particle":"","family":"Stenlid","given":"Jan","non-dropping-particle":"","parse-names":false,"suffix":""},{"dropping-particle":"","family":"Brandström-Durling","given":"Mikael","non-dropping-particle":"","parse-names":false,"suffix":""},{"dropping-particle":"","family":"Clemmensen","given":"Karina E","non-dropping-particle":"","parse-names":false,"suffix":""}],"container-title":"FEMS microbiology ecology","id":"ITEM-1","issue":"3","issued":{"date-parts":[["2012"]]},"page":"666-677","publisher":"Oxford University Press","title":"New primers to amplify the fungal ITS2 region–evaluation by 454-sequencing of artificial and natural communities","type":"article-journal","volume":"82"},"uris":["http://www.mendeley.com/documents/?uuid=0c1a4f2b-8b6d-4ac2-9c05-d1ec0686a0e1"]}],"mendeley":{"formattedCitation":"(Ihrmark et al., 2012)","plainTextFormattedCitation":"(Ihrmark et al., 2012)","previouslyFormattedCitation":"(Ihrmark et al., 2012)"},"properties":{"noteIndex":0},"schema":"https://github.com/citation-style-language/schema/raw/master/csl-citation.json"}</w:instrText>
      </w:r>
      <w:r w:rsidRPr="004137BC">
        <w:rPr>
          <w:rFonts w:ascii="Arial" w:hAnsi="Arial" w:cs="Arial"/>
          <w:i/>
        </w:rPr>
        <w:fldChar w:fldCharType="separate"/>
      </w:r>
      <w:r w:rsidRPr="004137BC">
        <w:rPr>
          <w:rFonts w:ascii="Arial" w:hAnsi="Arial" w:cs="Arial"/>
          <w:i/>
          <w:noProof/>
        </w:rPr>
        <w:t>(Ihrmark et al., 2012)</w:t>
      </w:r>
      <w:r w:rsidRPr="004137BC">
        <w:rPr>
          <w:rFonts w:ascii="Arial" w:hAnsi="Arial" w:cs="Arial"/>
          <w:i/>
        </w:rPr>
        <w:fldChar w:fldCharType="end"/>
      </w:r>
      <w:r w:rsidRPr="004137BC">
        <w:rPr>
          <w:rFonts w:ascii="Arial" w:hAnsi="Arial" w:cs="Arial"/>
          <w:i/>
        </w:rPr>
        <w:t xml:space="preserve"> and ITS4 modified on the 5’ end to contain the Illumina overhang adapter for compatibility with the P5 and i7 </w:t>
      </w:r>
      <w:proofErr w:type="spellStart"/>
      <w:r w:rsidRPr="004137BC">
        <w:rPr>
          <w:rFonts w:ascii="Arial" w:hAnsi="Arial" w:cs="Arial"/>
          <w:i/>
        </w:rPr>
        <w:t>Nextera</w:t>
      </w:r>
      <w:proofErr w:type="spellEnd"/>
      <w:r w:rsidRPr="004137BC">
        <w:rPr>
          <w:rFonts w:ascii="Arial" w:hAnsi="Arial" w:cs="Arial"/>
          <w:i/>
        </w:rPr>
        <w:t xml:space="preserve"> XT indices, respectively. PCRs totalled 35 cycles. </w:t>
      </w:r>
      <w:r w:rsidRPr="004137BC">
        <w:rPr>
          <w:rFonts w:ascii="Arial" w:hAnsi="Arial" w:cs="Arial"/>
          <w:i/>
        </w:rPr>
        <w:lastRenderedPageBreak/>
        <w:t xml:space="preserve">Thermocycling conditions were as follows: 98°C for 45 sec; then 35 cycles of 98°C for 5 sec, 56°C for 5 sec, 72°C for 6 sec; followed by 72°C for 1 min. Amplifications were performed using a </w:t>
      </w:r>
      <w:proofErr w:type="spellStart"/>
      <w:r w:rsidRPr="004137BC">
        <w:rPr>
          <w:rFonts w:ascii="Arial" w:hAnsi="Arial" w:cs="Arial"/>
          <w:i/>
        </w:rPr>
        <w:t>Simpliampi</w:t>
      </w:r>
      <w:proofErr w:type="spellEnd"/>
      <w:r w:rsidRPr="004137BC">
        <w:rPr>
          <w:rFonts w:ascii="Arial" w:hAnsi="Arial" w:cs="Arial"/>
          <w:i/>
        </w:rPr>
        <w:t xml:space="preserve">® 96-well Thermocycler (Applied Biosystems). All </w:t>
      </w:r>
      <w:r w:rsidRPr="004137BC">
        <w:rPr>
          <w:rFonts w:ascii="Arial" w:eastAsia="Times New Roman" w:hAnsi="Arial" w:cs="Arial"/>
          <w:i/>
          <w:lang w:eastAsia="en-AU"/>
        </w:rPr>
        <w:t xml:space="preserve">PCRs were performed on 2 µl template in 5X </w:t>
      </w:r>
      <w:proofErr w:type="spellStart"/>
      <w:r w:rsidRPr="004137BC">
        <w:rPr>
          <w:rFonts w:ascii="Arial" w:eastAsia="Times New Roman" w:hAnsi="Arial" w:cs="Arial"/>
          <w:i/>
          <w:lang w:eastAsia="en-AU"/>
        </w:rPr>
        <w:t>Phire</w:t>
      </w:r>
      <w:proofErr w:type="spellEnd"/>
      <w:r w:rsidRPr="004137BC">
        <w:rPr>
          <w:rFonts w:ascii="Arial" w:eastAsia="Times New Roman" w:hAnsi="Arial" w:cs="Arial"/>
          <w:i/>
          <w:lang w:eastAsia="en-AU"/>
        </w:rPr>
        <w:t xml:space="preserve"> Green Reaction Buffer (</w:t>
      </w:r>
      <w:proofErr w:type="spellStart"/>
      <w:r w:rsidRPr="004137BC">
        <w:rPr>
          <w:rFonts w:ascii="Arial" w:eastAsia="Times New Roman" w:hAnsi="Arial" w:cs="Arial"/>
          <w:i/>
          <w:lang w:eastAsia="en-AU"/>
        </w:rPr>
        <w:t>Thermo</w:t>
      </w:r>
      <w:proofErr w:type="spellEnd"/>
      <w:r w:rsidRPr="004137BC">
        <w:rPr>
          <w:rFonts w:ascii="Arial" w:eastAsia="Times New Roman" w:hAnsi="Arial" w:cs="Arial"/>
          <w:i/>
          <w:lang w:eastAsia="en-AU"/>
        </w:rPr>
        <w:t xml:space="preserve"> Fisher</w:t>
      </w:r>
      <w:proofErr w:type="gramStart"/>
      <w:r w:rsidRPr="004137BC">
        <w:rPr>
          <w:rFonts w:ascii="Arial" w:eastAsia="Times New Roman" w:hAnsi="Arial" w:cs="Arial"/>
          <w:i/>
          <w:lang w:eastAsia="en-AU"/>
        </w:rPr>
        <w:t>),  100</w:t>
      </w:r>
      <w:proofErr w:type="gramEnd"/>
      <w:r w:rsidRPr="004137BC">
        <w:rPr>
          <w:rFonts w:ascii="Arial" w:eastAsia="Times New Roman" w:hAnsi="Arial" w:cs="Arial"/>
          <w:i/>
          <w:lang w:eastAsia="en-AU"/>
        </w:rPr>
        <w:t xml:space="preserve"> µM of each dNTP (Invitrogen), 0.4 µl </w:t>
      </w:r>
      <w:proofErr w:type="spellStart"/>
      <w:r w:rsidRPr="004137BC">
        <w:rPr>
          <w:rFonts w:ascii="Arial" w:eastAsia="Times New Roman" w:hAnsi="Arial" w:cs="Arial"/>
          <w:i/>
          <w:lang w:eastAsia="en-AU"/>
        </w:rPr>
        <w:t>Phire</w:t>
      </w:r>
      <w:proofErr w:type="spellEnd"/>
      <w:r w:rsidRPr="004137BC">
        <w:rPr>
          <w:rFonts w:ascii="Arial" w:eastAsia="Times New Roman" w:hAnsi="Arial" w:cs="Arial"/>
          <w:i/>
          <w:lang w:eastAsia="en-AU"/>
        </w:rPr>
        <w:t xml:space="preserve"> Green Hot Start II DNA Polymerase (</w:t>
      </w:r>
      <w:proofErr w:type="spellStart"/>
      <w:r w:rsidRPr="004137BC">
        <w:rPr>
          <w:rFonts w:ascii="Arial" w:eastAsia="Times New Roman" w:hAnsi="Arial" w:cs="Arial"/>
          <w:i/>
          <w:lang w:eastAsia="en-AU"/>
        </w:rPr>
        <w:t>Thermo</w:t>
      </w:r>
      <w:proofErr w:type="spellEnd"/>
      <w:r w:rsidRPr="004137BC">
        <w:rPr>
          <w:rFonts w:ascii="Arial" w:eastAsia="Times New Roman" w:hAnsi="Arial" w:cs="Arial"/>
          <w:i/>
          <w:lang w:eastAsia="en-AU"/>
        </w:rPr>
        <w:t xml:space="preserve"> Fisher), 10 mM of each primer, made up to a total volume of 20 µl with molecular biology grade water</w:t>
      </w:r>
      <w:r w:rsidRPr="004137BC">
        <w:rPr>
          <w:rFonts w:ascii="Arial" w:eastAsia="Times New Roman" w:hAnsi="Arial" w:cs="Arial"/>
          <w:lang w:eastAsia="en-AU"/>
        </w:rPr>
        <w:t xml:space="preserve">.’ This approach was used as the ITS-F_KYO1 primer was found to have far fewer matches to the rDNA of banana, when compared </w:t>
      </w:r>
      <w:r w:rsidRPr="004137BC">
        <w:rPr>
          <w:rFonts w:ascii="Arial" w:eastAsia="Times New Roman" w:hAnsi="Arial" w:cs="Arial"/>
          <w:i/>
          <w:lang w:eastAsia="en-AU"/>
        </w:rPr>
        <w:t>in silico</w:t>
      </w:r>
      <w:r w:rsidRPr="004137BC">
        <w:rPr>
          <w:rFonts w:ascii="Arial" w:eastAsia="Times New Roman" w:hAnsi="Arial" w:cs="Arial"/>
          <w:lang w:eastAsia="en-AU"/>
        </w:rPr>
        <w:t xml:space="preserve"> through </w:t>
      </w:r>
      <w:r w:rsidR="00D120F9" w:rsidRPr="004137BC">
        <w:rPr>
          <w:rFonts w:ascii="Arial" w:eastAsia="Times New Roman" w:hAnsi="Arial" w:cs="Arial"/>
          <w:lang w:eastAsia="en-AU"/>
        </w:rPr>
        <w:t>publicly</w:t>
      </w:r>
      <w:r w:rsidRPr="004137BC">
        <w:rPr>
          <w:rFonts w:ascii="Arial" w:eastAsia="Times New Roman" w:hAnsi="Arial" w:cs="Arial"/>
          <w:lang w:eastAsia="en-AU"/>
        </w:rPr>
        <w:t xml:space="preserve"> availa</w:t>
      </w:r>
      <w:r w:rsidR="00A53D13" w:rsidRPr="004137BC">
        <w:rPr>
          <w:rFonts w:ascii="Arial" w:eastAsia="Times New Roman" w:hAnsi="Arial" w:cs="Arial"/>
          <w:lang w:eastAsia="en-AU"/>
        </w:rPr>
        <w:t>ble data downloaded from NCBI. The</w:t>
      </w:r>
      <w:r w:rsidRPr="004137BC">
        <w:rPr>
          <w:rFonts w:ascii="Arial" w:eastAsia="Times New Roman" w:hAnsi="Arial" w:cs="Arial"/>
          <w:lang w:eastAsia="en-AU"/>
        </w:rPr>
        <w:t xml:space="preserve"> second set of PCR conditions </w:t>
      </w:r>
      <w:r w:rsidR="00A53D13" w:rsidRPr="004137BC">
        <w:rPr>
          <w:rFonts w:ascii="Arial" w:eastAsia="Times New Roman" w:hAnsi="Arial" w:cs="Arial"/>
          <w:lang w:eastAsia="en-AU"/>
        </w:rPr>
        <w:t xml:space="preserve">were identical as above except for just a single round of 35 cycles using the gITS7 and ITS4 primers were used, representing a standard PCR. </w:t>
      </w:r>
    </w:p>
    <w:p w14:paraId="1F8CCFD9" w14:textId="77777777" w:rsidR="00A53D13" w:rsidRPr="004137BC" w:rsidRDefault="00A53D13" w:rsidP="007F22E7">
      <w:pPr>
        <w:spacing w:line="480" w:lineRule="auto"/>
        <w:rPr>
          <w:rFonts w:ascii="Arial" w:eastAsia="Times New Roman" w:hAnsi="Arial" w:cs="Arial"/>
          <w:lang w:eastAsia="en-AU"/>
        </w:rPr>
      </w:pPr>
      <w:r w:rsidRPr="004137BC">
        <w:rPr>
          <w:rFonts w:ascii="Arial" w:eastAsia="Times New Roman" w:hAnsi="Arial" w:cs="Arial"/>
          <w:lang w:eastAsia="en-AU"/>
        </w:rPr>
        <w:t>Fifteen basal ectorhizosphere samples were chosen to be amplified and sequenced using both methods. These samples were chosen as little host contamination would be present compared to endophytic communities and therefore a standard PCR approach could be used to compare to the semi-nested approach.</w:t>
      </w:r>
    </w:p>
    <w:p w14:paraId="780E7F03" w14:textId="31CD658D" w:rsidR="00A53D13" w:rsidRDefault="00C13C54" w:rsidP="007F22E7">
      <w:pPr>
        <w:spacing w:line="480" w:lineRule="auto"/>
        <w:rPr>
          <w:rFonts w:ascii="Arial" w:eastAsia="Times New Roman" w:hAnsi="Arial" w:cs="Arial"/>
          <w:lang w:eastAsia="en-AU"/>
        </w:rPr>
      </w:pPr>
      <w:r w:rsidRPr="004137BC">
        <w:rPr>
          <w:rFonts w:ascii="Arial" w:eastAsia="Times New Roman" w:hAnsi="Arial" w:cs="Arial"/>
          <w:lang w:eastAsia="en-AU"/>
        </w:rPr>
        <w:t>The amplicons were</w:t>
      </w:r>
      <w:r w:rsidR="00A53D13" w:rsidRPr="004137BC">
        <w:rPr>
          <w:rFonts w:ascii="Arial" w:eastAsia="Times New Roman" w:hAnsi="Arial" w:cs="Arial"/>
          <w:lang w:eastAsia="en-AU"/>
        </w:rPr>
        <w:t xml:space="preserve"> sequenc</w:t>
      </w:r>
      <w:r w:rsidRPr="004137BC">
        <w:rPr>
          <w:rFonts w:ascii="Arial" w:eastAsia="Times New Roman" w:hAnsi="Arial" w:cs="Arial"/>
          <w:lang w:eastAsia="en-AU"/>
        </w:rPr>
        <w:t>ed</w:t>
      </w:r>
      <w:r w:rsidR="00A53D13" w:rsidRPr="004137BC">
        <w:rPr>
          <w:rFonts w:ascii="Arial" w:eastAsia="Times New Roman" w:hAnsi="Arial" w:cs="Arial"/>
          <w:lang w:eastAsia="en-AU"/>
        </w:rPr>
        <w:t xml:space="preserve"> and pass</w:t>
      </w:r>
      <w:r w:rsidRPr="004137BC">
        <w:rPr>
          <w:rFonts w:ascii="Arial" w:eastAsia="Times New Roman" w:hAnsi="Arial" w:cs="Arial"/>
          <w:lang w:eastAsia="en-AU"/>
        </w:rPr>
        <w:t>ed t</w:t>
      </w:r>
      <w:r w:rsidR="00A53D13" w:rsidRPr="004137BC">
        <w:rPr>
          <w:rFonts w:ascii="Arial" w:eastAsia="Times New Roman" w:hAnsi="Arial" w:cs="Arial"/>
          <w:lang w:eastAsia="en-AU"/>
        </w:rPr>
        <w:t>hrough the bioinformatic pipeline as described in the main text</w:t>
      </w:r>
      <w:r w:rsidRPr="004137BC">
        <w:rPr>
          <w:rFonts w:ascii="Arial" w:eastAsia="Times New Roman" w:hAnsi="Arial" w:cs="Arial"/>
          <w:lang w:eastAsia="en-AU"/>
        </w:rPr>
        <w:t xml:space="preserve"> except for rarefaction of reads to 1500.</w:t>
      </w:r>
      <w:r w:rsidR="00A53D13" w:rsidRPr="004137BC">
        <w:rPr>
          <w:rFonts w:ascii="Arial" w:eastAsia="Times New Roman" w:hAnsi="Arial" w:cs="Arial"/>
          <w:lang w:eastAsia="en-AU"/>
        </w:rPr>
        <w:t xml:space="preserve"> Procrustes analysis was performed to determine the shift of samples resulting from the semi nested approach. This analysis was performed in R using the </w:t>
      </w:r>
      <w:r w:rsidR="00A53D13" w:rsidRPr="004137BC">
        <w:rPr>
          <w:rFonts w:ascii="Arial" w:eastAsia="Times New Roman" w:hAnsi="Arial" w:cs="Arial"/>
          <w:i/>
          <w:lang w:eastAsia="en-AU"/>
        </w:rPr>
        <w:t>vegan</w:t>
      </w:r>
      <w:r w:rsidR="00A53D13" w:rsidRPr="004137BC">
        <w:rPr>
          <w:rFonts w:ascii="Arial" w:eastAsia="Times New Roman" w:hAnsi="Arial" w:cs="Arial"/>
          <w:lang w:eastAsia="en-AU"/>
        </w:rPr>
        <w:t xml:space="preserve"> package.</w:t>
      </w:r>
    </w:p>
    <w:p w14:paraId="2FBD9D9A" w14:textId="77777777" w:rsidR="008E7971" w:rsidRPr="004137BC" w:rsidRDefault="008E7971" w:rsidP="007F22E7">
      <w:pPr>
        <w:spacing w:line="480" w:lineRule="auto"/>
        <w:rPr>
          <w:rFonts w:ascii="Arial" w:eastAsia="Times New Roman" w:hAnsi="Arial" w:cs="Arial"/>
          <w:lang w:eastAsia="en-AU"/>
        </w:rPr>
      </w:pPr>
    </w:p>
    <w:p w14:paraId="5F2B855B" w14:textId="05DB05E6" w:rsidR="00A53D13" w:rsidRPr="004137BC" w:rsidRDefault="00A53D13" w:rsidP="007F22E7">
      <w:pPr>
        <w:spacing w:line="480" w:lineRule="auto"/>
        <w:rPr>
          <w:rFonts w:ascii="Arial" w:eastAsia="Times New Roman" w:hAnsi="Arial" w:cs="Arial"/>
          <w:b/>
          <w:lang w:eastAsia="en-AU"/>
        </w:rPr>
      </w:pPr>
      <w:r w:rsidRPr="004137BC">
        <w:rPr>
          <w:rFonts w:ascii="Arial" w:eastAsia="Times New Roman" w:hAnsi="Arial" w:cs="Arial"/>
          <w:b/>
          <w:lang w:eastAsia="en-AU"/>
        </w:rPr>
        <w:t>Results</w:t>
      </w:r>
      <w:r w:rsidR="008E7971">
        <w:rPr>
          <w:rFonts w:ascii="Arial" w:eastAsia="Times New Roman" w:hAnsi="Arial" w:cs="Arial"/>
          <w:b/>
          <w:lang w:eastAsia="en-AU"/>
        </w:rPr>
        <w:t xml:space="preserve"> and Discussion</w:t>
      </w:r>
    </w:p>
    <w:p w14:paraId="23A7EA39" w14:textId="0179C61B" w:rsidR="00C13C54" w:rsidRPr="004137BC" w:rsidRDefault="00C13C54" w:rsidP="007F22E7">
      <w:pPr>
        <w:spacing w:line="480" w:lineRule="auto"/>
        <w:rPr>
          <w:rFonts w:ascii="Arial" w:eastAsia="Times New Roman" w:hAnsi="Arial" w:cs="Arial"/>
          <w:lang w:eastAsia="en-AU"/>
        </w:rPr>
      </w:pPr>
      <w:r w:rsidRPr="004137BC">
        <w:rPr>
          <w:rFonts w:ascii="Arial" w:eastAsia="Times New Roman" w:hAnsi="Arial" w:cs="Arial"/>
          <w:lang w:eastAsia="en-AU"/>
        </w:rPr>
        <w:t>According to Procrustes analysis the ordination from the semi-nested PCR approach was highly correlated (</w:t>
      </w:r>
      <w:r w:rsidR="00147C3C" w:rsidRPr="004137BC">
        <w:rPr>
          <w:rFonts w:ascii="Arial" w:eastAsia="Times New Roman" w:hAnsi="Arial" w:cs="Arial"/>
          <w:i/>
          <w:lang w:eastAsia="en-AU"/>
        </w:rPr>
        <w:t xml:space="preserve">P </w:t>
      </w:r>
      <w:r w:rsidRPr="004137BC">
        <w:rPr>
          <w:rFonts w:ascii="Arial" w:eastAsia="Times New Roman" w:hAnsi="Arial" w:cs="Arial"/>
          <w:lang w:eastAsia="en-AU"/>
        </w:rPr>
        <w:t>&lt;</w:t>
      </w:r>
      <w:r w:rsidR="00147C3C" w:rsidRPr="004137BC">
        <w:rPr>
          <w:rFonts w:ascii="Arial" w:eastAsia="Times New Roman" w:hAnsi="Arial" w:cs="Arial"/>
          <w:lang w:eastAsia="en-AU"/>
        </w:rPr>
        <w:t xml:space="preserve"> </w:t>
      </w:r>
      <w:r w:rsidRPr="004137BC">
        <w:rPr>
          <w:rFonts w:ascii="Arial" w:eastAsia="Times New Roman" w:hAnsi="Arial" w:cs="Arial"/>
          <w:lang w:eastAsia="en-AU"/>
        </w:rPr>
        <w:t xml:space="preserve">0.001) with the ordination of the standard PCR approach. While some drift of samples in ordination space was observed, this could easily be </w:t>
      </w:r>
      <w:r w:rsidRPr="004137BC">
        <w:rPr>
          <w:rFonts w:ascii="Arial" w:eastAsia="Times New Roman" w:hAnsi="Arial" w:cs="Arial"/>
          <w:lang w:eastAsia="en-AU"/>
        </w:rPr>
        <w:lastRenderedPageBreak/>
        <w:t xml:space="preserve">the result of stochastic change introduced from rarefaction, general </w:t>
      </w:r>
      <w:r w:rsidR="00D120F9" w:rsidRPr="004137BC">
        <w:rPr>
          <w:rFonts w:ascii="Arial" w:eastAsia="Times New Roman" w:hAnsi="Arial" w:cs="Arial"/>
          <w:lang w:eastAsia="en-AU"/>
        </w:rPr>
        <w:t>amplification,</w:t>
      </w:r>
      <w:r w:rsidRPr="004137BC">
        <w:rPr>
          <w:rFonts w:ascii="Arial" w:eastAsia="Times New Roman" w:hAnsi="Arial" w:cs="Arial"/>
          <w:lang w:eastAsia="en-AU"/>
        </w:rPr>
        <w:t xml:space="preserve"> and sequencing. From these results we determined that the semi-nested approach was appropriate for use in the main study.</w:t>
      </w:r>
    </w:p>
    <w:p w14:paraId="7BD15157" w14:textId="77777777" w:rsidR="00A53D13" w:rsidRPr="004137BC" w:rsidRDefault="00A53D13" w:rsidP="007F22E7">
      <w:pPr>
        <w:spacing w:line="480" w:lineRule="auto"/>
        <w:rPr>
          <w:rFonts w:ascii="Arial" w:hAnsi="Arial" w:cs="Arial"/>
        </w:rPr>
      </w:pPr>
      <w:r w:rsidRPr="004137BC">
        <w:rPr>
          <w:rFonts w:ascii="Arial" w:hAnsi="Arial" w:cs="Arial"/>
          <w:noProof/>
          <w:lang w:eastAsia="en-AU"/>
        </w:rPr>
        <w:drawing>
          <wp:inline distT="0" distB="0" distL="0" distR="0" wp14:anchorId="7C905DCF" wp14:editId="496BD2D2">
            <wp:extent cx="5731510" cy="57315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st.procrust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14:paraId="282A5F22" w14:textId="77777777" w:rsidR="00A53D13" w:rsidRPr="004137BC" w:rsidRDefault="00A53D13" w:rsidP="007F22E7">
      <w:pPr>
        <w:spacing w:line="480" w:lineRule="auto"/>
        <w:rPr>
          <w:rFonts w:ascii="Arial" w:hAnsi="Arial" w:cs="Arial"/>
        </w:rPr>
      </w:pPr>
      <w:r w:rsidRPr="004137BC">
        <w:rPr>
          <w:rFonts w:ascii="Arial" w:hAnsi="Arial" w:cs="Arial"/>
          <w:b/>
        </w:rPr>
        <w:t>Figure 1</w:t>
      </w:r>
      <w:r w:rsidRPr="004137BC">
        <w:rPr>
          <w:rFonts w:ascii="Arial" w:hAnsi="Arial" w:cs="Arial"/>
        </w:rPr>
        <w:t xml:space="preserve"> The Procrustes rotation of two principal coordinate ordinations, the first representing a standard</w:t>
      </w:r>
      <w:r w:rsidR="00C13C54" w:rsidRPr="004137BC">
        <w:rPr>
          <w:rFonts w:ascii="Arial" w:hAnsi="Arial" w:cs="Arial"/>
        </w:rPr>
        <w:t xml:space="preserve"> ITS</w:t>
      </w:r>
      <w:r w:rsidRPr="004137BC">
        <w:rPr>
          <w:rFonts w:ascii="Arial" w:hAnsi="Arial" w:cs="Arial"/>
        </w:rPr>
        <w:t xml:space="preserve"> PCR approach and the second </w:t>
      </w:r>
      <w:r w:rsidR="00C13C54" w:rsidRPr="004137BC">
        <w:rPr>
          <w:rFonts w:ascii="Arial" w:hAnsi="Arial" w:cs="Arial"/>
        </w:rPr>
        <w:t xml:space="preserve">a novel semi-nested ITS approach to reduce host contamination in the resulting sequencing reads.  </w:t>
      </w:r>
    </w:p>
    <w:sectPr w:rsidR="00A53D13" w:rsidRPr="004137BC" w:rsidSect="004C1D3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FDA4E" w14:textId="77777777" w:rsidR="00D804B4" w:rsidRDefault="00D804B4" w:rsidP="006C1441">
      <w:pPr>
        <w:spacing w:after="0" w:line="240" w:lineRule="auto"/>
      </w:pPr>
      <w:r>
        <w:separator/>
      </w:r>
    </w:p>
  </w:endnote>
  <w:endnote w:type="continuationSeparator" w:id="0">
    <w:p w14:paraId="0145170E" w14:textId="77777777" w:rsidR="00D804B4" w:rsidRDefault="00D804B4" w:rsidP="006C1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755344"/>
      <w:docPartObj>
        <w:docPartGallery w:val="Page Numbers (Bottom of Page)"/>
        <w:docPartUnique/>
      </w:docPartObj>
    </w:sdtPr>
    <w:sdtEndPr>
      <w:rPr>
        <w:noProof/>
      </w:rPr>
    </w:sdtEndPr>
    <w:sdtContent>
      <w:p w14:paraId="7D046C20" w14:textId="15F156A5" w:rsidR="004C1D38" w:rsidRDefault="004C1D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D74AAC" w14:textId="77777777" w:rsidR="004C1D38" w:rsidRDefault="004C1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69BDD" w14:textId="77777777" w:rsidR="00D804B4" w:rsidRDefault="00D804B4" w:rsidP="006C1441">
      <w:pPr>
        <w:spacing w:after="0" w:line="240" w:lineRule="auto"/>
      </w:pPr>
      <w:r>
        <w:separator/>
      </w:r>
    </w:p>
  </w:footnote>
  <w:footnote w:type="continuationSeparator" w:id="0">
    <w:p w14:paraId="35552A0D" w14:textId="77777777" w:rsidR="00D804B4" w:rsidRDefault="00D804B4" w:rsidP="006C14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yNDc1NTSxNDEzNzRV0lEKTi0uzszPAykwqgUAbuLrxSwAAAA="/>
  </w:docVars>
  <w:rsids>
    <w:rsidRoot w:val="007F22E7"/>
    <w:rsid w:val="0000584A"/>
    <w:rsid w:val="00035534"/>
    <w:rsid w:val="00147C3C"/>
    <w:rsid w:val="001A65B5"/>
    <w:rsid w:val="002D2DB0"/>
    <w:rsid w:val="00325272"/>
    <w:rsid w:val="00396727"/>
    <w:rsid w:val="003F6F88"/>
    <w:rsid w:val="004137BC"/>
    <w:rsid w:val="004940FA"/>
    <w:rsid w:val="004C1D38"/>
    <w:rsid w:val="005A233D"/>
    <w:rsid w:val="005A6BD1"/>
    <w:rsid w:val="006C1441"/>
    <w:rsid w:val="007B077D"/>
    <w:rsid w:val="007F22E7"/>
    <w:rsid w:val="008576D8"/>
    <w:rsid w:val="008E7971"/>
    <w:rsid w:val="00A53D13"/>
    <w:rsid w:val="00B073C0"/>
    <w:rsid w:val="00B10F8F"/>
    <w:rsid w:val="00B4417E"/>
    <w:rsid w:val="00C13C54"/>
    <w:rsid w:val="00CC4E0E"/>
    <w:rsid w:val="00D120F9"/>
    <w:rsid w:val="00D804B4"/>
    <w:rsid w:val="00DF5409"/>
    <w:rsid w:val="00E45982"/>
    <w:rsid w:val="00EA398E"/>
    <w:rsid w:val="00EE02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4CE08"/>
  <w15:chartTrackingRefBased/>
  <w15:docId w15:val="{DA7D0072-1834-4A56-BE63-118369F1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2E7"/>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F22E7"/>
    <w:rPr>
      <w:i/>
      <w:iCs/>
      <w:color w:val="404040" w:themeColor="text1" w:themeTint="BF"/>
    </w:rPr>
  </w:style>
  <w:style w:type="character" w:styleId="LineNumber">
    <w:name w:val="line number"/>
    <w:basedOn w:val="DefaultParagraphFont"/>
    <w:uiPriority w:val="99"/>
    <w:semiHidden/>
    <w:unhideWhenUsed/>
    <w:rsid w:val="007F22E7"/>
  </w:style>
  <w:style w:type="paragraph" w:styleId="Header">
    <w:name w:val="header"/>
    <w:basedOn w:val="Normal"/>
    <w:link w:val="HeaderChar"/>
    <w:uiPriority w:val="99"/>
    <w:unhideWhenUsed/>
    <w:rsid w:val="004C1D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D38"/>
    <w:rPr>
      <w:rFonts w:ascii="Times New Roman" w:hAnsi="Times New Roman" w:cs="Times New Roman"/>
      <w:sz w:val="24"/>
    </w:rPr>
  </w:style>
  <w:style w:type="paragraph" w:styleId="Footer">
    <w:name w:val="footer"/>
    <w:basedOn w:val="Normal"/>
    <w:link w:val="FooterChar"/>
    <w:uiPriority w:val="99"/>
    <w:unhideWhenUsed/>
    <w:rsid w:val="004C1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D38"/>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56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720A-F526-4695-AA7F-079942ECD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Birt</dc:creator>
  <cp:keywords/>
  <dc:description/>
  <cp:lastModifiedBy>Paul Dennis</cp:lastModifiedBy>
  <cp:revision>3</cp:revision>
  <dcterms:created xsi:type="dcterms:W3CDTF">2022-12-20T01:03:00Z</dcterms:created>
  <dcterms:modified xsi:type="dcterms:W3CDTF">2023-03-02T23:35:00Z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2022-12-20T00:47:52Z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56555a99-5e4a-462a-b7fa-dea0083c1a9a</vt:lpwstr>
  </property>
  <property fmtid="{D5CDD505-2E9C-101B-9397-08002B2CF9AE}" pid="8" name="MSIP_Label_0f488380-630a-4f55-a077-a19445e3f360_ContentBits">
    <vt:lpwstr>0</vt:lpwstr>
  </property>
</Properties>
</file>