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84F4" w14:textId="77777777" w:rsidR="00381CDF" w:rsidRPr="00752561" w:rsidRDefault="00381CDF" w:rsidP="00381CDF">
      <w:pPr>
        <w:spacing w:line="480" w:lineRule="auto"/>
        <w:jc w:val="center"/>
        <w:rPr>
          <w:rFonts w:asciiTheme="majorBidi" w:hAnsiTheme="majorBidi" w:cstheme="majorBidi"/>
          <w:b/>
          <w:color w:val="000000" w:themeColor="text1"/>
        </w:rPr>
      </w:pPr>
      <w:r w:rsidRPr="00752561">
        <w:rPr>
          <w:rFonts w:asciiTheme="majorBidi" w:hAnsiTheme="majorBidi" w:cstheme="majorBidi"/>
          <w:b/>
          <w:color w:val="000000" w:themeColor="text1"/>
        </w:rPr>
        <w:t xml:space="preserve">Angiotensin II modulate Thp-1-like macrophage phenotype and inflammatory signatures via </w:t>
      </w:r>
      <w:r>
        <w:rPr>
          <w:rFonts w:asciiTheme="majorBidi" w:hAnsiTheme="majorBidi" w:cstheme="majorBidi"/>
          <w:b/>
          <w:color w:val="000000" w:themeColor="text1"/>
        </w:rPr>
        <w:t>angiotensin II type1 receptor (</w:t>
      </w:r>
      <w:r w:rsidRPr="00752561">
        <w:rPr>
          <w:rFonts w:asciiTheme="majorBidi" w:hAnsiTheme="majorBidi" w:cstheme="majorBidi"/>
          <w:b/>
          <w:color w:val="000000" w:themeColor="text1"/>
        </w:rPr>
        <w:t>AT1R</w:t>
      </w:r>
      <w:r>
        <w:rPr>
          <w:rFonts w:asciiTheme="majorBidi" w:hAnsiTheme="majorBidi" w:cstheme="majorBidi"/>
          <w:b/>
          <w:color w:val="000000" w:themeColor="text1"/>
        </w:rPr>
        <w:t>)</w:t>
      </w:r>
      <w:r w:rsidRPr="00752561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14:paraId="5124BD58" w14:textId="77777777" w:rsidR="00A30F93" w:rsidRPr="00B02F49" w:rsidRDefault="00A30F93" w:rsidP="003F6C1B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</w:p>
    <w:p w14:paraId="27AF1403" w14:textId="77777777" w:rsidR="00A30F93" w:rsidRPr="00B02F49" w:rsidRDefault="00A30F93" w:rsidP="003F6C1B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</w:p>
    <w:p w14:paraId="3B4452AF" w14:textId="77777777" w:rsidR="00A30F93" w:rsidRPr="00B02F49" w:rsidRDefault="00A30F93" w:rsidP="003F6C1B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</w:p>
    <w:p w14:paraId="501753EA" w14:textId="77777777" w:rsidR="001C1FD7" w:rsidRPr="00B02F49" w:rsidRDefault="001C1FD7" w:rsidP="003F6C1B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</w:p>
    <w:p w14:paraId="51129F48" w14:textId="319DAA5B" w:rsidR="00F91C17" w:rsidRDefault="00F91C17" w:rsidP="00F91C17">
      <w:pPr>
        <w:spacing w:line="480" w:lineRule="auto"/>
        <w:rPr>
          <w:rFonts w:asciiTheme="majorBidi" w:hAnsiTheme="majorBidi" w:cstheme="majorBidi"/>
          <w:b/>
          <w:color w:val="000000" w:themeColor="text1"/>
          <w:lang w:val="fr-FR"/>
        </w:rPr>
      </w:pPr>
      <w:r w:rsidRPr="00F91C17">
        <w:rPr>
          <w:noProof/>
        </w:rPr>
        <w:drawing>
          <wp:inline distT="0" distB="0" distL="0" distR="0" wp14:anchorId="089D3BC1" wp14:editId="130A14A9">
            <wp:extent cx="3933333" cy="43333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4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3AD0" w14:textId="7F4E53D7" w:rsidR="00B02F49" w:rsidRDefault="00F91C17" w:rsidP="005F6041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Supplementary figure 1: </w:t>
      </w:r>
      <w:r w:rsidRPr="005F6041">
        <w:rPr>
          <w:rFonts w:asciiTheme="majorBidi" w:hAnsiTheme="majorBidi" w:cstheme="majorBidi"/>
          <w:b/>
          <w:bCs/>
        </w:rPr>
        <w:t xml:space="preserve">Angiotensin II </w:t>
      </w:r>
      <w:r w:rsidR="005F6041" w:rsidRPr="005F6041">
        <w:rPr>
          <w:rFonts w:asciiTheme="majorBidi" w:hAnsiTheme="majorBidi" w:cstheme="majorBidi"/>
          <w:b/>
          <w:bCs/>
        </w:rPr>
        <w:t>change</w:t>
      </w:r>
      <w:r w:rsidRPr="005F6041">
        <w:rPr>
          <w:rFonts w:asciiTheme="majorBidi" w:hAnsiTheme="majorBidi" w:cstheme="majorBidi"/>
          <w:b/>
          <w:bCs/>
        </w:rPr>
        <w:t xml:space="preserve"> p</w:t>
      </w:r>
      <w:r w:rsidR="00B3376B">
        <w:rPr>
          <w:rFonts w:asciiTheme="majorBidi" w:hAnsiTheme="majorBidi" w:cstheme="majorBidi"/>
          <w:b/>
          <w:bCs/>
        </w:rPr>
        <w:t>olarization of human m</w:t>
      </w:r>
      <w:r w:rsidRPr="005F6041">
        <w:rPr>
          <w:rFonts w:asciiTheme="majorBidi" w:hAnsiTheme="majorBidi" w:cstheme="majorBidi"/>
          <w:b/>
          <w:bCs/>
        </w:rPr>
        <w:t>onocyte/macrophages</w:t>
      </w:r>
    </w:p>
    <w:p w14:paraId="7C83EE9A" w14:textId="620563E0" w:rsidR="005F6041" w:rsidRDefault="005F6041" w:rsidP="005F6041">
      <w:pPr>
        <w:spacing w:line="480" w:lineRule="auto"/>
        <w:rPr>
          <w:rFonts w:asciiTheme="majorBidi" w:hAnsiTheme="majorBidi" w:cstheme="majorBidi"/>
        </w:rPr>
      </w:pPr>
      <w:r w:rsidRPr="005F6041">
        <w:rPr>
          <w:rFonts w:asciiTheme="majorBidi" w:hAnsiTheme="majorBidi" w:cstheme="majorBidi"/>
        </w:rPr>
        <w:t xml:space="preserve">The positive cells in frequency of HLA-DR, </w:t>
      </w:r>
      <w:r>
        <w:rPr>
          <w:rFonts w:asciiTheme="majorBidi" w:hAnsiTheme="majorBidi" w:cstheme="majorBidi"/>
        </w:rPr>
        <w:t xml:space="preserve">TNF-α, CD11C and CD38 </w:t>
      </w:r>
      <w:r w:rsidRPr="005F6041">
        <w:rPr>
          <w:rFonts w:asciiTheme="majorBidi" w:hAnsiTheme="majorBidi" w:cstheme="majorBidi"/>
        </w:rPr>
        <w:t xml:space="preserve">were analyzed by flow cytometry using human-derived macrophage treated with Angiotensin-II (Ang II) (1µM) for 24h or untreated cells (Control). In separate experiment, and before Ang II treatment, cells were incubated with </w:t>
      </w:r>
      <w:r w:rsidRPr="005F6041">
        <w:rPr>
          <w:rFonts w:asciiTheme="majorBidi" w:hAnsiTheme="majorBidi" w:cstheme="majorBidi"/>
        </w:rPr>
        <w:lastRenderedPageBreak/>
        <w:t>losartan (100 µM) for 2h (Ang II/Los)</w:t>
      </w:r>
      <w:r>
        <w:rPr>
          <w:rFonts w:asciiTheme="majorBidi" w:hAnsiTheme="majorBidi" w:cstheme="majorBidi"/>
        </w:rPr>
        <w:t>.</w:t>
      </w:r>
      <w:r w:rsidRPr="005F6041">
        <w:rPr>
          <w:rFonts w:asciiTheme="majorBidi" w:hAnsiTheme="majorBidi" w:cstheme="majorBidi"/>
        </w:rPr>
        <w:t xml:space="preserve"> Results are presented as means ± SEM, n=3-4.</w:t>
      </w:r>
      <w:r>
        <w:rPr>
          <w:rFonts w:asciiTheme="majorBidi" w:hAnsiTheme="majorBidi" w:cstheme="majorBidi"/>
        </w:rPr>
        <w:t xml:space="preserve"> *P &lt; 0.05 </w:t>
      </w:r>
      <w:r w:rsidRPr="005F6041">
        <w:rPr>
          <w:rFonts w:asciiTheme="majorBidi" w:hAnsiTheme="majorBidi" w:cstheme="majorBidi"/>
        </w:rPr>
        <w:t>compared to controls</w:t>
      </w:r>
      <w:r>
        <w:rPr>
          <w:rFonts w:asciiTheme="majorBidi" w:hAnsiTheme="majorBidi" w:cstheme="majorBidi"/>
        </w:rPr>
        <w:t xml:space="preserve"> and </w:t>
      </w:r>
      <w:r w:rsidRPr="005F6041">
        <w:rPr>
          <w:rFonts w:asciiTheme="majorBidi" w:hAnsiTheme="majorBidi" w:cstheme="majorBidi"/>
          <w:vertAlign w:val="superscript"/>
        </w:rPr>
        <w:t>#</w:t>
      </w:r>
      <w:r>
        <w:rPr>
          <w:rFonts w:asciiTheme="majorBidi" w:hAnsiTheme="majorBidi" w:cstheme="majorBidi"/>
        </w:rPr>
        <w:t xml:space="preserve">P&lt;0.05 </w:t>
      </w:r>
      <w:r w:rsidRPr="005F6041">
        <w:rPr>
          <w:rFonts w:asciiTheme="majorBidi" w:hAnsiTheme="majorBidi" w:cstheme="majorBidi"/>
        </w:rPr>
        <w:t xml:space="preserve">compared to </w:t>
      </w:r>
      <w:r>
        <w:rPr>
          <w:rFonts w:asciiTheme="majorBidi" w:hAnsiTheme="majorBidi" w:cstheme="majorBidi"/>
        </w:rPr>
        <w:t>Ang-II</w:t>
      </w:r>
      <w:r w:rsidRPr="005F6041">
        <w:rPr>
          <w:rFonts w:asciiTheme="majorBidi" w:hAnsiTheme="majorBidi" w:cstheme="majorBidi"/>
        </w:rPr>
        <w:t>.</w:t>
      </w:r>
    </w:p>
    <w:p w14:paraId="4465D190" w14:textId="12990C3E" w:rsidR="00F91C17" w:rsidRDefault="00F91C17" w:rsidP="00F91C17">
      <w:pPr>
        <w:spacing w:line="480" w:lineRule="auto"/>
        <w:rPr>
          <w:rFonts w:asciiTheme="majorBidi" w:hAnsiTheme="majorBidi" w:cstheme="majorBidi"/>
          <w:b/>
          <w:bCs/>
        </w:rPr>
      </w:pPr>
    </w:p>
    <w:p w14:paraId="0CE44F01" w14:textId="6121F808" w:rsidR="00F91C17" w:rsidRDefault="00083A9B" w:rsidP="00083A9B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  <w:r w:rsidRPr="00083A9B">
        <w:rPr>
          <w:noProof/>
        </w:rPr>
        <w:drawing>
          <wp:inline distT="0" distB="0" distL="0" distR="0" wp14:anchorId="6F353274" wp14:editId="5720860C">
            <wp:extent cx="6400800" cy="3592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AC34" w14:textId="576B3B81" w:rsidR="00AF1A11" w:rsidRDefault="00AF1A11" w:rsidP="00836BA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Supplementary figure 2: </w:t>
      </w:r>
      <w:r w:rsidRPr="00836BA2">
        <w:rPr>
          <w:rFonts w:asciiTheme="majorBidi" w:hAnsiTheme="majorBidi" w:cstheme="majorBidi"/>
          <w:b/>
          <w:bCs/>
        </w:rPr>
        <w:t xml:space="preserve">Angiotensin II </w:t>
      </w:r>
      <w:r w:rsidR="00836BA2" w:rsidRPr="00836BA2">
        <w:rPr>
          <w:rFonts w:asciiTheme="majorBidi" w:hAnsiTheme="majorBidi" w:cstheme="majorBidi"/>
          <w:b/>
          <w:bCs/>
        </w:rPr>
        <w:t xml:space="preserve">change </w:t>
      </w:r>
      <w:r w:rsidR="00B3376B">
        <w:rPr>
          <w:rFonts w:asciiTheme="majorBidi" w:hAnsiTheme="majorBidi" w:cstheme="majorBidi"/>
          <w:b/>
          <w:bCs/>
        </w:rPr>
        <w:t>human m</w:t>
      </w:r>
      <w:r w:rsidRPr="00836BA2">
        <w:rPr>
          <w:rFonts w:asciiTheme="majorBidi" w:hAnsiTheme="majorBidi" w:cstheme="majorBidi"/>
          <w:b/>
          <w:bCs/>
        </w:rPr>
        <w:t>onocyte/macrophages phenotype</w:t>
      </w:r>
      <w:r w:rsidR="00836BA2">
        <w:rPr>
          <w:rFonts w:asciiTheme="majorBidi" w:hAnsiTheme="majorBidi" w:cstheme="majorBidi"/>
        </w:rPr>
        <w:t>.</w:t>
      </w:r>
      <w:r w:rsidRPr="00AF1A11">
        <w:rPr>
          <w:rFonts w:asciiTheme="majorBidi" w:hAnsiTheme="majorBidi" w:cstheme="majorBidi"/>
        </w:rPr>
        <w:t xml:space="preserve"> </w:t>
      </w:r>
    </w:p>
    <w:p w14:paraId="499A1F75" w14:textId="30EC1A90" w:rsidR="00990B97" w:rsidRPr="00990B97" w:rsidRDefault="00990B97" w:rsidP="00836BA2">
      <w:pPr>
        <w:spacing w:line="480" w:lineRule="auto"/>
        <w:jc w:val="both"/>
        <w:rPr>
          <w:rFonts w:ascii="Times New Roman" w:eastAsia="MS Mincho" w:hAnsi="Times New Roman" w:cs="Times New Roman"/>
          <w:color w:val="000000"/>
        </w:rPr>
      </w:pPr>
      <w:r w:rsidRPr="00990B97">
        <w:rPr>
          <w:rFonts w:ascii="Times New Roman" w:eastAsia="MS Mincho" w:hAnsi="Times New Roman" w:cs="Times New Roman"/>
          <w:color w:val="000000"/>
        </w:rPr>
        <w:t xml:space="preserve">The </w:t>
      </w:r>
      <w:r w:rsidR="00836BA2">
        <w:rPr>
          <w:rFonts w:ascii="Times New Roman" w:eastAsia="MS Mincho" w:hAnsi="Times New Roman" w:cs="Times New Roman"/>
          <w:color w:val="000000"/>
        </w:rPr>
        <w:t>positive cells in frequency</w:t>
      </w:r>
      <w:r w:rsidRPr="00990B97">
        <w:rPr>
          <w:rFonts w:ascii="Times New Roman" w:eastAsia="MS Mincho" w:hAnsi="Times New Roman" w:cs="Times New Roman"/>
          <w:color w:val="000000"/>
        </w:rPr>
        <w:t xml:space="preserve"> </w:t>
      </w:r>
      <w:r w:rsidR="00836BA2">
        <w:rPr>
          <w:rFonts w:ascii="Times New Roman" w:eastAsia="MS Mincho" w:hAnsi="Times New Roman" w:cs="Times New Roman"/>
          <w:color w:val="000000"/>
        </w:rPr>
        <w:t xml:space="preserve">of </w:t>
      </w:r>
      <w:r w:rsidR="00836BA2" w:rsidRPr="00990B97">
        <w:rPr>
          <w:rFonts w:ascii="Times New Roman" w:eastAsia="MS Mincho" w:hAnsi="Times New Roman" w:cs="Times New Roman"/>
          <w:color w:val="000000"/>
        </w:rPr>
        <w:t>HLA-DR</w:t>
      </w:r>
      <w:r w:rsidR="00836BA2">
        <w:rPr>
          <w:rFonts w:ascii="Times New Roman" w:eastAsia="MS Mincho" w:hAnsi="Times New Roman" w:cs="Times New Roman"/>
          <w:color w:val="000000"/>
        </w:rPr>
        <w:t>,</w:t>
      </w:r>
      <w:r w:rsidR="00836BA2" w:rsidRPr="00990B97">
        <w:rPr>
          <w:rFonts w:ascii="Times New Roman" w:eastAsia="MS Mincho" w:hAnsi="Times New Roman" w:cs="Times New Roman"/>
          <w:color w:val="000000"/>
        </w:rPr>
        <w:t xml:space="preserve"> </w:t>
      </w:r>
      <w:r w:rsidR="00836BA2">
        <w:rPr>
          <w:rFonts w:ascii="Times New Roman" w:eastAsia="MS Mincho" w:hAnsi="Times New Roman" w:cs="Times New Roman"/>
          <w:color w:val="000000"/>
        </w:rPr>
        <w:t>CD33, CD116, CD64, CD15, CD44 and CD49F</w:t>
      </w:r>
      <w:r w:rsidRPr="00990B97">
        <w:rPr>
          <w:rFonts w:ascii="Times New Roman" w:eastAsia="MS Mincho" w:hAnsi="Times New Roman" w:cs="Times New Roman"/>
          <w:color w:val="000000"/>
        </w:rPr>
        <w:t xml:space="preserve"> were analyzed by flow cytometry using </w:t>
      </w:r>
      <w:r w:rsidR="00836BA2">
        <w:rPr>
          <w:rFonts w:ascii="Times New Roman" w:eastAsia="MS Mincho" w:hAnsi="Times New Roman" w:cs="Times New Roman"/>
          <w:color w:val="000000"/>
        </w:rPr>
        <w:t>human</w:t>
      </w:r>
      <w:r w:rsidRPr="00990B97">
        <w:rPr>
          <w:rFonts w:ascii="Times New Roman" w:eastAsia="MS Mincho" w:hAnsi="Times New Roman" w:cs="Times New Roman"/>
          <w:color w:val="000000"/>
        </w:rPr>
        <w:t>-derived macrophage treated with Angiotensin-II (Ang II)</w:t>
      </w:r>
      <w:r w:rsidRPr="00990B97">
        <w:t xml:space="preserve"> </w:t>
      </w:r>
      <w:r w:rsidRPr="00990B97">
        <w:rPr>
          <w:rFonts w:ascii="Times New Roman" w:eastAsia="MS Mincho" w:hAnsi="Times New Roman" w:cs="Times New Roman"/>
          <w:color w:val="000000"/>
        </w:rPr>
        <w:t>(1µM) for 24h or untreated cells (Control). Results are presented as means ± SEM, n=3-4. *</w:t>
      </w:r>
      <w:r w:rsidRPr="00990B97">
        <w:rPr>
          <w:rFonts w:ascii="Times New Roman" w:eastAsia="MS Mincho" w:hAnsi="Times New Roman" w:cs="Times New Roman"/>
          <w:i/>
          <w:iCs/>
          <w:color w:val="000000"/>
        </w:rPr>
        <w:t>P</w:t>
      </w:r>
      <w:r w:rsidRPr="00990B97">
        <w:rPr>
          <w:rFonts w:ascii="Times New Roman" w:eastAsia="MS Mincho" w:hAnsi="Times New Roman" w:cs="Times New Roman"/>
          <w:color w:val="000000"/>
        </w:rPr>
        <w:t> &lt; 0.05 and **</w:t>
      </w:r>
      <w:r w:rsidRPr="00990B97">
        <w:rPr>
          <w:rFonts w:ascii="Times New Roman" w:eastAsia="MS Mincho" w:hAnsi="Times New Roman" w:cs="Times New Roman"/>
          <w:i/>
          <w:iCs/>
          <w:color w:val="000000"/>
        </w:rPr>
        <w:t>P</w:t>
      </w:r>
      <w:r w:rsidRPr="00990B97">
        <w:rPr>
          <w:rFonts w:ascii="Times New Roman" w:eastAsia="MS Mincho" w:hAnsi="Times New Roman" w:cs="Times New Roman"/>
          <w:color w:val="000000"/>
        </w:rPr>
        <w:t> &lt; 0.01 and compared to controls.</w:t>
      </w:r>
    </w:p>
    <w:p w14:paraId="6DC35273" w14:textId="77777777" w:rsidR="00B02F49" w:rsidRDefault="00B02F49" w:rsidP="00AF1A11">
      <w:pPr>
        <w:spacing w:line="480" w:lineRule="auto"/>
        <w:rPr>
          <w:rFonts w:asciiTheme="majorBidi" w:hAnsiTheme="majorBidi" w:cstheme="majorBidi"/>
          <w:b/>
          <w:bCs/>
        </w:rPr>
      </w:pPr>
    </w:p>
    <w:p w14:paraId="32970525" w14:textId="72CD6139" w:rsidR="00AF1A11" w:rsidRDefault="009614F2" w:rsidP="009614F2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  <w:r w:rsidRPr="009614F2">
        <w:rPr>
          <w:noProof/>
        </w:rPr>
        <w:lastRenderedPageBreak/>
        <w:drawing>
          <wp:inline distT="0" distB="0" distL="0" distR="0" wp14:anchorId="4C17AE82" wp14:editId="438E9328">
            <wp:extent cx="4723809" cy="3990476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1A28" w14:textId="7AF349CD" w:rsidR="00B3376B" w:rsidRDefault="006101D9" w:rsidP="00B3376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Supplementary figure 3: </w:t>
      </w:r>
      <w:r w:rsidR="00B3376B" w:rsidRPr="00836BA2">
        <w:rPr>
          <w:rFonts w:ascii="Times New Roman" w:eastAsia="MS Mincho" w:hAnsi="Times New Roman" w:cs="Times New Roman"/>
          <w:b/>
          <w:color w:val="000000"/>
        </w:rPr>
        <w:t>Ang II induced ROS production</w:t>
      </w:r>
      <w:r w:rsidR="00B3376B" w:rsidRPr="00B3376B">
        <w:rPr>
          <w:rFonts w:asciiTheme="majorBidi" w:hAnsiTheme="majorBidi" w:cstheme="majorBidi"/>
          <w:b/>
        </w:rPr>
        <w:t xml:space="preserve"> </w:t>
      </w:r>
      <w:r w:rsidR="00B3376B">
        <w:rPr>
          <w:rFonts w:asciiTheme="majorBidi" w:hAnsiTheme="majorBidi" w:cstheme="majorBidi"/>
          <w:b/>
        </w:rPr>
        <w:t>in human m</w:t>
      </w:r>
      <w:r w:rsidRPr="00B3376B">
        <w:rPr>
          <w:rFonts w:asciiTheme="majorBidi" w:hAnsiTheme="majorBidi" w:cstheme="majorBidi"/>
          <w:b/>
        </w:rPr>
        <w:t>onocyte/macrophages</w:t>
      </w:r>
      <w:r w:rsidR="00B3376B">
        <w:rPr>
          <w:rFonts w:asciiTheme="majorBidi" w:hAnsiTheme="majorBidi" w:cstheme="majorBidi"/>
          <w:b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0304961E" w14:textId="77777777" w:rsidR="008C56EE" w:rsidRPr="008C56EE" w:rsidRDefault="00B3376B" w:rsidP="008C56EE">
      <w:pPr>
        <w:spacing w:line="480" w:lineRule="auto"/>
        <w:rPr>
          <w:rFonts w:asciiTheme="majorBidi" w:hAnsiTheme="majorBidi" w:cstheme="majorBidi"/>
        </w:rPr>
      </w:pPr>
      <w:r w:rsidRPr="008C56EE">
        <w:rPr>
          <w:rFonts w:asciiTheme="majorBidi" w:hAnsiTheme="majorBidi" w:cstheme="majorBidi"/>
          <w:bCs/>
        </w:rPr>
        <w:t>Human monocyte/macrophages</w:t>
      </w:r>
      <w:r>
        <w:rPr>
          <w:rFonts w:asciiTheme="majorBidi" w:hAnsiTheme="majorBidi" w:cstheme="majorBidi"/>
        </w:rPr>
        <w:t xml:space="preserve"> </w:t>
      </w:r>
      <w:r w:rsidR="00836BA2" w:rsidRPr="00836BA2">
        <w:rPr>
          <w:rFonts w:ascii="Times New Roman" w:hAnsi="Times New Roman" w:cs="Times New Roman"/>
        </w:rPr>
        <w:t>were treated with Angiotensin II (Ang II)</w:t>
      </w:r>
      <w:r w:rsidR="00836BA2" w:rsidRPr="00836BA2">
        <w:t xml:space="preserve"> </w:t>
      </w:r>
      <w:r w:rsidR="00836BA2" w:rsidRPr="00836BA2">
        <w:rPr>
          <w:rFonts w:ascii="Times New Roman" w:hAnsi="Times New Roman" w:cs="Times New Roman"/>
        </w:rPr>
        <w:t>(1µM) for 24h; Ang II and losartan (Ang II/Los)</w:t>
      </w:r>
      <w:r w:rsidR="00836BA2" w:rsidRPr="00836BA2">
        <w:t xml:space="preserve"> </w:t>
      </w:r>
      <w:r w:rsidR="00836BA2" w:rsidRPr="00836BA2">
        <w:rPr>
          <w:rFonts w:ascii="Times New Roman" w:hAnsi="Times New Roman" w:cs="Times New Roman"/>
        </w:rPr>
        <w:t xml:space="preserve">(100 µM) or untreated cells (Control). </w:t>
      </w:r>
      <w:r w:rsidR="008C56EE">
        <w:rPr>
          <w:rFonts w:ascii="Times New Roman" w:hAnsi="Times New Roman" w:cs="Times New Roman"/>
        </w:rPr>
        <w:t>C</w:t>
      </w:r>
      <w:r w:rsidR="00836BA2" w:rsidRPr="00836BA2">
        <w:rPr>
          <w:rFonts w:ascii="Times New Roman" w:hAnsi="Times New Roman" w:cs="Times New Roman"/>
        </w:rPr>
        <w:t>ells</w:t>
      </w:r>
      <w:r w:rsidR="00836BA2" w:rsidRPr="00836BA2">
        <w:t xml:space="preserve"> </w:t>
      </w:r>
      <w:r w:rsidR="00836BA2" w:rsidRPr="00836BA2">
        <w:rPr>
          <w:rFonts w:ascii="Times New Roman" w:hAnsi="Times New Roman" w:cs="Times New Roman"/>
        </w:rPr>
        <w:t>prepared in suspensions at 10</w:t>
      </w:r>
      <w:r w:rsidR="00836BA2" w:rsidRPr="00836BA2">
        <w:rPr>
          <w:rFonts w:ascii="Times New Roman" w:hAnsi="Times New Roman" w:cs="Times New Roman"/>
          <w:vertAlign w:val="superscript"/>
        </w:rPr>
        <w:t>5</w:t>
      </w:r>
      <w:r w:rsidR="00836BA2" w:rsidRPr="00836BA2">
        <w:rPr>
          <w:rFonts w:ascii="Times New Roman" w:hAnsi="Times New Roman" w:cs="Times New Roman"/>
        </w:rPr>
        <w:t xml:space="preserve"> to 10</w:t>
      </w:r>
      <w:r w:rsidR="00836BA2" w:rsidRPr="00836BA2">
        <w:rPr>
          <w:rFonts w:ascii="Times New Roman" w:hAnsi="Times New Roman" w:cs="Times New Roman"/>
          <w:vertAlign w:val="superscript"/>
        </w:rPr>
        <w:t>6</w:t>
      </w:r>
      <w:r w:rsidR="00836BA2" w:rsidRPr="00836BA2">
        <w:rPr>
          <w:rFonts w:ascii="Times New Roman" w:hAnsi="Times New Roman" w:cs="Times New Roman"/>
        </w:rPr>
        <w:t xml:space="preserve"> cells/mL were incubated with </w:t>
      </w:r>
      <w:r w:rsidR="00836BA2" w:rsidRPr="00836BA2">
        <w:rPr>
          <w:rFonts w:ascii="Times New Roman" w:eastAsia="MS Mincho" w:hAnsi="Times New Roman" w:cs="Times New Roman"/>
          <w:color w:val="000000"/>
        </w:rPr>
        <w:t>CellROX Deep Red reagent (5 μm)</w:t>
      </w:r>
      <w:r w:rsidR="00836BA2" w:rsidRPr="00836BA2">
        <w:t xml:space="preserve"> </w:t>
      </w:r>
      <w:r w:rsidR="00836BA2" w:rsidRPr="00836BA2">
        <w:rPr>
          <w:rFonts w:ascii="Times New Roman" w:eastAsia="MS Mincho" w:hAnsi="Times New Roman" w:cs="Times New Roman"/>
          <w:color w:val="000000"/>
        </w:rPr>
        <w:t xml:space="preserve">for 30 minutes at 37°C, 5% CO2, protected from light, than analyzed using flow cytometry (BD LSR Fortessa). </w:t>
      </w:r>
      <w:r w:rsidR="008C56EE" w:rsidRPr="008C56EE">
        <w:rPr>
          <w:rFonts w:asciiTheme="majorBidi" w:hAnsiTheme="majorBidi" w:cstheme="majorBidi"/>
        </w:rPr>
        <w:t xml:space="preserve">Results are presented as means ± SEM, n=3-4. *P &lt; 0.05 compared to controls and </w:t>
      </w:r>
      <w:r w:rsidR="008C56EE" w:rsidRPr="008C56EE">
        <w:rPr>
          <w:rFonts w:asciiTheme="majorBidi" w:hAnsiTheme="majorBidi" w:cstheme="majorBidi"/>
          <w:vertAlign w:val="superscript"/>
        </w:rPr>
        <w:t>#</w:t>
      </w:r>
      <w:r w:rsidR="008C56EE" w:rsidRPr="008C56EE">
        <w:rPr>
          <w:rFonts w:asciiTheme="majorBidi" w:hAnsiTheme="majorBidi" w:cstheme="majorBidi"/>
        </w:rPr>
        <w:t>P&lt;0.05 compared to Ang-II.</w:t>
      </w:r>
    </w:p>
    <w:p w14:paraId="20F28579" w14:textId="7C7A831B" w:rsidR="006101D9" w:rsidRDefault="006101D9" w:rsidP="008C56EE">
      <w:pPr>
        <w:spacing w:line="480" w:lineRule="auto"/>
        <w:rPr>
          <w:rFonts w:asciiTheme="majorBidi" w:hAnsiTheme="majorBidi" w:cstheme="majorBidi"/>
          <w:b/>
          <w:color w:val="000000" w:themeColor="text1"/>
        </w:rPr>
      </w:pPr>
      <w:r w:rsidRPr="006101D9">
        <w:rPr>
          <w:noProof/>
        </w:rPr>
        <w:lastRenderedPageBreak/>
        <w:drawing>
          <wp:inline distT="0" distB="0" distL="0" distR="0" wp14:anchorId="7FCA1B6A" wp14:editId="078A9C83">
            <wp:extent cx="4685714" cy="4057143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24CD" w14:textId="4C67F5BC" w:rsidR="00AF1A11" w:rsidRDefault="001F54DF" w:rsidP="008C56EE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Supplementary figure 4</w:t>
      </w:r>
      <w:r w:rsidR="00AF1A11">
        <w:rPr>
          <w:rFonts w:asciiTheme="majorBidi" w:hAnsiTheme="majorBidi" w:cstheme="majorBidi"/>
          <w:b/>
          <w:bCs/>
        </w:rPr>
        <w:t xml:space="preserve">: </w:t>
      </w:r>
      <w:r w:rsidR="008C56EE" w:rsidRPr="00836BA2">
        <w:rPr>
          <w:rFonts w:ascii="Times New Roman" w:eastAsia="MS Mincho" w:hAnsi="Times New Roman" w:cs="Times New Roman"/>
          <w:b/>
          <w:bCs/>
          <w:color w:val="000000"/>
        </w:rPr>
        <w:t xml:space="preserve">Ang II increases intracellular calcium </w:t>
      </w:r>
      <w:r w:rsidR="008C56EE" w:rsidRPr="008C56EE">
        <w:rPr>
          <w:rFonts w:asciiTheme="majorBidi" w:hAnsiTheme="majorBidi" w:cstheme="majorBidi"/>
          <w:b/>
          <w:bCs/>
        </w:rPr>
        <w:t>in human m</w:t>
      </w:r>
      <w:r w:rsidR="00AF1A11" w:rsidRPr="008C56EE">
        <w:rPr>
          <w:rFonts w:asciiTheme="majorBidi" w:hAnsiTheme="majorBidi" w:cstheme="majorBidi"/>
          <w:b/>
          <w:bCs/>
        </w:rPr>
        <w:t>onocyte/macrophages</w:t>
      </w:r>
      <w:r w:rsidR="00AF1A11">
        <w:rPr>
          <w:rFonts w:asciiTheme="majorBidi" w:hAnsiTheme="majorBidi" w:cstheme="majorBidi"/>
        </w:rPr>
        <w:t xml:space="preserve"> </w:t>
      </w:r>
    </w:p>
    <w:p w14:paraId="1C7A7F46" w14:textId="0EC2CDE1" w:rsidR="00836BA2" w:rsidRPr="00836BA2" w:rsidRDefault="008C56EE" w:rsidP="008C56EE">
      <w:pPr>
        <w:spacing w:line="480" w:lineRule="auto"/>
        <w:jc w:val="both"/>
        <w:rPr>
          <w:rFonts w:ascii="Times New Roman" w:eastAsia="MS Mincho" w:hAnsi="Times New Roman" w:cs="Times New Roman"/>
          <w:color w:val="000000"/>
        </w:rPr>
      </w:pPr>
      <w:r>
        <w:rPr>
          <w:rFonts w:asciiTheme="majorBidi" w:hAnsiTheme="majorBidi" w:cstheme="majorBidi"/>
        </w:rPr>
        <w:t>H</w:t>
      </w:r>
      <w:r w:rsidRPr="008C56EE">
        <w:rPr>
          <w:rFonts w:asciiTheme="majorBidi" w:hAnsiTheme="majorBidi" w:cstheme="majorBidi"/>
        </w:rPr>
        <w:t>uman monocyte/macrophages</w:t>
      </w:r>
      <w:r>
        <w:rPr>
          <w:rFonts w:asciiTheme="majorBidi" w:hAnsiTheme="majorBidi" w:cstheme="majorBidi"/>
        </w:rPr>
        <w:t xml:space="preserve"> </w:t>
      </w:r>
      <w:r w:rsidR="00836BA2" w:rsidRPr="00836BA2">
        <w:rPr>
          <w:rFonts w:ascii="Times New Roman" w:eastAsia="MS Mincho" w:hAnsi="Times New Roman" w:cs="Times New Roman"/>
          <w:color w:val="000000"/>
        </w:rPr>
        <w:t xml:space="preserve">treated with </w:t>
      </w:r>
      <w:r w:rsidRPr="008C56EE">
        <w:rPr>
          <w:rFonts w:ascii="Times New Roman" w:eastAsia="MS Mincho" w:hAnsi="Times New Roman" w:cs="Times New Roman"/>
          <w:color w:val="000000"/>
        </w:rPr>
        <w:t>Angiotensin II (Ang II) (1µM) for 24h; Ang II and losartan (Ang II/Los) (100 µM) or untreated cells (Control)</w:t>
      </w:r>
      <w:r w:rsidR="00836BA2" w:rsidRPr="00836BA2">
        <w:rPr>
          <w:rFonts w:ascii="Times New Roman" w:eastAsia="MS Mincho" w:hAnsi="Times New Roman" w:cs="Times New Roman"/>
          <w:color w:val="000000"/>
        </w:rPr>
        <w:t xml:space="preserve">. Cells were loaded with the Fluo4 Ca2+ indicator, and Dil. </w:t>
      </w:r>
      <w:r>
        <w:rPr>
          <w:rFonts w:asciiTheme="majorBidi" w:hAnsiTheme="majorBidi" w:cstheme="majorBidi"/>
        </w:rPr>
        <w:t>H</w:t>
      </w:r>
      <w:r w:rsidRPr="008C56EE">
        <w:rPr>
          <w:rFonts w:asciiTheme="majorBidi" w:hAnsiTheme="majorBidi" w:cstheme="majorBidi"/>
        </w:rPr>
        <w:t>uman monocyte/macrophages</w:t>
      </w:r>
      <w:r>
        <w:rPr>
          <w:rFonts w:asciiTheme="majorBidi" w:hAnsiTheme="majorBidi" w:cstheme="majorBidi"/>
        </w:rPr>
        <w:t xml:space="preserve"> </w:t>
      </w:r>
      <w:r w:rsidR="00836BA2" w:rsidRPr="00836BA2">
        <w:rPr>
          <w:rFonts w:ascii="Times New Roman" w:eastAsia="MS Mincho" w:hAnsi="Times New Roman" w:cs="Times New Roman"/>
          <w:color w:val="000000"/>
        </w:rPr>
        <w:t xml:space="preserve">was loaded with calcium indicator Flou4 AM, </w:t>
      </w:r>
      <w:r w:rsidR="00836BA2" w:rsidRPr="00836BA2">
        <w:rPr>
          <w:rFonts w:ascii="Times New Roman" w:hAnsi="Times New Roman" w:cs="Times New Roman"/>
        </w:rPr>
        <w:t xml:space="preserve">Fluo4 fluorescence corresponding to cytosolic free Ca2+ measured as median fluorescent intensity. </w:t>
      </w:r>
      <w:r w:rsidRPr="008C56EE">
        <w:rPr>
          <w:rFonts w:ascii="Times New Roman" w:hAnsi="Times New Roman" w:cs="Times New Roman"/>
        </w:rPr>
        <w:t xml:space="preserve">Results are presented as means ± SEM, n=3-4. </w:t>
      </w:r>
      <w:r>
        <w:rPr>
          <w:rFonts w:ascii="Times New Roman" w:hAnsi="Times New Roman" w:cs="Times New Roman"/>
        </w:rPr>
        <w:t>**P &lt; 0.01</w:t>
      </w:r>
      <w:r w:rsidRPr="008C56EE">
        <w:rPr>
          <w:rFonts w:ascii="Times New Roman" w:hAnsi="Times New Roman" w:cs="Times New Roman"/>
        </w:rPr>
        <w:t xml:space="preserve"> compared to controls and </w:t>
      </w:r>
      <w:r>
        <w:rPr>
          <w:rFonts w:ascii="Times New Roman" w:hAnsi="Times New Roman" w:cs="Times New Roman"/>
          <w:vertAlign w:val="superscript"/>
        </w:rPr>
        <w:t>##</w:t>
      </w:r>
      <w:r>
        <w:rPr>
          <w:rFonts w:ascii="Times New Roman" w:hAnsi="Times New Roman" w:cs="Times New Roman"/>
        </w:rPr>
        <w:t>P&lt;0.01</w:t>
      </w:r>
      <w:r w:rsidRPr="008C56EE">
        <w:rPr>
          <w:rFonts w:ascii="Times New Roman" w:hAnsi="Times New Roman" w:cs="Times New Roman"/>
        </w:rPr>
        <w:t xml:space="preserve"> compared to Ang-II.</w:t>
      </w:r>
    </w:p>
    <w:p w14:paraId="4357DB07" w14:textId="77777777" w:rsidR="00836BA2" w:rsidRDefault="00836BA2" w:rsidP="006101D9">
      <w:pPr>
        <w:spacing w:line="480" w:lineRule="auto"/>
        <w:rPr>
          <w:rFonts w:asciiTheme="majorBidi" w:hAnsiTheme="majorBidi" w:cstheme="majorBidi"/>
        </w:rPr>
      </w:pPr>
    </w:p>
    <w:p w14:paraId="449D4E70" w14:textId="699A4AC3" w:rsidR="00AF1A11" w:rsidRDefault="00AF1A11" w:rsidP="00AF1A11">
      <w:pPr>
        <w:spacing w:line="480" w:lineRule="auto"/>
        <w:rPr>
          <w:rFonts w:asciiTheme="majorBidi" w:hAnsiTheme="majorBidi" w:cstheme="majorBidi"/>
          <w:b/>
          <w:bCs/>
        </w:rPr>
      </w:pPr>
      <w:r w:rsidRPr="00AF1A11">
        <w:rPr>
          <w:noProof/>
        </w:rPr>
        <w:lastRenderedPageBreak/>
        <w:drawing>
          <wp:inline distT="0" distB="0" distL="0" distR="0" wp14:anchorId="5F330EAD" wp14:editId="44C6FC02">
            <wp:extent cx="3133333" cy="35333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3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9172" w14:textId="3D0CB412" w:rsidR="00AF1A11" w:rsidRDefault="001F54DF" w:rsidP="00040DB9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Supplementary figure 5</w:t>
      </w:r>
      <w:r w:rsidR="00AF1A11">
        <w:rPr>
          <w:rFonts w:asciiTheme="majorBidi" w:hAnsiTheme="majorBidi" w:cstheme="majorBidi"/>
          <w:b/>
          <w:bCs/>
        </w:rPr>
        <w:t xml:space="preserve">: </w:t>
      </w:r>
      <w:r w:rsidR="00040DB9" w:rsidRPr="00990B97">
        <w:rPr>
          <w:rFonts w:ascii="Times New Roman" w:eastAsia="MS Mincho" w:hAnsi="Times New Roman" w:cs="Times New Roman"/>
          <w:b/>
          <w:color w:val="000000"/>
        </w:rPr>
        <w:t xml:space="preserve">Ang II induces Apoptosis </w:t>
      </w:r>
      <w:r w:rsidR="00040DB9">
        <w:rPr>
          <w:rFonts w:asciiTheme="majorBidi" w:hAnsiTheme="majorBidi" w:cstheme="majorBidi"/>
          <w:b/>
          <w:bCs/>
        </w:rPr>
        <w:t>in human m</w:t>
      </w:r>
      <w:r w:rsidR="00AF1A11" w:rsidRPr="00040DB9">
        <w:rPr>
          <w:rFonts w:asciiTheme="majorBidi" w:hAnsiTheme="majorBidi" w:cstheme="majorBidi"/>
          <w:b/>
          <w:bCs/>
        </w:rPr>
        <w:t>onocyte/macrophages</w:t>
      </w:r>
      <w:r w:rsidR="00040DB9">
        <w:rPr>
          <w:rFonts w:asciiTheme="majorBidi" w:hAnsiTheme="majorBidi" w:cstheme="majorBidi"/>
          <w:b/>
          <w:bCs/>
        </w:rPr>
        <w:t>.</w:t>
      </w:r>
      <w:r w:rsidR="00AF1A11">
        <w:rPr>
          <w:rFonts w:asciiTheme="majorBidi" w:hAnsiTheme="majorBidi" w:cstheme="majorBidi"/>
        </w:rPr>
        <w:t xml:space="preserve"> </w:t>
      </w:r>
    </w:p>
    <w:p w14:paraId="4B41F4F1" w14:textId="0448B81A" w:rsidR="00AF1A11" w:rsidRPr="00F91C17" w:rsidRDefault="00040DB9" w:rsidP="00C51631">
      <w:pPr>
        <w:spacing w:line="480" w:lineRule="auto"/>
        <w:jc w:val="both"/>
        <w:rPr>
          <w:rFonts w:asciiTheme="majorBidi" w:hAnsiTheme="majorBidi" w:cstheme="majorBidi"/>
          <w:b/>
          <w:color w:val="000000" w:themeColor="text1"/>
        </w:rPr>
      </w:pPr>
      <w:r w:rsidRPr="00040DB9">
        <w:rPr>
          <w:rFonts w:asciiTheme="majorBidi" w:hAnsiTheme="majorBidi" w:cstheme="majorBidi"/>
        </w:rPr>
        <w:t>Human monocyte/macrophages</w:t>
      </w:r>
      <w:r>
        <w:rPr>
          <w:rFonts w:asciiTheme="majorBidi" w:hAnsiTheme="majorBidi" w:cstheme="majorBidi"/>
        </w:rPr>
        <w:t xml:space="preserve"> </w:t>
      </w:r>
      <w:r w:rsidR="00990B97" w:rsidRPr="00990B97">
        <w:rPr>
          <w:rFonts w:ascii="Times New Roman" w:hAnsi="Times New Roman" w:cs="Times New Roman"/>
        </w:rPr>
        <w:t xml:space="preserve">were treated with </w:t>
      </w:r>
      <w:r w:rsidR="00C51631" w:rsidRPr="00C51631">
        <w:rPr>
          <w:rFonts w:ascii="Times New Roman" w:hAnsi="Times New Roman" w:cs="Times New Roman"/>
        </w:rPr>
        <w:t xml:space="preserve">Angiotensin II (Ang II) (1µM) for 24h; Ang II and losartan (Ang II/Los) (100 µM) or untreated cells (Control). </w:t>
      </w:r>
      <w:r w:rsidR="00990B97" w:rsidRPr="00990B97">
        <w:rPr>
          <w:rFonts w:ascii="Times New Roman" w:hAnsi="Times New Roman" w:cs="Times New Roman"/>
        </w:rPr>
        <w:t xml:space="preserve"> Apoptosis was measured using Annexin V staining. All samples were analysed using</w:t>
      </w:r>
      <w:r w:rsidR="00990B97" w:rsidRPr="00990B97">
        <w:rPr>
          <w:rFonts w:ascii="Times New Roman" w:eastAsia="MS Mincho" w:hAnsi="Times New Roman" w:cs="Times New Roman"/>
          <w:color w:val="000000"/>
        </w:rPr>
        <w:t xml:space="preserve"> flow cytometry (BDLSR Fortessa).</w:t>
      </w:r>
      <w:r w:rsidR="00990B97" w:rsidRPr="00990B97">
        <w:rPr>
          <w:rFonts w:ascii="Times New Roman" w:eastAsia="MS Mincho" w:hAnsi="Times New Roman" w:cs="Times New Roman"/>
          <w:b/>
          <w:color w:val="000000"/>
        </w:rPr>
        <w:t xml:space="preserve"> </w:t>
      </w:r>
      <w:r w:rsidR="00C51631" w:rsidRPr="00C51631">
        <w:rPr>
          <w:rFonts w:ascii="Times New Roman" w:eastAsia="MS Mincho" w:hAnsi="Times New Roman" w:cs="Times New Roman"/>
          <w:color w:val="000000"/>
        </w:rPr>
        <w:t>Results are pre</w:t>
      </w:r>
      <w:r w:rsidR="00C51631">
        <w:rPr>
          <w:rFonts w:ascii="Times New Roman" w:eastAsia="MS Mincho" w:hAnsi="Times New Roman" w:cs="Times New Roman"/>
          <w:color w:val="000000"/>
        </w:rPr>
        <w:t>sented as means ± SEM, n=3-4. *P &lt; 0.05</w:t>
      </w:r>
      <w:r w:rsidR="00C51631" w:rsidRPr="00C51631">
        <w:rPr>
          <w:rFonts w:ascii="Times New Roman" w:eastAsia="MS Mincho" w:hAnsi="Times New Roman" w:cs="Times New Roman"/>
          <w:color w:val="000000"/>
        </w:rPr>
        <w:t xml:space="preserve"> compared to controls and </w:t>
      </w:r>
      <w:r w:rsidR="00C51631" w:rsidRPr="00C51631">
        <w:rPr>
          <w:rFonts w:ascii="Times New Roman" w:eastAsia="MS Mincho" w:hAnsi="Times New Roman" w:cs="Times New Roman"/>
          <w:color w:val="000000"/>
          <w:vertAlign w:val="superscript"/>
        </w:rPr>
        <w:t>#</w:t>
      </w:r>
      <w:r w:rsidR="00C51631">
        <w:rPr>
          <w:rFonts w:ascii="Times New Roman" w:eastAsia="MS Mincho" w:hAnsi="Times New Roman" w:cs="Times New Roman"/>
          <w:color w:val="000000"/>
        </w:rPr>
        <w:t>P&lt;0.05</w:t>
      </w:r>
      <w:r w:rsidR="00C51631" w:rsidRPr="00C51631">
        <w:rPr>
          <w:rFonts w:ascii="Times New Roman" w:eastAsia="MS Mincho" w:hAnsi="Times New Roman" w:cs="Times New Roman"/>
          <w:color w:val="000000"/>
        </w:rPr>
        <w:t xml:space="preserve"> compared to Ang-II.</w:t>
      </w:r>
    </w:p>
    <w:p w14:paraId="70C1CBB0" w14:textId="58A628AD" w:rsidR="00404866" w:rsidRPr="00752561" w:rsidRDefault="00404866" w:rsidP="00404866">
      <w:pPr>
        <w:pStyle w:val="EndNoteBibliography"/>
        <w:spacing w:line="480" w:lineRule="auto"/>
        <w:ind w:left="720" w:hanging="720"/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404866" w:rsidRPr="00752561" w:rsidSect="00A30F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8B0F17" w16cid:durableId="21FC1A9F"/>
  <w16cid:commentId w16cid:paraId="3BE89F94" w16cid:durableId="21FC1C62"/>
  <w16cid:commentId w16cid:paraId="25EC9E94" w16cid:durableId="21FC352A"/>
  <w16cid:commentId w16cid:paraId="3C004F15" w16cid:durableId="21FC34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3D57" w14:textId="77777777" w:rsidR="00D40ADB" w:rsidRDefault="00D40ADB" w:rsidP="007F6622">
      <w:r>
        <w:separator/>
      </w:r>
    </w:p>
  </w:endnote>
  <w:endnote w:type="continuationSeparator" w:id="0">
    <w:p w14:paraId="5E6A6C78" w14:textId="77777777" w:rsidR="00D40ADB" w:rsidRDefault="00D40ADB" w:rsidP="007F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4317C" w14:textId="77777777" w:rsidR="00D40ADB" w:rsidRDefault="00D40ADB" w:rsidP="007F6622">
      <w:r>
        <w:separator/>
      </w:r>
    </w:p>
  </w:footnote>
  <w:footnote w:type="continuationSeparator" w:id="0">
    <w:p w14:paraId="3E31EF0A" w14:textId="77777777" w:rsidR="00D40ADB" w:rsidRDefault="00D40ADB" w:rsidP="007F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3FA9"/>
    <w:multiLevelType w:val="hybridMultilevel"/>
    <w:tmpl w:val="1BB2CCB6"/>
    <w:lvl w:ilvl="0" w:tplc="2DD22BA0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F4776"/>
    <w:multiLevelType w:val="hybridMultilevel"/>
    <w:tmpl w:val="E8B4F278"/>
    <w:lvl w:ilvl="0" w:tplc="49BE8E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w0azs2psfrf5pex5zqvxtaivtz2v9ev52s9&quot;&gt;Erythrytol-Endnote_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/record-ids&gt;&lt;/item&gt;&lt;/Libraries&gt;"/>
  </w:docVars>
  <w:rsids>
    <w:rsidRoot w:val="009C074F"/>
    <w:rsid w:val="00003B1A"/>
    <w:rsid w:val="00004271"/>
    <w:rsid w:val="0000618A"/>
    <w:rsid w:val="00006D44"/>
    <w:rsid w:val="00010405"/>
    <w:rsid w:val="00010C66"/>
    <w:rsid w:val="000136AB"/>
    <w:rsid w:val="000151CA"/>
    <w:rsid w:val="00015E18"/>
    <w:rsid w:val="0001716B"/>
    <w:rsid w:val="000252B6"/>
    <w:rsid w:val="0002576D"/>
    <w:rsid w:val="0002666B"/>
    <w:rsid w:val="000321EA"/>
    <w:rsid w:val="00040DB9"/>
    <w:rsid w:val="00044269"/>
    <w:rsid w:val="00047756"/>
    <w:rsid w:val="00061B09"/>
    <w:rsid w:val="00061DF6"/>
    <w:rsid w:val="0006254E"/>
    <w:rsid w:val="00067858"/>
    <w:rsid w:val="000700A0"/>
    <w:rsid w:val="00072159"/>
    <w:rsid w:val="0008042D"/>
    <w:rsid w:val="000824C1"/>
    <w:rsid w:val="000834EC"/>
    <w:rsid w:val="00083A9B"/>
    <w:rsid w:val="00083B39"/>
    <w:rsid w:val="000A0E3B"/>
    <w:rsid w:val="000A3EAF"/>
    <w:rsid w:val="000A6724"/>
    <w:rsid w:val="000A6924"/>
    <w:rsid w:val="000B0525"/>
    <w:rsid w:val="000B2057"/>
    <w:rsid w:val="000B3607"/>
    <w:rsid w:val="000B4C56"/>
    <w:rsid w:val="000B7768"/>
    <w:rsid w:val="000C38A8"/>
    <w:rsid w:val="000C48EA"/>
    <w:rsid w:val="000C5292"/>
    <w:rsid w:val="000C5A5A"/>
    <w:rsid w:val="000D2080"/>
    <w:rsid w:val="000D3E1E"/>
    <w:rsid w:val="000D5692"/>
    <w:rsid w:val="000D7940"/>
    <w:rsid w:val="000E2085"/>
    <w:rsid w:val="000E6F5D"/>
    <w:rsid w:val="000F29E4"/>
    <w:rsid w:val="000F6A22"/>
    <w:rsid w:val="000F6C70"/>
    <w:rsid w:val="00100848"/>
    <w:rsid w:val="00101DC4"/>
    <w:rsid w:val="00101ECC"/>
    <w:rsid w:val="001026E9"/>
    <w:rsid w:val="001051AD"/>
    <w:rsid w:val="00106D51"/>
    <w:rsid w:val="00115008"/>
    <w:rsid w:val="00120077"/>
    <w:rsid w:val="00123294"/>
    <w:rsid w:val="0013428B"/>
    <w:rsid w:val="00137E23"/>
    <w:rsid w:val="00141160"/>
    <w:rsid w:val="00143C0F"/>
    <w:rsid w:val="00145237"/>
    <w:rsid w:val="00147BD6"/>
    <w:rsid w:val="00152E43"/>
    <w:rsid w:val="001542A3"/>
    <w:rsid w:val="0016504A"/>
    <w:rsid w:val="00165FA9"/>
    <w:rsid w:val="00171DDC"/>
    <w:rsid w:val="00174678"/>
    <w:rsid w:val="001802DE"/>
    <w:rsid w:val="001809B3"/>
    <w:rsid w:val="00181B6A"/>
    <w:rsid w:val="0018644B"/>
    <w:rsid w:val="001917DF"/>
    <w:rsid w:val="00192554"/>
    <w:rsid w:val="00197459"/>
    <w:rsid w:val="001A1E66"/>
    <w:rsid w:val="001A371D"/>
    <w:rsid w:val="001B0822"/>
    <w:rsid w:val="001B6659"/>
    <w:rsid w:val="001C06F2"/>
    <w:rsid w:val="001C1FD7"/>
    <w:rsid w:val="001D0635"/>
    <w:rsid w:val="001D2558"/>
    <w:rsid w:val="001D4192"/>
    <w:rsid w:val="001E0322"/>
    <w:rsid w:val="001E206E"/>
    <w:rsid w:val="001E3FC5"/>
    <w:rsid w:val="001E559C"/>
    <w:rsid w:val="001E64B3"/>
    <w:rsid w:val="001F11DC"/>
    <w:rsid w:val="001F2705"/>
    <w:rsid w:val="001F54DF"/>
    <w:rsid w:val="001F792D"/>
    <w:rsid w:val="002004CA"/>
    <w:rsid w:val="0020161B"/>
    <w:rsid w:val="0020466B"/>
    <w:rsid w:val="0020507A"/>
    <w:rsid w:val="00205BA6"/>
    <w:rsid w:val="00210EE5"/>
    <w:rsid w:val="00214ECC"/>
    <w:rsid w:val="00217F51"/>
    <w:rsid w:val="0022608E"/>
    <w:rsid w:val="00230BDF"/>
    <w:rsid w:val="002340D7"/>
    <w:rsid w:val="0024032A"/>
    <w:rsid w:val="00244AC0"/>
    <w:rsid w:val="0025078C"/>
    <w:rsid w:val="00250BC6"/>
    <w:rsid w:val="002535D8"/>
    <w:rsid w:val="002576D6"/>
    <w:rsid w:val="00260728"/>
    <w:rsid w:val="002614C7"/>
    <w:rsid w:val="0026656A"/>
    <w:rsid w:val="00267293"/>
    <w:rsid w:val="0027226A"/>
    <w:rsid w:val="002727C7"/>
    <w:rsid w:val="00272802"/>
    <w:rsid w:val="00274192"/>
    <w:rsid w:val="002773F3"/>
    <w:rsid w:val="002811DC"/>
    <w:rsid w:val="002847F1"/>
    <w:rsid w:val="00290417"/>
    <w:rsid w:val="002948B2"/>
    <w:rsid w:val="0029669B"/>
    <w:rsid w:val="0029703D"/>
    <w:rsid w:val="002A037E"/>
    <w:rsid w:val="002A2B62"/>
    <w:rsid w:val="002B02AC"/>
    <w:rsid w:val="002B24F0"/>
    <w:rsid w:val="002C1085"/>
    <w:rsid w:val="002C2937"/>
    <w:rsid w:val="002C407F"/>
    <w:rsid w:val="002D0408"/>
    <w:rsid w:val="002D0F04"/>
    <w:rsid w:val="002D5C9B"/>
    <w:rsid w:val="002D6779"/>
    <w:rsid w:val="002E18B8"/>
    <w:rsid w:val="002E29C3"/>
    <w:rsid w:val="002E3365"/>
    <w:rsid w:val="002F4945"/>
    <w:rsid w:val="002F6E7A"/>
    <w:rsid w:val="00301B47"/>
    <w:rsid w:val="0030773F"/>
    <w:rsid w:val="0031208B"/>
    <w:rsid w:val="0031406E"/>
    <w:rsid w:val="00314AF8"/>
    <w:rsid w:val="00315866"/>
    <w:rsid w:val="00317208"/>
    <w:rsid w:val="00320BD1"/>
    <w:rsid w:val="00321440"/>
    <w:rsid w:val="003234D9"/>
    <w:rsid w:val="003249A8"/>
    <w:rsid w:val="003359E7"/>
    <w:rsid w:val="00341F1F"/>
    <w:rsid w:val="00343DEB"/>
    <w:rsid w:val="00346170"/>
    <w:rsid w:val="0034708E"/>
    <w:rsid w:val="00354212"/>
    <w:rsid w:val="003555A3"/>
    <w:rsid w:val="003563D6"/>
    <w:rsid w:val="003565F2"/>
    <w:rsid w:val="00360301"/>
    <w:rsid w:val="003603DE"/>
    <w:rsid w:val="00362A13"/>
    <w:rsid w:val="00364C12"/>
    <w:rsid w:val="0037045B"/>
    <w:rsid w:val="003723B3"/>
    <w:rsid w:val="00373754"/>
    <w:rsid w:val="003753CF"/>
    <w:rsid w:val="00381939"/>
    <w:rsid w:val="00381CDF"/>
    <w:rsid w:val="00383602"/>
    <w:rsid w:val="003867DF"/>
    <w:rsid w:val="003929D8"/>
    <w:rsid w:val="00393160"/>
    <w:rsid w:val="00395312"/>
    <w:rsid w:val="0039619D"/>
    <w:rsid w:val="00396575"/>
    <w:rsid w:val="003A0685"/>
    <w:rsid w:val="003A1D08"/>
    <w:rsid w:val="003A2D1A"/>
    <w:rsid w:val="003A3CB4"/>
    <w:rsid w:val="003A6885"/>
    <w:rsid w:val="003A7BCC"/>
    <w:rsid w:val="003B1E67"/>
    <w:rsid w:val="003B2501"/>
    <w:rsid w:val="003B5C16"/>
    <w:rsid w:val="003C2C38"/>
    <w:rsid w:val="003C6EBA"/>
    <w:rsid w:val="003C7009"/>
    <w:rsid w:val="003C7E88"/>
    <w:rsid w:val="003D5676"/>
    <w:rsid w:val="003D6776"/>
    <w:rsid w:val="003E087C"/>
    <w:rsid w:val="003E1C2D"/>
    <w:rsid w:val="003E2BEE"/>
    <w:rsid w:val="003E4426"/>
    <w:rsid w:val="003E4A02"/>
    <w:rsid w:val="003E5AE8"/>
    <w:rsid w:val="003E675F"/>
    <w:rsid w:val="003E76AC"/>
    <w:rsid w:val="003F2D12"/>
    <w:rsid w:val="003F4A7E"/>
    <w:rsid w:val="003F6C1B"/>
    <w:rsid w:val="003F7FF1"/>
    <w:rsid w:val="00402613"/>
    <w:rsid w:val="00404866"/>
    <w:rsid w:val="0040488F"/>
    <w:rsid w:val="00406D71"/>
    <w:rsid w:val="0041265A"/>
    <w:rsid w:val="0041434E"/>
    <w:rsid w:val="00416FB4"/>
    <w:rsid w:val="00421AE7"/>
    <w:rsid w:val="00427A3A"/>
    <w:rsid w:val="00430048"/>
    <w:rsid w:val="00441FE2"/>
    <w:rsid w:val="00444B90"/>
    <w:rsid w:val="00450DC2"/>
    <w:rsid w:val="0045401B"/>
    <w:rsid w:val="0045636D"/>
    <w:rsid w:val="00456B1C"/>
    <w:rsid w:val="00461332"/>
    <w:rsid w:val="004662FA"/>
    <w:rsid w:val="004678D6"/>
    <w:rsid w:val="004717A2"/>
    <w:rsid w:val="00472609"/>
    <w:rsid w:val="00475568"/>
    <w:rsid w:val="00487B10"/>
    <w:rsid w:val="004912F1"/>
    <w:rsid w:val="00496755"/>
    <w:rsid w:val="0049762F"/>
    <w:rsid w:val="00497CDC"/>
    <w:rsid w:val="00497D86"/>
    <w:rsid w:val="004A2FBE"/>
    <w:rsid w:val="004A3AB1"/>
    <w:rsid w:val="004A472A"/>
    <w:rsid w:val="004B0731"/>
    <w:rsid w:val="004B4BAB"/>
    <w:rsid w:val="004B536E"/>
    <w:rsid w:val="004B6D4F"/>
    <w:rsid w:val="004C0606"/>
    <w:rsid w:val="004C45EB"/>
    <w:rsid w:val="004C5B12"/>
    <w:rsid w:val="004C7752"/>
    <w:rsid w:val="004C7814"/>
    <w:rsid w:val="004C7D74"/>
    <w:rsid w:val="004D2502"/>
    <w:rsid w:val="004D7DC6"/>
    <w:rsid w:val="004E131B"/>
    <w:rsid w:val="004E4317"/>
    <w:rsid w:val="004E78F8"/>
    <w:rsid w:val="004F343D"/>
    <w:rsid w:val="004F4903"/>
    <w:rsid w:val="004F6FB4"/>
    <w:rsid w:val="00501488"/>
    <w:rsid w:val="00504CD1"/>
    <w:rsid w:val="00505A32"/>
    <w:rsid w:val="00506FB0"/>
    <w:rsid w:val="005177C8"/>
    <w:rsid w:val="00521DBB"/>
    <w:rsid w:val="0052324D"/>
    <w:rsid w:val="005269F7"/>
    <w:rsid w:val="0053034E"/>
    <w:rsid w:val="00530F5B"/>
    <w:rsid w:val="005367F5"/>
    <w:rsid w:val="00546BE1"/>
    <w:rsid w:val="00550AFB"/>
    <w:rsid w:val="00550CB4"/>
    <w:rsid w:val="00552093"/>
    <w:rsid w:val="0055657A"/>
    <w:rsid w:val="0055675F"/>
    <w:rsid w:val="00572EED"/>
    <w:rsid w:val="00574CDD"/>
    <w:rsid w:val="005842A7"/>
    <w:rsid w:val="00593C24"/>
    <w:rsid w:val="00593D39"/>
    <w:rsid w:val="0059670E"/>
    <w:rsid w:val="005A0F0B"/>
    <w:rsid w:val="005B37A9"/>
    <w:rsid w:val="005B404B"/>
    <w:rsid w:val="005C3BC9"/>
    <w:rsid w:val="005C4987"/>
    <w:rsid w:val="005C5224"/>
    <w:rsid w:val="005D175D"/>
    <w:rsid w:val="005D439D"/>
    <w:rsid w:val="005D534E"/>
    <w:rsid w:val="005D6557"/>
    <w:rsid w:val="005D6B05"/>
    <w:rsid w:val="005D6DBE"/>
    <w:rsid w:val="005E1499"/>
    <w:rsid w:val="005F0D31"/>
    <w:rsid w:val="005F1692"/>
    <w:rsid w:val="005F4720"/>
    <w:rsid w:val="005F6041"/>
    <w:rsid w:val="00600460"/>
    <w:rsid w:val="0060229A"/>
    <w:rsid w:val="00602393"/>
    <w:rsid w:val="00604FA1"/>
    <w:rsid w:val="00605212"/>
    <w:rsid w:val="006101D9"/>
    <w:rsid w:val="00610ACA"/>
    <w:rsid w:val="0061160D"/>
    <w:rsid w:val="00613622"/>
    <w:rsid w:val="006145F1"/>
    <w:rsid w:val="006223FA"/>
    <w:rsid w:val="006237DD"/>
    <w:rsid w:val="006264A5"/>
    <w:rsid w:val="00631DC5"/>
    <w:rsid w:val="00632342"/>
    <w:rsid w:val="0063242D"/>
    <w:rsid w:val="00636499"/>
    <w:rsid w:val="00646E8F"/>
    <w:rsid w:val="00651EE1"/>
    <w:rsid w:val="0065215C"/>
    <w:rsid w:val="0066265E"/>
    <w:rsid w:val="00663DE5"/>
    <w:rsid w:val="00671375"/>
    <w:rsid w:val="00671B23"/>
    <w:rsid w:val="00674FAA"/>
    <w:rsid w:val="00682682"/>
    <w:rsid w:val="00690779"/>
    <w:rsid w:val="00690BAF"/>
    <w:rsid w:val="00696BC5"/>
    <w:rsid w:val="006A0161"/>
    <w:rsid w:val="006A1580"/>
    <w:rsid w:val="006A2D58"/>
    <w:rsid w:val="006A3312"/>
    <w:rsid w:val="006A78FF"/>
    <w:rsid w:val="006B1795"/>
    <w:rsid w:val="006B3458"/>
    <w:rsid w:val="006B4D7E"/>
    <w:rsid w:val="006C2BAA"/>
    <w:rsid w:val="006C59C6"/>
    <w:rsid w:val="006C67AF"/>
    <w:rsid w:val="006D65CA"/>
    <w:rsid w:val="006E1826"/>
    <w:rsid w:val="006E43F1"/>
    <w:rsid w:val="006E5E40"/>
    <w:rsid w:val="006F0878"/>
    <w:rsid w:val="006F1428"/>
    <w:rsid w:val="006F3856"/>
    <w:rsid w:val="006F4551"/>
    <w:rsid w:val="006F4A9F"/>
    <w:rsid w:val="006F4B83"/>
    <w:rsid w:val="006F5893"/>
    <w:rsid w:val="0070117F"/>
    <w:rsid w:val="0070122D"/>
    <w:rsid w:val="007044D2"/>
    <w:rsid w:val="00707E61"/>
    <w:rsid w:val="007107BC"/>
    <w:rsid w:val="007121DB"/>
    <w:rsid w:val="0071621F"/>
    <w:rsid w:val="007204F8"/>
    <w:rsid w:val="00725541"/>
    <w:rsid w:val="007270C8"/>
    <w:rsid w:val="00731527"/>
    <w:rsid w:val="00741207"/>
    <w:rsid w:val="007414EF"/>
    <w:rsid w:val="00741718"/>
    <w:rsid w:val="00741939"/>
    <w:rsid w:val="00741AC2"/>
    <w:rsid w:val="00744FAA"/>
    <w:rsid w:val="00747021"/>
    <w:rsid w:val="00751FAF"/>
    <w:rsid w:val="00752561"/>
    <w:rsid w:val="0075503B"/>
    <w:rsid w:val="00756B37"/>
    <w:rsid w:val="00756DA2"/>
    <w:rsid w:val="00763C07"/>
    <w:rsid w:val="00766C65"/>
    <w:rsid w:val="00767C2E"/>
    <w:rsid w:val="00774DB5"/>
    <w:rsid w:val="00776475"/>
    <w:rsid w:val="0078189B"/>
    <w:rsid w:val="0078307C"/>
    <w:rsid w:val="00784232"/>
    <w:rsid w:val="00785C97"/>
    <w:rsid w:val="00791308"/>
    <w:rsid w:val="007913AC"/>
    <w:rsid w:val="00794504"/>
    <w:rsid w:val="007945EE"/>
    <w:rsid w:val="0079699F"/>
    <w:rsid w:val="007A38D8"/>
    <w:rsid w:val="007A3B78"/>
    <w:rsid w:val="007A4FAD"/>
    <w:rsid w:val="007A6308"/>
    <w:rsid w:val="007A7FE6"/>
    <w:rsid w:val="007B333D"/>
    <w:rsid w:val="007B5DA5"/>
    <w:rsid w:val="007C064F"/>
    <w:rsid w:val="007C4E4D"/>
    <w:rsid w:val="007C652E"/>
    <w:rsid w:val="007C6A0B"/>
    <w:rsid w:val="007D2883"/>
    <w:rsid w:val="007D48EF"/>
    <w:rsid w:val="007D4D67"/>
    <w:rsid w:val="007D4DEE"/>
    <w:rsid w:val="007D67AF"/>
    <w:rsid w:val="007E0A8B"/>
    <w:rsid w:val="007E1BD4"/>
    <w:rsid w:val="007E71F4"/>
    <w:rsid w:val="007F03D6"/>
    <w:rsid w:val="007F0564"/>
    <w:rsid w:val="007F056E"/>
    <w:rsid w:val="007F312D"/>
    <w:rsid w:val="007F45A3"/>
    <w:rsid w:val="007F6622"/>
    <w:rsid w:val="0080104F"/>
    <w:rsid w:val="0080461A"/>
    <w:rsid w:val="008124D4"/>
    <w:rsid w:val="0081265B"/>
    <w:rsid w:val="0081423F"/>
    <w:rsid w:val="0083015F"/>
    <w:rsid w:val="008318EF"/>
    <w:rsid w:val="008321D3"/>
    <w:rsid w:val="00836BA2"/>
    <w:rsid w:val="00840834"/>
    <w:rsid w:val="00844C3D"/>
    <w:rsid w:val="00852224"/>
    <w:rsid w:val="00853E2C"/>
    <w:rsid w:val="00855912"/>
    <w:rsid w:val="00855B34"/>
    <w:rsid w:val="00870834"/>
    <w:rsid w:val="00871D9E"/>
    <w:rsid w:val="00872211"/>
    <w:rsid w:val="00872383"/>
    <w:rsid w:val="0087347C"/>
    <w:rsid w:val="0088060B"/>
    <w:rsid w:val="00881D12"/>
    <w:rsid w:val="00882435"/>
    <w:rsid w:val="008877E8"/>
    <w:rsid w:val="00887A23"/>
    <w:rsid w:val="0089167C"/>
    <w:rsid w:val="008946F7"/>
    <w:rsid w:val="00894995"/>
    <w:rsid w:val="008A0D71"/>
    <w:rsid w:val="008A3A7E"/>
    <w:rsid w:val="008A4392"/>
    <w:rsid w:val="008A49DA"/>
    <w:rsid w:val="008A5398"/>
    <w:rsid w:val="008A66EE"/>
    <w:rsid w:val="008B1749"/>
    <w:rsid w:val="008B6A2F"/>
    <w:rsid w:val="008C4024"/>
    <w:rsid w:val="008C56EE"/>
    <w:rsid w:val="008D2185"/>
    <w:rsid w:val="008D4093"/>
    <w:rsid w:val="008D5385"/>
    <w:rsid w:val="008D585F"/>
    <w:rsid w:val="008E1C0B"/>
    <w:rsid w:val="008E4692"/>
    <w:rsid w:val="008E50C5"/>
    <w:rsid w:val="008F1A04"/>
    <w:rsid w:val="008F255B"/>
    <w:rsid w:val="008F7841"/>
    <w:rsid w:val="00901F1C"/>
    <w:rsid w:val="00904FEA"/>
    <w:rsid w:val="009052DA"/>
    <w:rsid w:val="0090758C"/>
    <w:rsid w:val="00913269"/>
    <w:rsid w:val="0091456B"/>
    <w:rsid w:val="00921665"/>
    <w:rsid w:val="0092252D"/>
    <w:rsid w:val="0092461C"/>
    <w:rsid w:val="0094683B"/>
    <w:rsid w:val="00953FF3"/>
    <w:rsid w:val="009614F2"/>
    <w:rsid w:val="00964EAC"/>
    <w:rsid w:val="00966A74"/>
    <w:rsid w:val="009804E1"/>
    <w:rsid w:val="00982512"/>
    <w:rsid w:val="00983FE8"/>
    <w:rsid w:val="00990B41"/>
    <w:rsid w:val="00990B97"/>
    <w:rsid w:val="00992E97"/>
    <w:rsid w:val="00996F26"/>
    <w:rsid w:val="009A36DF"/>
    <w:rsid w:val="009B057B"/>
    <w:rsid w:val="009B0B56"/>
    <w:rsid w:val="009B1506"/>
    <w:rsid w:val="009C0447"/>
    <w:rsid w:val="009C074F"/>
    <w:rsid w:val="009C226A"/>
    <w:rsid w:val="009C60EC"/>
    <w:rsid w:val="009D3888"/>
    <w:rsid w:val="009D6E25"/>
    <w:rsid w:val="009E3215"/>
    <w:rsid w:val="009F15E8"/>
    <w:rsid w:val="009F74CB"/>
    <w:rsid w:val="00A0701F"/>
    <w:rsid w:val="00A124B4"/>
    <w:rsid w:val="00A132F8"/>
    <w:rsid w:val="00A1343B"/>
    <w:rsid w:val="00A13AEE"/>
    <w:rsid w:val="00A1583A"/>
    <w:rsid w:val="00A16F1D"/>
    <w:rsid w:val="00A179BE"/>
    <w:rsid w:val="00A20078"/>
    <w:rsid w:val="00A22885"/>
    <w:rsid w:val="00A22B4F"/>
    <w:rsid w:val="00A23BC7"/>
    <w:rsid w:val="00A2681A"/>
    <w:rsid w:val="00A30F93"/>
    <w:rsid w:val="00A32B13"/>
    <w:rsid w:val="00A5334F"/>
    <w:rsid w:val="00A56BC3"/>
    <w:rsid w:val="00A5702D"/>
    <w:rsid w:val="00A57FFA"/>
    <w:rsid w:val="00A60883"/>
    <w:rsid w:val="00A636F2"/>
    <w:rsid w:val="00A65003"/>
    <w:rsid w:val="00A77729"/>
    <w:rsid w:val="00A77FAF"/>
    <w:rsid w:val="00A817A9"/>
    <w:rsid w:val="00A8194F"/>
    <w:rsid w:val="00A960B1"/>
    <w:rsid w:val="00AB0452"/>
    <w:rsid w:val="00AB4C00"/>
    <w:rsid w:val="00AC1A32"/>
    <w:rsid w:val="00AC6F27"/>
    <w:rsid w:val="00AD1957"/>
    <w:rsid w:val="00AD2032"/>
    <w:rsid w:val="00AD4D65"/>
    <w:rsid w:val="00AE41E7"/>
    <w:rsid w:val="00AE4A29"/>
    <w:rsid w:val="00AE6FF2"/>
    <w:rsid w:val="00AF11B5"/>
    <w:rsid w:val="00AF1A11"/>
    <w:rsid w:val="00AF2CC1"/>
    <w:rsid w:val="00AF3F24"/>
    <w:rsid w:val="00AF6FF2"/>
    <w:rsid w:val="00B02F49"/>
    <w:rsid w:val="00B03037"/>
    <w:rsid w:val="00B05A62"/>
    <w:rsid w:val="00B10100"/>
    <w:rsid w:val="00B12AFA"/>
    <w:rsid w:val="00B143AB"/>
    <w:rsid w:val="00B21F7D"/>
    <w:rsid w:val="00B22BE1"/>
    <w:rsid w:val="00B24817"/>
    <w:rsid w:val="00B27B40"/>
    <w:rsid w:val="00B315AF"/>
    <w:rsid w:val="00B3376B"/>
    <w:rsid w:val="00B33F16"/>
    <w:rsid w:val="00B36788"/>
    <w:rsid w:val="00B41736"/>
    <w:rsid w:val="00B425EF"/>
    <w:rsid w:val="00B47B9F"/>
    <w:rsid w:val="00B532F3"/>
    <w:rsid w:val="00B55377"/>
    <w:rsid w:val="00B56BB8"/>
    <w:rsid w:val="00B766E1"/>
    <w:rsid w:val="00B86052"/>
    <w:rsid w:val="00B875E2"/>
    <w:rsid w:val="00B90574"/>
    <w:rsid w:val="00BA189F"/>
    <w:rsid w:val="00BA1E6E"/>
    <w:rsid w:val="00BA227A"/>
    <w:rsid w:val="00BA35F3"/>
    <w:rsid w:val="00BA4AB7"/>
    <w:rsid w:val="00BB1284"/>
    <w:rsid w:val="00BB7403"/>
    <w:rsid w:val="00BC1207"/>
    <w:rsid w:val="00BC23B9"/>
    <w:rsid w:val="00BC559D"/>
    <w:rsid w:val="00BC75D1"/>
    <w:rsid w:val="00BD2127"/>
    <w:rsid w:val="00BD6FC0"/>
    <w:rsid w:val="00BE0915"/>
    <w:rsid w:val="00BE1774"/>
    <w:rsid w:val="00BE28C9"/>
    <w:rsid w:val="00BE362C"/>
    <w:rsid w:val="00BE71C9"/>
    <w:rsid w:val="00BF67E4"/>
    <w:rsid w:val="00BF7AE3"/>
    <w:rsid w:val="00C000F3"/>
    <w:rsid w:val="00C001DE"/>
    <w:rsid w:val="00C1015C"/>
    <w:rsid w:val="00C11BAA"/>
    <w:rsid w:val="00C1274E"/>
    <w:rsid w:val="00C13140"/>
    <w:rsid w:val="00C141E8"/>
    <w:rsid w:val="00C16C5F"/>
    <w:rsid w:val="00C21906"/>
    <w:rsid w:val="00C22250"/>
    <w:rsid w:val="00C225B0"/>
    <w:rsid w:val="00C265F6"/>
    <w:rsid w:val="00C27376"/>
    <w:rsid w:val="00C3496D"/>
    <w:rsid w:val="00C40FE0"/>
    <w:rsid w:val="00C51631"/>
    <w:rsid w:val="00C548E7"/>
    <w:rsid w:val="00C56829"/>
    <w:rsid w:val="00C57677"/>
    <w:rsid w:val="00C66989"/>
    <w:rsid w:val="00C6738D"/>
    <w:rsid w:val="00C75550"/>
    <w:rsid w:val="00C82DC5"/>
    <w:rsid w:val="00C863D5"/>
    <w:rsid w:val="00C876D4"/>
    <w:rsid w:val="00C90A61"/>
    <w:rsid w:val="00C90ECF"/>
    <w:rsid w:val="00C91DED"/>
    <w:rsid w:val="00C93682"/>
    <w:rsid w:val="00C94BF3"/>
    <w:rsid w:val="00C97B97"/>
    <w:rsid w:val="00CA5316"/>
    <w:rsid w:val="00CB14C3"/>
    <w:rsid w:val="00CB36D4"/>
    <w:rsid w:val="00CB4557"/>
    <w:rsid w:val="00CB4643"/>
    <w:rsid w:val="00CB5A00"/>
    <w:rsid w:val="00CB7394"/>
    <w:rsid w:val="00CC2081"/>
    <w:rsid w:val="00CC7957"/>
    <w:rsid w:val="00CD1573"/>
    <w:rsid w:val="00CD2579"/>
    <w:rsid w:val="00CD4317"/>
    <w:rsid w:val="00CE27D8"/>
    <w:rsid w:val="00CE2C87"/>
    <w:rsid w:val="00CE35F4"/>
    <w:rsid w:val="00CF40B7"/>
    <w:rsid w:val="00D037F6"/>
    <w:rsid w:val="00D053E4"/>
    <w:rsid w:val="00D07E48"/>
    <w:rsid w:val="00D144F7"/>
    <w:rsid w:val="00D156F2"/>
    <w:rsid w:val="00D17CF7"/>
    <w:rsid w:val="00D21019"/>
    <w:rsid w:val="00D239AB"/>
    <w:rsid w:val="00D268F4"/>
    <w:rsid w:val="00D30E54"/>
    <w:rsid w:val="00D31E0A"/>
    <w:rsid w:val="00D33061"/>
    <w:rsid w:val="00D33F14"/>
    <w:rsid w:val="00D40ADB"/>
    <w:rsid w:val="00D40DC3"/>
    <w:rsid w:val="00D466B1"/>
    <w:rsid w:val="00D477AC"/>
    <w:rsid w:val="00D50D52"/>
    <w:rsid w:val="00D52E18"/>
    <w:rsid w:val="00D5750E"/>
    <w:rsid w:val="00D57A04"/>
    <w:rsid w:val="00D57A29"/>
    <w:rsid w:val="00D67D8E"/>
    <w:rsid w:val="00D71536"/>
    <w:rsid w:val="00D744BA"/>
    <w:rsid w:val="00D76B30"/>
    <w:rsid w:val="00D7791E"/>
    <w:rsid w:val="00D81F64"/>
    <w:rsid w:val="00D912AE"/>
    <w:rsid w:val="00D92808"/>
    <w:rsid w:val="00D95037"/>
    <w:rsid w:val="00D967A8"/>
    <w:rsid w:val="00D96E32"/>
    <w:rsid w:val="00DA0BFE"/>
    <w:rsid w:val="00DA7897"/>
    <w:rsid w:val="00DA79B3"/>
    <w:rsid w:val="00DA7AFC"/>
    <w:rsid w:val="00DB16C0"/>
    <w:rsid w:val="00DB4B77"/>
    <w:rsid w:val="00DB5A6B"/>
    <w:rsid w:val="00DB6E4E"/>
    <w:rsid w:val="00DC36FD"/>
    <w:rsid w:val="00DC4D76"/>
    <w:rsid w:val="00DC6ECF"/>
    <w:rsid w:val="00DD15AD"/>
    <w:rsid w:val="00DD3165"/>
    <w:rsid w:val="00DD3C5E"/>
    <w:rsid w:val="00DD6B01"/>
    <w:rsid w:val="00DD6F65"/>
    <w:rsid w:val="00DE0692"/>
    <w:rsid w:val="00DE22D4"/>
    <w:rsid w:val="00DE3A94"/>
    <w:rsid w:val="00DE53C3"/>
    <w:rsid w:val="00DF11C9"/>
    <w:rsid w:val="00DF6A25"/>
    <w:rsid w:val="00E0468B"/>
    <w:rsid w:val="00E07169"/>
    <w:rsid w:val="00E10136"/>
    <w:rsid w:val="00E123F4"/>
    <w:rsid w:val="00E12616"/>
    <w:rsid w:val="00E13833"/>
    <w:rsid w:val="00E167B2"/>
    <w:rsid w:val="00E2019B"/>
    <w:rsid w:val="00E2055D"/>
    <w:rsid w:val="00E269FC"/>
    <w:rsid w:val="00E32776"/>
    <w:rsid w:val="00E32EB1"/>
    <w:rsid w:val="00E33026"/>
    <w:rsid w:val="00E33AAF"/>
    <w:rsid w:val="00E35A5A"/>
    <w:rsid w:val="00E41290"/>
    <w:rsid w:val="00E438DF"/>
    <w:rsid w:val="00E43D8A"/>
    <w:rsid w:val="00E47AD8"/>
    <w:rsid w:val="00E50F47"/>
    <w:rsid w:val="00E51091"/>
    <w:rsid w:val="00E56540"/>
    <w:rsid w:val="00E575BB"/>
    <w:rsid w:val="00E61164"/>
    <w:rsid w:val="00E62B2D"/>
    <w:rsid w:val="00E66B75"/>
    <w:rsid w:val="00E70C4B"/>
    <w:rsid w:val="00E72601"/>
    <w:rsid w:val="00E72F46"/>
    <w:rsid w:val="00E75C8F"/>
    <w:rsid w:val="00E75DC4"/>
    <w:rsid w:val="00E826DB"/>
    <w:rsid w:val="00E83245"/>
    <w:rsid w:val="00E83B98"/>
    <w:rsid w:val="00E932BE"/>
    <w:rsid w:val="00E958DC"/>
    <w:rsid w:val="00EA0159"/>
    <w:rsid w:val="00EA2697"/>
    <w:rsid w:val="00EA3457"/>
    <w:rsid w:val="00EA37E5"/>
    <w:rsid w:val="00EA45AE"/>
    <w:rsid w:val="00EA64F8"/>
    <w:rsid w:val="00EB1685"/>
    <w:rsid w:val="00EB38C0"/>
    <w:rsid w:val="00EB3B49"/>
    <w:rsid w:val="00EB4F9A"/>
    <w:rsid w:val="00EB5E1C"/>
    <w:rsid w:val="00EB7FA7"/>
    <w:rsid w:val="00EC1FCF"/>
    <w:rsid w:val="00EC3C87"/>
    <w:rsid w:val="00EC4153"/>
    <w:rsid w:val="00EC7501"/>
    <w:rsid w:val="00ED1EA4"/>
    <w:rsid w:val="00ED2945"/>
    <w:rsid w:val="00ED3F6D"/>
    <w:rsid w:val="00ED5DC5"/>
    <w:rsid w:val="00ED6447"/>
    <w:rsid w:val="00ED7963"/>
    <w:rsid w:val="00EE0AA2"/>
    <w:rsid w:val="00EE2C29"/>
    <w:rsid w:val="00EE3A91"/>
    <w:rsid w:val="00EE4B07"/>
    <w:rsid w:val="00EF06CC"/>
    <w:rsid w:val="00EF22B5"/>
    <w:rsid w:val="00F001DD"/>
    <w:rsid w:val="00F004E5"/>
    <w:rsid w:val="00F03C50"/>
    <w:rsid w:val="00F03D98"/>
    <w:rsid w:val="00F046A2"/>
    <w:rsid w:val="00F07742"/>
    <w:rsid w:val="00F119A9"/>
    <w:rsid w:val="00F237B0"/>
    <w:rsid w:val="00F30712"/>
    <w:rsid w:val="00F3143F"/>
    <w:rsid w:val="00F37228"/>
    <w:rsid w:val="00F4075C"/>
    <w:rsid w:val="00F63AFF"/>
    <w:rsid w:val="00F64DD9"/>
    <w:rsid w:val="00F65B94"/>
    <w:rsid w:val="00F66420"/>
    <w:rsid w:val="00F67B59"/>
    <w:rsid w:val="00F7094E"/>
    <w:rsid w:val="00F7475C"/>
    <w:rsid w:val="00F85B54"/>
    <w:rsid w:val="00F91C17"/>
    <w:rsid w:val="00F93F03"/>
    <w:rsid w:val="00F957EB"/>
    <w:rsid w:val="00F9585C"/>
    <w:rsid w:val="00F95AF5"/>
    <w:rsid w:val="00F95D49"/>
    <w:rsid w:val="00FA19FF"/>
    <w:rsid w:val="00FA24D7"/>
    <w:rsid w:val="00FA2554"/>
    <w:rsid w:val="00FA2998"/>
    <w:rsid w:val="00FA2E59"/>
    <w:rsid w:val="00FB0710"/>
    <w:rsid w:val="00FB4C25"/>
    <w:rsid w:val="00FC1D03"/>
    <w:rsid w:val="00FC48AD"/>
    <w:rsid w:val="00FC4BC5"/>
    <w:rsid w:val="00FC6479"/>
    <w:rsid w:val="00FD01B4"/>
    <w:rsid w:val="00FD404B"/>
    <w:rsid w:val="00FD43C5"/>
    <w:rsid w:val="00FD50E5"/>
    <w:rsid w:val="00FE2FC8"/>
    <w:rsid w:val="00FE6BF1"/>
    <w:rsid w:val="00FE7B57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54769"/>
  <w14:defaultImageDpi w14:val="300"/>
  <w15:docId w15:val="{2C8F337E-D689-426C-A2D1-27708BED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83245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E83245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5014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0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1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22"/>
  </w:style>
  <w:style w:type="paragraph" w:styleId="Footer">
    <w:name w:val="footer"/>
    <w:basedOn w:val="Normal"/>
    <w:link w:val="FooterChar"/>
    <w:uiPriority w:val="99"/>
    <w:unhideWhenUsed/>
    <w:rsid w:val="007F6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22"/>
  </w:style>
  <w:style w:type="character" w:styleId="CommentReference">
    <w:name w:val="annotation reference"/>
    <w:basedOn w:val="DefaultParagraphFont"/>
    <w:uiPriority w:val="99"/>
    <w:semiHidden/>
    <w:unhideWhenUsed/>
    <w:rsid w:val="005C3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B41D-EE40-47A3-A63C-F9059E84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26479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Doctor Tlili Barhoumi C457752</cp:lastModifiedBy>
  <cp:revision>280</cp:revision>
  <cp:lastPrinted>2021-12-05T11:39:00Z</cp:lastPrinted>
  <dcterms:created xsi:type="dcterms:W3CDTF">2020-02-23T10:56:00Z</dcterms:created>
  <dcterms:modified xsi:type="dcterms:W3CDTF">2023-04-03T07:28:00Z</dcterms:modified>
</cp:coreProperties>
</file>