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667" w:tblpY="3280"/>
        <w:tblOverlap w:val="never"/>
        <w:tblW w:w="105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237"/>
        <w:gridCol w:w="1000"/>
        <w:gridCol w:w="1227"/>
        <w:gridCol w:w="1018"/>
        <w:gridCol w:w="1319"/>
        <w:gridCol w:w="1081"/>
        <w:gridCol w:w="1318"/>
        <w:gridCol w:w="10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545" w:type="dxa"/>
            <w:gridSpan w:val="9"/>
            <w:tcBorders>
              <w:top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  <w:t>Supplementary Table 1, detailed balance test results in propensity score matching between the vaccine and the control group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9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spacing w:line="320" w:lineRule="atLeast"/>
              <w:ind w:left="60" w:right="6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Covariates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Vaccine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Control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SD </w:t>
            </w: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 xml:space="preserve">of the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Control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SMD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9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unmatched</w:t>
            </w:r>
          </w:p>
        </w:tc>
        <w:tc>
          <w:tcPr>
            <w:tcW w:w="1000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Matched</w:t>
            </w:r>
          </w:p>
        </w:tc>
        <w:tc>
          <w:tcPr>
            <w:tcW w:w="1227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Unmatched</w:t>
            </w:r>
          </w:p>
        </w:tc>
        <w:tc>
          <w:tcPr>
            <w:tcW w:w="1018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Matched</w:t>
            </w:r>
          </w:p>
        </w:tc>
        <w:tc>
          <w:tcPr>
            <w:tcW w:w="1319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Unmatched</w:t>
            </w:r>
          </w:p>
        </w:tc>
        <w:tc>
          <w:tcPr>
            <w:tcW w:w="1081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Matched</w:t>
            </w:r>
          </w:p>
        </w:tc>
        <w:tc>
          <w:tcPr>
            <w:tcW w:w="1318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 xml:space="preserve">Unmatched </w:t>
            </w:r>
          </w:p>
        </w:tc>
        <w:tc>
          <w:tcPr>
            <w:tcW w:w="1055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Matched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90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20" w:lineRule="atLeast"/>
              <w:ind w:left="60" w:right="6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Propensity</w:t>
            </w:r>
          </w:p>
        </w:tc>
        <w:tc>
          <w:tcPr>
            <w:tcW w:w="1237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.74</w:t>
            </w:r>
          </w:p>
        </w:tc>
        <w:tc>
          <w:tcPr>
            <w:tcW w:w="1000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.63</w:t>
            </w:r>
          </w:p>
        </w:tc>
        <w:tc>
          <w:tcPr>
            <w:tcW w:w="1227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.55</w:t>
            </w:r>
          </w:p>
        </w:tc>
        <w:tc>
          <w:tcPr>
            <w:tcW w:w="1018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.62</w:t>
            </w:r>
          </w:p>
        </w:tc>
        <w:tc>
          <w:tcPr>
            <w:tcW w:w="1319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.22</w:t>
            </w:r>
          </w:p>
        </w:tc>
        <w:tc>
          <w:tcPr>
            <w:tcW w:w="1081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.18</w:t>
            </w:r>
          </w:p>
        </w:tc>
        <w:tc>
          <w:tcPr>
            <w:tcW w:w="1318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1.18</w:t>
            </w:r>
          </w:p>
        </w:tc>
        <w:tc>
          <w:tcPr>
            <w:tcW w:w="1055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20" w:lineRule="atLeast"/>
              <w:ind w:left="60" w:right="60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.85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.72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.66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.75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.47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.43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.54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20" w:lineRule="atLeast"/>
              <w:ind w:left="60" w:right="60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Male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.15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.28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.34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.25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.47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.43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.54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20" w:lineRule="atLeast"/>
              <w:ind w:left="60" w:right="60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42.34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47.39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51.84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48.69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14.91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14.01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.68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20" w:lineRule="atLeast"/>
              <w:ind w:left="60" w:right="6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TSH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293.29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291.13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292.60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292.14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119.35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119.30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20" w:lineRule="atLeast"/>
              <w:ind w:left="60" w:right="60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CRP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58.11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48.75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43.50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44.74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47.67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48.92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.18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20" w:lineRule="atLeast"/>
              <w:ind w:left="60" w:right="60"/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TPO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-Ab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highlight w:val="yellow"/>
                <w:lang w:val="en-US" w:eastAsia="zh-CN"/>
              </w:rPr>
              <w:t>IU/mL</w:t>
            </w:r>
            <w:bookmarkStart w:id="0" w:name="_GoBack"/>
            <w:bookmarkEnd w:id="0"/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38.36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48.30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56.82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50.92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121.81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112.68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.18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20" w:lineRule="atLeast"/>
              <w:ind w:left="60" w:right="60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 xml:space="preserve">Comorbid with AIID 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.08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.07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.29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.25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.29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20" w:lineRule="atLeast"/>
              <w:ind w:left="60" w:right="60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 xml:space="preserve">Psychiatric history 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.18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.22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.24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.22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.42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.42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.14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&lt; 0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90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20" w:lineRule="atLeast"/>
              <w:ind w:left="60" w:right="60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Time since dignosis</w:t>
            </w:r>
          </w:p>
        </w:tc>
        <w:tc>
          <w:tcPr>
            <w:tcW w:w="1237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9.60</w:t>
            </w:r>
          </w:p>
        </w:tc>
        <w:tc>
          <w:tcPr>
            <w:tcW w:w="1000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9.40</w:t>
            </w:r>
          </w:p>
        </w:tc>
        <w:tc>
          <w:tcPr>
            <w:tcW w:w="1227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10.14</w:t>
            </w:r>
          </w:p>
        </w:tc>
        <w:tc>
          <w:tcPr>
            <w:tcW w:w="1018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9.74</w:t>
            </w:r>
          </w:p>
        </w:tc>
        <w:tc>
          <w:tcPr>
            <w:tcW w:w="1319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6.65</w:t>
            </w:r>
          </w:p>
        </w:tc>
        <w:tc>
          <w:tcPr>
            <w:tcW w:w="1081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6.64</w:t>
            </w:r>
          </w:p>
        </w:tc>
        <w:tc>
          <w:tcPr>
            <w:tcW w:w="1318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1055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545" w:type="dxa"/>
            <w:gridSpan w:val="9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320" w:lineRule="atLeast"/>
              <w:ind w:left="60" w:right="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 xml:space="preserve">SMD,standardized mean difference; SD, standard deviation; AIID, autoimmune inflammatory diseases; BDI-13, Beck Depression Index-13; TSH, thyroid stimulating hormones; CRP, C-reactive proteins. </w:t>
            </w:r>
          </w:p>
        </w:tc>
      </w:tr>
    </w:tbl>
    <w:p>
      <w:pPr>
        <w:tabs>
          <w:tab w:val="left" w:pos="2138"/>
        </w:tabs>
        <w:jc w:val="center"/>
        <w:rPr>
          <w:rFonts w:ascii="Times New Roman" w:hAnsi="Times New Roman"/>
          <w:b/>
          <w:bCs/>
          <w:i/>
          <w:iCs/>
          <w:sz w:val="32"/>
          <w:szCs w:val="44"/>
        </w:rPr>
      </w:pPr>
      <w:r>
        <w:rPr>
          <w:rFonts w:ascii="Times New Roman" w:hAnsi="Times New Roman"/>
          <w:b/>
          <w:bCs/>
          <w:i/>
          <w:iCs/>
          <w:sz w:val="32"/>
          <w:szCs w:val="44"/>
        </w:rPr>
        <w:t>Supplementary Material</w:t>
      </w:r>
    </w:p>
    <w:p>
      <w:pPr>
        <w:tabs>
          <w:tab w:val="left" w:pos="4410"/>
        </w:tabs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Thyroid function and associated mood changes after COVID-19 vaccines in patients with Hashimoto thyroiditis</w:t>
      </w:r>
    </w:p>
    <w:p>
      <w:pPr>
        <w:tabs>
          <w:tab w:val="left" w:pos="2138"/>
        </w:tabs>
        <w:jc w:val="center"/>
        <w:rPr>
          <w:rFonts w:ascii="Times New Roman" w:hAnsi="Times New Roman"/>
          <w:b/>
          <w:bCs/>
          <w:i/>
          <w:iCs/>
          <w:sz w:val="32"/>
          <w:szCs w:val="44"/>
        </w:rPr>
      </w:pPr>
    </w:p>
    <w:p>
      <w:pPr>
        <w:tabs>
          <w:tab w:val="left" w:pos="2138"/>
        </w:tabs>
        <w:rPr>
          <w:rFonts w:ascii="Times New Roman" w:hAnsi="Times New Roman"/>
        </w:rPr>
      </w:pPr>
    </w:p>
    <w:p>
      <w:pPr>
        <w:tabs>
          <w:tab w:val="left" w:pos="2138"/>
        </w:tabs>
        <w:rPr>
          <w:rFonts w:ascii="Times New Roman" w:hAnsi="Times New Roman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tbl>
      <w:tblPr>
        <w:tblStyle w:val="7"/>
        <w:tblpPr w:leftFromText="180" w:rightFromText="180" w:vertAnchor="text" w:horzAnchor="page" w:tblpX="975" w:tblpY="487"/>
        <w:tblOverlap w:val="never"/>
        <w:tblW w:w="9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7"/>
        <w:gridCol w:w="820"/>
        <w:gridCol w:w="1472"/>
        <w:gridCol w:w="1691"/>
        <w:gridCol w:w="1136"/>
        <w:gridCol w:w="1264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770" w:type="dxa"/>
            <w:gridSpan w:val="7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  <w:t xml:space="preserve">Supplementary </w:t>
            </w:r>
            <w:r>
              <w:rPr>
                <w:rFonts w:hint="eastAsia" w:ascii="Times New Roman" w:hAnsi="Times New Roman" w:eastAsia="宋体"/>
                <w:b/>
                <w:sz w:val="21"/>
                <w:szCs w:val="21"/>
              </w:rPr>
              <w:t>Table 2. Regression Analysis of TSH increases after vaccination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820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Cs w:val="20"/>
              </w:rPr>
            </w:pP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Cs w:val="20"/>
              </w:rPr>
              <w:t>TSH changes</w:t>
            </w:r>
          </w:p>
        </w:tc>
        <w:tc>
          <w:tcPr>
            <w:tcW w:w="1136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Cs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Cs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07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Factor</w:t>
            </w:r>
            <w:r>
              <w:rPr>
                <w:rFonts w:hint="eastAsia" w:ascii="Times New Roman" w:hAnsi="Times New Roman" w:eastAsia="宋体"/>
                <w:b/>
                <w:szCs w:val="20"/>
              </w:rPr>
              <w:t>s</w:t>
            </w:r>
          </w:p>
        </w:tc>
        <w:tc>
          <w:tcPr>
            <w:tcW w:w="1472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Cs w:val="20"/>
              </w:rPr>
              <w:t>Increased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Cs w:val="20"/>
              </w:rPr>
              <w:t>(N = 291, 10.5%)</w:t>
            </w:r>
          </w:p>
        </w:tc>
        <w:tc>
          <w:tcPr>
            <w:tcW w:w="1691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Cs w:val="20"/>
              </w:rPr>
              <w:t>Not increased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Cs w:val="20"/>
              </w:rPr>
              <w:t xml:space="preserve"> (N = 2474, 89.5%)</w:t>
            </w:r>
          </w:p>
        </w:tc>
        <w:tc>
          <w:tcPr>
            <w:tcW w:w="1136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i/>
                <w:iCs/>
                <w:szCs w:val="20"/>
              </w:rPr>
              <w:t>p</w:t>
            </w:r>
            <w:r>
              <w:rPr>
                <w:rFonts w:hint="eastAsia" w:ascii="Times New Roman" w:hAnsi="Times New Roman" w:eastAsia="宋体"/>
                <w:b/>
                <w:szCs w:val="20"/>
              </w:rPr>
              <w:t xml:space="preserve"> (Univariate)</w:t>
            </w:r>
          </w:p>
        </w:tc>
        <w:tc>
          <w:tcPr>
            <w:tcW w:w="1264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i/>
                <w:iCs/>
                <w:szCs w:val="20"/>
              </w:rPr>
              <w:t xml:space="preserve">p </w:t>
            </w:r>
            <w:r>
              <w:rPr>
                <w:rFonts w:hint="eastAsia" w:ascii="Times New Roman" w:hAnsi="Times New Roman" w:eastAsia="宋体"/>
                <w:b/>
                <w:szCs w:val="20"/>
              </w:rPr>
              <w:t>(Multivariate)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Cs w:val="20"/>
              </w:rPr>
              <w:t>Odds Ratio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7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820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atLeast"/>
              <w:ind w:right="60"/>
              <w:jc w:val="center"/>
              <w:rPr>
                <w:rFonts w:ascii="Times New Roman" w:hAnsi="Times New Roman" w:eastAsia="宋体"/>
                <w:b/>
                <w:bCs/>
                <w:color w:val="010205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10205"/>
                <w:sz w:val="18"/>
                <w:szCs w:val="18"/>
              </w:rPr>
              <w:t>Male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10205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10205"/>
                <w:sz w:val="18"/>
                <w:szCs w:val="18"/>
              </w:rPr>
              <w:t>51 (17.5)</w:t>
            </w:r>
          </w:p>
        </w:tc>
        <w:tc>
          <w:tcPr>
            <w:tcW w:w="1691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10205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10205"/>
                <w:sz w:val="18"/>
                <w:szCs w:val="18"/>
              </w:rPr>
              <w:t>364 (14.7)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atLeast"/>
              <w:ind w:left="60" w:right="60"/>
              <w:jc w:val="center"/>
              <w:rPr>
                <w:rFonts w:ascii="Times New Roman" w:hAnsi="Times New Roman" w:eastAsia="宋体"/>
                <w:color w:val="010205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10205"/>
                <w:sz w:val="18"/>
                <w:szCs w:val="18"/>
              </w:rPr>
              <w:t>0.20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—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7" w:type="dxa"/>
            <w:vMerge w:val="continue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240 (82.5)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2110 (85.3)</w:t>
            </w:r>
          </w:p>
        </w:tc>
        <w:tc>
          <w:tcPr>
            <w:tcW w:w="11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6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10205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07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atLeast"/>
              <w:ind w:right="60"/>
              <w:jc w:val="center"/>
              <w:rPr>
                <w:rFonts w:ascii="Times New Roman" w:hAnsi="Times New Roman" w:eastAsia="宋体"/>
                <w:b/>
                <w:bCs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Age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, years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41.51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13.98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)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42.44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13.99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)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0.28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—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07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atLeast"/>
              <w:ind w:right="60"/>
              <w:jc w:val="center"/>
              <w:rPr>
                <w:rFonts w:ascii="Times New Roman" w:hAnsi="Times New Roman" w:eastAsia="宋体"/>
                <w:b/>
                <w:bCs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Time since diagnosis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9.92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11.29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)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9.56 (10.91)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0.60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—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07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atLeast"/>
              <w:ind w:right="60"/>
              <w:jc w:val="center"/>
              <w:rPr>
                <w:rFonts w:ascii="Times New Roman" w:hAnsi="Times New Roman" w:eastAsia="宋体"/>
                <w:b/>
                <w:bCs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TSH, μIU/dL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335.82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119.55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)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288.28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109.68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)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&lt; 0.01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&lt; 0.01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1.003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07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atLeast"/>
              <w:ind w:right="60"/>
              <w:jc w:val="center"/>
              <w:rPr>
                <w:rFonts w:ascii="Times New Roman" w:hAnsi="Times New Roman" w:eastAsia="宋体"/>
                <w:b/>
                <w:bCs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CRP, μg/dL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919.90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819.81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)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541.27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776.86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)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&lt; 0.01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&lt; 0.01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07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atLeast"/>
              <w:ind w:right="60"/>
              <w:jc w:val="center"/>
              <w:rPr>
                <w:rFonts w:ascii="Times New Roman" w:hAnsi="Times New Roman" w:eastAsia="宋体"/>
                <w:b/>
                <w:bCs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auto"/>
                <w:sz w:val="18"/>
                <w:szCs w:val="18"/>
              </w:rPr>
              <w:t>IL-6, pg/mL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201.89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135.10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)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140.51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96.94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)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&lt; 0.01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&lt; 0.01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07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atLeast"/>
              <w:ind w:right="60"/>
              <w:jc w:val="center"/>
              <w:rPr>
                <w:rFonts w:ascii="Times New Roman" w:hAnsi="Times New Roman" w:eastAsia="宋体"/>
                <w:b/>
                <w:bCs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auto"/>
                <w:sz w:val="18"/>
                <w:szCs w:val="18"/>
              </w:rPr>
              <w:t>Anti-TG antibody, IU/mL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66.45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117.16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)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95.19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395.28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)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0.23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07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atLeast"/>
              <w:ind w:right="60"/>
              <w:jc w:val="center"/>
              <w:rPr>
                <w:rFonts w:ascii="Times New Roman" w:hAnsi="Times New Roman" w:eastAsia="宋体"/>
                <w:b/>
                <w:bCs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auto"/>
                <w:sz w:val="18"/>
                <w:szCs w:val="18"/>
              </w:rPr>
              <w:t>Anti-TPO antibody, IU/mL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88.67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175.08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)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32.44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85.86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)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&lt; 0.01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&lt; 0.01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7" w:type="dxa"/>
            <w:vMerge w:val="restart"/>
            <w:shd w:val="clear" w:color="auto" w:fill="FFFFFF" w:themeFill="background1"/>
            <w:vAlign w:val="center"/>
          </w:tcPr>
          <w:p>
            <w:pPr>
              <w:spacing w:line="320" w:lineRule="atLeast"/>
              <w:ind w:right="60"/>
              <w:jc w:val="center"/>
              <w:rPr>
                <w:rFonts w:ascii="Times New Roman" w:hAnsi="Times New Roman" w:eastAsia="宋体"/>
                <w:b/>
                <w:bCs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auto"/>
                <w:sz w:val="18"/>
                <w:szCs w:val="18"/>
              </w:rPr>
              <w:t>Comorbidity with other AIID</w:t>
            </w:r>
          </w:p>
        </w:tc>
        <w:tc>
          <w:tcPr>
            <w:tcW w:w="820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atLeast"/>
              <w:ind w:right="60"/>
              <w:jc w:val="center"/>
              <w:rPr>
                <w:rFonts w:ascii="Times New Roman" w:hAnsi="Times New Roman" w:eastAsia="宋体"/>
                <w:b/>
                <w:bCs/>
                <w:color w:val="010205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10205"/>
                <w:sz w:val="18"/>
                <w:szCs w:val="18"/>
              </w:rPr>
              <w:t>Yes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22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82</w:t>
            </w:r>
          </w:p>
        </w:tc>
        <w:tc>
          <w:tcPr>
            <w:tcW w:w="1136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&lt; 0.01</w:t>
            </w:r>
          </w:p>
        </w:tc>
        <w:tc>
          <w:tcPr>
            <w:tcW w:w="1264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&lt; 0.01</w:t>
            </w:r>
          </w:p>
        </w:tc>
        <w:tc>
          <w:tcPr>
            <w:tcW w:w="1100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7" w:type="dxa"/>
            <w:vMerge w:val="continue"/>
            <w:shd w:val="clear" w:color="auto" w:fill="FFFFFF" w:themeFill="background1"/>
            <w:vAlign w:val="center"/>
          </w:tcPr>
          <w:p>
            <w:pPr>
              <w:spacing w:line="320" w:lineRule="atLeast"/>
              <w:ind w:right="60"/>
              <w:jc w:val="center"/>
              <w:rPr>
                <w:rFonts w:ascii="Times New Roman" w:hAnsi="Times New Roman" w:eastAsia="宋体"/>
                <w:b/>
                <w:bCs/>
                <w:color w:val="010205"/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atLeast"/>
              <w:ind w:right="60"/>
              <w:jc w:val="center"/>
              <w:rPr>
                <w:rFonts w:ascii="Times New Roman" w:hAnsi="Times New Roman" w:eastAsia="宋体"/>
                <w:b/>
                <w:bCs/>
                <w:color w:val="010205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10205"/>
                <w:sz w:val="18"/>
                <w:szCs w:val="18"/>
              </w:rPr>
              <w:t>No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269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2392</w:t>
            </w:r>
          </w:p>
        </w:tc>
        <w:tc>
          <w:tcPr>
            <w:tcW w:w="11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6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07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atLeast"/>
              <w:ind w:right="60"/>
              <w:jc w:val="center"/>
              <w:rPr>
                <w:rFonts w:ascii="Times New Roman" w:hAnsi="Times New Roman" w:eastAsia="宋体"/>
                <w:b/>
                <w:bCs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BDI values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8.38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6.13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)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8.54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5.04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)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0.62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—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87" w:type="dxa"/>
            <w:vMerge w:val="restart"/>
            <w:shd w:val="clear" w:color="auto" w:fill="FFFFFF" w:themeFill="background1"/>
            <w:vAlign w:val="center"/>
          </w:tcPr>
          <w:p>
            <w:pPr>
              <w:jc w:val="both"/>
              <w:rPr>
                <w:rFonts w:ascii="Times New Roman" w:hAnsi="Times New Roman" w:eastAsiaTheme="minorEastAsia"/>
                <w:b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Psychiatric disease history</w:t>
            </w:r>
          </w:p>
        </w:tc>
        <w:tc>
          <w:tcPr>
            <w:tcW w:w="820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atLeast"/>
              <w:ind w:right="60"/>
              <w:jc w:val="center"/>
              <w:rPr>
                <w:rFonts w:ascii="Times New Roman" w:hAnsi="Times New Roman" w:eastAsia="宋体"/>
                <w:b/>
                <w:bCs/>
                <w:color w:val="010205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10205"/>
                <w:sz w:val="18"/>
                <w:szCs w:val="18"/>
              </w:rPr>
              <w:t>Yes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53 (18.2)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446 (18.0)</w:t>
            </w:r>
          </w:p>
        </w:tc>
        <w:tc>
          <w:tcPr>
            <w:tcW w:w="1136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0.94</w:t>
            </w:r>
          </w:p>
        </w:tc>
        <w:tc>
          <w:tcPr>
            <w:tcW w:w="1264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—</w:t>
            </w:r>
          </w:p>
        </w:tc>
        <w:tc>
          <w:tcPr>
            <w:tcW w:w="1100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7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ascii="Times New Roman" w:hAnsi="Times New Roman" w:eastAsiaTheme="minorEastAsia"/>
                <w:b/>
                <w:bCs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atLeast"/>
              <w:ind w:right="60"/>
              <w:jc w:val="center"/>
              <w:rPr>
                <w:rFonts w:ascii="Times New Roman" w:hAnsi="Times New Roman" w:eastAsia="宋体"/>
                <w:b/>
                <w:bCs/>
                <w:color w:val="010205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10205"/>
                <w:sz w:val="18"/>
                <w:szCs w:val="18"/>
              </w:rPr>
              <w:t>No</w:t>
            </w:r>
          </w:p>
        </w:tc>
        <w:tc>
          <w:tcPr>
            <w:tcW w:w="1472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238 (81.8)</w:t>
            </w:r>
          </w:p>
        </w:tc>
        <w:tc>
          <w:tcPr>
            <w:tcW w:w="1691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2028 (82.0)</w:t>
            </w:r>
          </w:p>
        </w:tc>
        <w:tc>
          <w:tcPr>
            <w:tcW w:w="113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64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770" w:type="dxa"/>
            <w:gridSpan w:val="7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spacing w:line="320" w:lineRule="atLeast"/>
              <w:ind w:left="60" w:right="60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 xml:space="preserve">SD, standard deviation; AIID, autoimmune inflammatory diseases; BDI-13, Beck Depression Index-13; TSH, thyroid stimulating hormones; CRP, C-reactive proteins. </w:t>
            </w:r>
          </w:p>
        </w:tc>
      </w:tr>
    </w:tbl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hint="eastAsia" w:ascii="Times New Roman" w:hAnsi="Times New Roman" w:eastAsiaTheme="minorEastAsia"/>
          <w:sz w:val="24"/>
        </w:rPr>
      </w:pPr>
    </w:p>
    <w:p>
      <w:pPr>
        <w:spacing w:line="400" w:lineRule="atLeast"/>
        <w:rPr>
          <w:rFonts w:ascii="Times New Roman" w:hAnsi="Times New Roman"/>
        </w:rPr>
      </w:pPr>
      <w:r>
        <w:drawing>
          <wp:inline distT="0" distB="0" distL="114300" distR="114300">
            <wp:extent cx="5273040" cy="2966085"/>
            <wp:effectExtent l="0" t="0" r="10160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38"/>
        </w:tabs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Supplementary Figure 1</w:t>
      </w:r>
    </w:p>
    <w:p>
      <w:pPr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Kaplan-Meier estimated disease-free survival curve in the vaccine group and control group.</w:t>
      </w:r>
    </w:p>
    <w:p>
      <w:pPr>
        <w:tabs>
          <w:tab w:val="left" w:pos="2138"/>
        </w:tabs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5266690" cy="2962910"/>
            <wp:effectExtent l="0" t="0" r="3810" b="8890"/>
            <wp:docPr id="6" name="图片 6" descr="Supplementary Fig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upplementary Figure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38"/>
        </w:tabs>
        <w:ind w:left="241" w:hanging="240" w:hangingChars="100"/>
        <w:rPr>
          <w:rFonts w:ascii="Times New Roman" w:hAnsi="Times New Roman"/>
          <w:b/>
          <w:bCs/>
          <w:sz w:val="24"/>
          <w:szCs w:val="36"/>
        </w:rPr>
      </w:pPr>
      <w:r>
        <w:rPr>
          <w:rFonts w:hint="eastAsia" w:ascii="Times New Roman" w:hAnsi="Times New Roman"/>
          <w:b/>
          <w:bCs/>
          <w:sz w:val="24"/>
          <w:szCs w:val="36"/>
        </w:rPr>
        <w:t>Supplementary Figure 2</w:t>
      </w:r>
    </w:p>
    <w:p>
      <w:pPr>
        <w:tabs>
          <w:tab w:val="left" w:pos="2138"/>
        </w:tabs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A</w:t>
      </w:r>
      <w:r>
        <w:rPr>
          <w:rFonts w:hint="eastAsia" w:ascii="Times New Roman" w:hAnsi="Times New Roman"/>
          <w:sz w:val="24"/>
          <w:szCs w:val="36"/>
        </w:rPr>
        <w:t>,</w:t>
      </w:r>
      <w:r>
        <w:rPr>
          <w:rFonts w:ascii="Times New Roman" w:hAnsi="Times New Roman"/>
          <w:sz w:val="24"/>
          <w:szCs w:val="36"/>
        </w:rPr>
        <w:t xml:space="preserve"> Nomogram predicting the risk of </w:t>
      </w:r>
      <w:r>
        <w:rPr>
          <w:rFonts w:hint="eastAsia" w:ascii="Times New Roman" w:hAnsi="Times New Roman"/>
          <w:sz w:val="24"/>
          <w:szCs w:val="36"/>
        </w:rPr>
        <w:t xml:space="preserve">TSH increase (&gt; 200 </w:t>
      </w:r>
      <w:r>
        <w:rPr>
          <w:rFonts w:ascii="Times New Roman" w:hAnsi="Times New Roman"/>
          <w:sz w:val="24"/>
          <w:szCs w:val="36"/>
        </w:rPr>
        <w:t>μ</w:t>
      </w:r>
      <w:r>
        <w:rPr>
          <w:rFonts w:hint="eastAsia" w:ascii="Times New Roman" w:hAnsi="Times New Roman"/>
          <w:sz w:val="24"/>
          <w:szCs w:val="36"/>
        </w:rPr>
        <w:t>IU/dL)</w:t>
      </w:r>
      <w:r>
        <w:rPr>
          <w:rFonts w:ascii="Times New Roman" w:hAnsi="Times New Roman"/>
          <w:sz w:val="24"/>
          <w:szCs w:val="36"/>
        </w:rPr>
        <w:t xml:space="preserve"> </w:t>
      </w:r>
      <w:r>
        <w:rPr>
          <w:rFonts w:hint="eastAsia" w:ascii="Times New Roman" w:hAnsi="Times New Roman"/>
          <w:sz w:val="24"/>
          <w:szCs w:val="36"/>
        </w:rPr>
        <w:t>2 months</w:t>
      </w:r>
      <w:r>
        <w:rPr>
          <w:rFonts w:ascii="Times New Roman" w:hAnsi="Times New Roman"/>
          <w:sz w:val="24"/>
          <w:szCs w:val="36"/>
        </w:rPr>
        <w:t xml:space="preserve"> after vaccination</w:t>
      </w:r>
      <w:r>
        <w:rPr>
          <w:rFonts w:hint="eastAsia" w:ascii="Times New Roman" w:hAnsi="Times New Roman"/>
          <w:sz w:val="24"/>
          <w:szCs w:val="36"/>
        </w:rPr>
        <w:t>.</w:t>
      </w:r>
      <w:r>
        <w:rPr>
          <w:rFonts w:ascii="Times New Roman" w:hAnsi="Times New Roman"/>
          <w:sz w:val="24"/>
          <w:szCs w:val="36"/>
        </w:rPr>
        <w:t xml:space="preserve"> </w:t>
      </w:r>
      <w:r>
        <w:rPr>
          <w:rFonts w:hint="eastAsia" w:ascii="Times New Roman" w:hAnsi="Times New Roman"/>
          <w:sz w:val="24"/>
          <w:szCs w:val="36"/>
        </w:rPr>
        <w:t>B,</w:t>
      </w:r>
      <w:r>
        <w:rPr>
          <w:rFonts w:ascii="Times New Roman" w:hAnsi="Times New Roman"/>
          <w:sz w:val="24"/>
          <w:szCs w:val="36"/>
        </w:rPr>
        <w:t xml:space="preserve"> calibration curve showing agreement between predicted and actual r</w:t>
      </w:r>
      <w:r>
        <w:rPr>
          <w:rFonts w:hint="eastAsia" w:ascii="Times New Roman" w:hAnsi="Times New Roman"/>
          <w:sz w:val="24"/>
          <w:szCs w:val="36"/>
        </w:rPr>
        <w:t>ate</w:t>
      </w:r>
      <w:r>
        <w:rPr>
          <w:rFonts w:ascii="Times New Roman" w:hAnsi="Times New Roman"/>
          <w:sz w:val="24"/>
          <w:szCs w:val="36"/>
        </w:rPr>
        <w:t xml:space="preserve"> of </w:t>
      </w:r>
      <w:r>
        <w:rPr>
          <w:rFonts w:hint="eastAsia" w:ascii="Times New Roman" w:hAnsi="Times New Roman"/>
          <w:sz w:val="24"/>
          <w:szCs w:val="36"/>
        </w:rPr>
        <w:t>TSH increase</w:t>
      </w:r>
      <w:r>
        <w:rPr>
          <w:rFonts w:ascii="Times New Roman" w:hAnsi="Times New Roman"/>
          <w:sz w:val="24"/>
          <w:szCs w:val="36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2010609000101010101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NmZlMjBmODFhZjQ2YjVhZjQwYmI4MWFmOTFhNGQifQ=="/>
  </w:docVars>
  <w:rsids>
    <w:rsidRoot w:val="00172A27"/>
    <w:rsid w:val="00082FF1"/>
    <w:rsid w:val="00172A27"/>
    <w:rsid w:val="002911F1"/>
    <w:rsid w:val="007B2B38"/>
    <w:rsid w:val="009364BC"/>
    <w:rsid w:val="009F646E"/>
    <w:rsid w:val="011A0B29"/>
    <w:rsid w:val="01432BA7"/>
    <w:rsid w:val="01A249D7"/>
    <w:rsid w:val="01B92446"/>
    <w:rsid w:val="0215208E"/>
    <w:rsid w:val="02817669"/>
    <w:rsid w:val="028D56F1"/>
    <w:rsid w:val="02DE174C"/>
    <w:rsid w:val="03A208FB"/>
    <w:rsid w:val="03B61ED0"/>
    <w:rsid w:val="04125032"/>
    <w:rsid w:val="04866CD8"/>
    <w:rsid w:val="04C133B9"/>
    <w:rsid w:val="052F15A2"/>
    <w:rsid w:val="05910D73"/>
    <w:rsid w:val="05AA2098"/>
    <w:rsid w:val="05B3551E"/>
    <w:rsid w:val="05BA5044"/>
    <w:rsid w:val="060E573F"/>
    <w:rsid w:val="0641271B"/>
    <w:rsid w:val="067255BE"/>
    <w:rsid w:val="067C1058"/>
    <w:rsid w:val="06A43811"/>
    <w:rsid w:val="06AC5ABC"/>
    <w:rsid w:val="06DD6871"/>
    <w:rsid w:val="072D113D"/>
    <w:rsid w:val="07552ED3"/>
    <w:rsid w:val="079317E2"/>
    <w:rsid w:val="07F900F6"/>
    <w:rsid w:val="081943CB"/>
    <w:rsid w:val="08883AAD"/>
    <w:rsid w:val="08F26AC6"/>
    <w:rsid w:val="09074824"/>
    <w:rsid w:val="092C1425"/>
    <w:rsid w:val="0AB9077B"/>
    <w:rsid w:val="0ADF3DF7"/>
    <w:rsid w:val="0B891FC4"/>
    <w:rsid w:val="0BBA279C"/>
    <w:rsid w:val="0BE71410"/>
    <w:rsid w:val="0C370CCA"/>
    <w:rsid w:val="0C8646DD"/>
    <w:rsid w:val="0C972688"/>
    <w:rsid w:val="0CBB4B8B"/>
    <w:rsid w:val="0CC760C0"/>
    <w:rsid w:val="0CD7213D"/>
    <w:rsid w:val="0D026B63"/>
    <w:rsid w:val="0D2D385E"/>
    <w:rsid w:val="0D6651CE"/>
    <w:rsid w:val="0D691E9D"/>
    <w:rsid w:val="0DBD158B"/>
    <w:rsid w:val="0DC87E8B"/>
    <w:rsid w:val="0ECE5D37"/>
    <w:rsid w:val="0ED0468D"/>
    <w:rsid w:val="0ED458ED"/>
    <w:rsid w:val="0EF6050E"/>
    <w:rsid w:val="0F0E2550"/>
    <w:rsid w:val="0F5332DE"/>
    <w:rsid w:val="0F6D1709"/>
    <w:rsid w:val="0FDF2F47"/>
    <w:rsid w:val="0FFF479F"/>
    <w:rsid w:val="106031C4"/>
    <w:rsid w:val="10E66ABB"/>
    <w:rsid w:val="10F73906"/>
    <w:rsid w:val="114207F0"/>
    <w:rsid w:val="11B023F5"/>
    <w:rsid w:val="120F4D20"/>
    <w:rsid w:val="123E7A4A"/>
    <w:rsid w:val="12677BD5"/>
    <w:rsid w:val="12710455"/>
    <w:rsid w:val="12B51B76"/>
    <w:rsid w:val="12C17681"/>
    <w:rsid w:val="12C91548"/>
    <w:rsid w:val="12D06408"/>
    <w:rsid w:val="12E36915"/>
    <w:rsid w:val="1307147E"/>
    <w:rsid w:val="13484F48"/>
    <w:rsid w:val="137F7BD3"/>
    <w:rsid w:val="14015C32"/>
    <w:rsid w:val="1437293C"/>
    <w:rsid w:val="144B04A9"/>
    <w:rsid w:val="16757B6D"/>
    <w:rsid w:val="169E5F0C"/>
    <w:rsid w:val="16CE6D60"/>
    <w:rsid w:val="174307C4"/>
    <w:rsid w:val="17972962"/>
    <w:rsid w:val="17A35689"/>
    <w:rsid w:val="17F11573"/>
    <w:rsid w:val="180C32AB"/>
    <w:rsid w:val="183E2897"/>
    <w:rsid w:val="18B82058"/>
    <w:rsid w:val="19106B2B"/>
    <w:rsid w:val="194421BB"/>
    <w:rsid w:val="19552B61"/>
    <w:rsid w:val="19742BBD"/>
    <w:rsid w:val="197923AE"/>
    <w:rsid w:val="1AE74B3D"/>
    <w:rsid w:val="1B4D099D"/>
    <w:rsid w:val="1BBC1353"/>
    <w:rsid w:val="1BDF723B"/>
    <w:rsid w:val="1CD777DE"/>
    <w:rsid w:val="1CE3375B"/>
    <w:rsid w:val="1CEE4AB9"/>
    <w:rsid w:val="1D4823D3"/>
    <w:rsid w:val="1DC061F8"/>
    <w:rsid w:val="1DCA187D"/>
    <w:rsid w:val="1DCB5696"/>
    <w:rsid w:val="1DEB3FFD"/>
    <w:rsid w:val="1E494899"/>
    <w:rsid w:val="1E740FE8"/>
    <w:rsid w:val="1EB6208F"/>
    <w:rsid w:val="1ED52F88"/>
    <w:rsid w:val="1F7860D3"/>
    <w:rsid w:val="1FA918B1"/>
    <w:rsid w:val="1FB00425"/>
    <w:rsid w:val="1FDE62E9"/>
    <w:rsid w:val="20224266"/>
    <w:rsid w:val="20410049"/>
    <w:rsid w:val="2161590E"/>
    <w:rsid w:val="21620ADD"/>
    <w:rsid w:val="21715D34"/>
    <w:rsid w:val="21892DF7"/>
    <w:rsid w:val="2247406C"/>
    <w:rsid w:val="2251294C"/>
    <w:rsid w:val="225B09A5"/>
    <w:rsid w:val="22DF44DE"/>
    <w:rsid w:val="230630C5"/>
    <w:rsid w:val="23293977"/>
    <w:rsid w:val="23622536"/>
    <w:rsid w:val="23753C1B"/>
    <w:rsid w:val="24757DE2"/>
    <w:rsid w:val="249C042E"/>
    <w:rsid w:val="24D23436"/>
    <w:rsid w:val="256457D4"/>
    <w:rsid w:val="256E01F5"/>
    <w:rsid w:val="257C7B64"/>
    <w:rsid w:val="25C03C54"/>
    <w:rsid w:val="25EC6829"/>
    <w:rsid w:val="261042A4"/>
    <w:rsid w:val="2627010E"/>
    <w:rsid w:val="26395076"/>
    <w:rsid w:val="26964056"/>
    <w:rsid w:val="26CB07DF"/>
    <w:rsid w:val="27662017"/>
    <w:rsid w:val="276B41F4"/>
    <w:rsid w:val="27C102D1"/>
    <w:rsid w:val="28701C4C"/>
    <w:rsid w:val="28975146"/>
    <w:rsid w:val="292660CB"/>
    <w:rsid w:val="294E7434"/>
    <w:rsid w:val="2950738C"/>
    <w:rsid w:val="29522FFA"/>
    <w:rsid w:val="298E2B3D"/>
    <w:rsid w:val="29EA4724"/>
    <w:rsid w:val="2A2A3F71"/>
    <w:rsid w:val="2A2B2EF8"/>
    <w:rsid w:val="2A37002B"/>
    <w:rsid w:val="2A3E0B95"/>
    <w:rsid w:val="2A5367C3"/>
    <w:rsid w:val="2B484ECC"/>
    <w:rsid w:val="2C0A417D"/>
    <w:rsid w:val="2C436A71"/>
    <w:rsid w:val="2C5D6A29"/>
    <w:rsid w:val="2C5E0FF4"/>
    <w:rsid w:val="2C8426F7"/>
    <w:rsid w:val="2CCC6908"/>
    <w:rsid w:val="2D4138E8"/>
    <w:rsid w:val="2D901390"/>
    <w:rsid w:val="2DB713F7"/>
    <w:rsid w:val="2DB779FE"/>
    <w:rsid w:val="2E0214E0"/>
    <w:rsid w:val="2E3D2122"/>
    <w:rsid w:val="2E3F43B0"/>
    <w:rsid w:val="2E3F4415"/>
    <w:rsid w:val="2E6D580E"/>
    <w:rsid w:val="2F8B26E9"/>
    <w:rsid w:val="2FD2368C"/>
    <w:rsid w:val="30306F10"/>
    <w:rsid w:val="30C80C2C"/>
    <w:rsid w:val="31034E96"/>
    <w:rsid w:val="31421A1D"/>
    <w:rsid w:val="3146267E"/>
    <w:rsid w:val="316501FC"/>
    <w:rsid w:val="318816FA"/>
    <w:rsid w:val="32003034"/>
    <w:rsid w:val="32225EAD"/>
    <w:rsid w:val="32737D9C"/>
    <w:rsid w:val="32A00D81"/>
    <w:rsid w:val="32B3232F"/>
    <w:rsid w:val="32D3618A"/>
    <w:rsid w:val="32E57FFD"/>
    <w:rsid w:val="339F5C7E"/>
    <w:rsid w:val="33B702AF"/>
    <w:rsid w:val="33B77A47"/>
    <w:rsid w:val="33D726C4"/>
    <w:rsid w:val="33D82774"/>
    <w:rsid w:val="34002FE6"/>
    <w:rsid w:val="34204CE6"/>
    <w:rsid w:val="346E6FC5"/>
    <w:rsid w:val="34AE18FA"/>
    <w:rsid w:val="34C92563"/>
    <w:rsid w:val="35006D31"/>
    <w:rsid w:val="35862A33"/>
    <w:rsid w:val="359B60CF"/>
    <w:rsid w:val="35F9442C"/>
    <w:rsid w:val="36893098"/>
    <w:rsid w:val="36A3162C"/>
    <w:rsid w:val="37737787"/>
    <w:rsid w:val="379519F8"/>
    <w:rsid w:val="37EF3FBB"/>
    <w:rsid w:val="38302F48"/>
    <w:rsid w:val="386044B4"/>
    <w:rsid w:val="3860549E"/>
    <w:rsid w:val="38690AB1"/>
    <w:rsid w:val="387F2022"/>
    <w:rsid w:val="38C87F78"/>
    <w:rsid w:val="38F2510A"/>
    <w:rsid w:val="39000D67"/>
    <w:rsid w:val="396C6824"/>
    <w:rsid w:val="398C54FB"/>
    <w:rsid w:val="39953BE9"/>
    <w:rsid w:val="39AD7998"/>
    <w:rsid w:val="3A1416CA"/>
    <w:rsid w:val="3A6105EF"/>
    <w:rsid w:val="3A617BB1"/>
    <w:rsid w:val="3AD8688D"/>
    <w:rsid w:val="3B257C52"/>
    <w:rsid w:val="3B562651"/>
    <w:rsid w:val="3B587450"/>
    <w:rsid w:val="3B694781"/>
    <w:rsid w:val="3C26193A"/>
    <w:rsid w:val="3C3B7BF5"/>
    <w:rsid w:val="3C4B3760"/>
    <w:rsid w:val="3C4D451B"/>
    <w:rsid w:val="3C6878F2"/>
    <w:rsid w:val="3C7D2379"/>
    <w:rsid w:val="3C9848D1"/>
    <w:rsid w:val="3CB41AEB"/>
    <w:rsid w:val="3D092378"/>
    <w:rsid w:val="3D636149"/>
    <w:rsid w:val="3DD32C78"/>
    <w:rsid w:val="3E506474"/>
    <w:rsid w:val="3E9E0A3F"/>
    <w:rsid w:val="3EB11045"/>
    <w:rsid w:val="3F00381A"/>
    <w:rsid w:val="3F1114F1"/>
    <w:rsid w:val="3F2E3F10"/>
    <w:rsid w:val="400C2512"/>
    <w:rsid w:val="401D4234"/>
    <w:rsid w:val="402725F6"/>
    <w:rsid w:val="40407D8F"/>
    <w:rsid w:val="40AE6005"/>
    <w:rsid w:val="40D74A55"/>
    <w:rsid w:val="41862D01"/>
    <w:rsid w:val="418A65FE"/>
    <w:rsid w:val="41C44FAA"/>
    <w:rsid w:val="420D2357"/>
    <w:rsid w:val="422A497E"/>
    <w:rsid w:val="423D09DC"/>
    <w:rsid w:val="427E1FB0"/>
    <w:rsid w:val="431B498D"/>
    <w:rsid w:val="43712C19"/>
    <w:rsid w:val="445F5263"/>
    <w:rsid w:val="448220CA"/>
    <w:rsid w:val="44C66B37"/>
    <w:rsid w:val="44CA344E"/>
    <w:rsid w:val="44DB292F"/>
    <w:rsid w:val="451E076A"/>
    <w:rsid w:val="45467E38"/>
    <w:rsid w:val="45527A85"/>
    <w:rsid w:val="46025211"/>
    <w:rsid w:val="463D3836"/>
    <w:rsid w:val="467C4128"/>
    <w:rsid w:val="46845190"/>
    <w:rsid w:val="46AB1CB3"/>
    <w:rsid w:val="46D36B40"/>
    <w:rsid w:val="470F5494"/>
    <w:rsid w:val="471E5B44"/>
    <w:rsid w:val="476528F7"/>
    <w:rsid w:val="479866D9"/>
    <w:rsid w:val="48082FE0"/>
    <w:rsid w:val="484A42BA"/>
    <w:rsid w:val="48982229"/>
    <w:rsid w:val="48DE2318"/>
    <w:rsid w:val="4A1A7803"/>
    <w:rsid w:val="4A240F5C"/>
    <w:rsid w:val="4A26331E"/>
    <w:rsid w:val="4A26477E"/>
    <w:rsid w:val="4A50112D"/>
    <w:rsid w:val="4A554547"/>
    <w:rsid w:val="4ABA2942"/>
    <w:rsid w:val="4AE45B65"/>
    <w:rsid w:val="4B532136"/>
    <w:rsid w:val="4B700C5B"/>
    <w:rsid w:val="4B953798"/>
    <w:rsid w:val="4BAF4E90"/>
    <w:rsid w:val="4C1D090C"/>
    <w:rsid w:val="4C291164"/>
    <w:rsid w:val="4C3E34B4"/>
    <w:rsid w:val="4C5908F9"/>
    <w:rsid w:val="4CD278A5"/>
    <w:rsid w:val="4CE40F87"/>
    <w:rsid w:val="4DCA3C60"/>
    <w:rsid w:val="4DE4030C"/>
    <w:rsid w:val="4E1C19AE"/>
    <w:rsid w:val="4E52734F"/>
    <w:rsid w:val="4E642593"/>
    <w:rsid w:val="4EBC3907"/>
    <w:rsid w:val="4ED93D83"/>
    <w:rsid w:val="4F2C520F"/>
    <w:rsid w:val="4F320669"/>
    <w:rsid w:val="4F497834"/>
    <w:rsid w:val="4F55458B"/>
    <w:rsid w:val="4F904AAE"/>
    <w:rsid w:val="4F9E276F"/>
    <w:rsid w:val="501E0CBC"/>
    <w:rsid w:val="502F0022"/>
    <w:rsid w:val="5051213A"/>
    <w:rsid w:val="50B3758D"/>
    <w:rsid w:val="50C628C7"/>
    <w:rsid w:val="514A7802"/>
    <w:rsid w:val="519E1C45"/>
    <w:rsid w:val="51E036BA"/>
    <w:rsid w:val="51F24050"/>
    <w:rsid w:val="520A7580"/>
    <w:rsid w:val="52363C59"/>
    <w:rsid w:val="52DB67FC"/>
    <w:rsid w:val="533214C0"/>
    <w:rsid w:val="533E502E"/>
    <w:rsid w:val="53582409"/>
    <w:rsid w:val="537F3BC7"/>
    <w:rsid w:val="53D61A9D"/>
    <w:rsid w:val="54702B0D"/>
    <w:rsid w:val="54834203"/>
    <w:rsid w:val="54C150DF"/>
    <w:rsid w:val="54C519B0"/>
    <w:rsid w:val="55240779"/>
    <w:rsid w:val="553149F2"/>
    <w:rsid w:val="55F87742"/>
    <w:rsid w:val="55FF6B0D"/>
    <w:rsid w:val="563622BC"/>
    <w:rsid w:val="567F1456"/>
    <w:rsid w:val="56846B43"/>
    <w:rsid w:val="569A005E"/>
    <w:rsid w:val="569C39C7"/>
    <w:rsid w:val="57416C75"/>
    <w:rsid w:val="57421B58"/>
    <w:rsid w:val="57484142"/>
    <w:rsid w:val="57590B7C"/>
    <w:rsid w:val="576F3989"/>
    <w:rsid w:val="57C650B1"/>
    <w:rsid w:val="57D5189C"/>
    <w:rsid w:val="5810388C"/>
    <w:rsid w:val="59032CDC"/>
    <w:rsid w:val="5905790E"/>
    <w:rsid w:val="592C7EE5"/>
    <w:rsid w:val="59391844"/>
    <w:rsid w:val="5AAB0108"/>
    <w:rsid w:val="5AD049D7"/>
    <w:rsid w:val="5AD54ACC"/>
    <w:rsid w:val="5AF33261"/>
    <w:rsid w:val="5B64458D"/>
    <w:rsid w:val="5BCE5605"/>
    <w:rsid w:val="5BFA7708"/>
    <w:rsid w:val="5C0D0347"/>
    <w:rsid w:val="5C2526A9"/>
    <w:rsid w:val="5CF81662"/>
    <w:rsid w:val="5D0655ED"/>
    <w:rsid w:val="5D5704E0"/>
    <w:rsid w:val="5E2022B8"/>
    <w:rsid w:val="5E3C34B5"/>
    <w:rsid w:val="5E5F3A77"/>
    <w:rsid w:val="5EAE2D78"/>
    <w:rsid w:val="5EBD78BF"/>
    <w:rsid w:val="5F1365DE"/>
    <w:rsid w:val="5FC81824"/>
    <w:rsid w:val="5FC9660A"/>
    <w:rsid w:val="5FD456ED"/>
    <w:rsid w:val="603D17E5"/>
    <w:rsid w:val="605E35A7"/>
    <w:rsid w:val="60664952"/>
    <w:rsid w:val="61186B29"/>
    <w:rsid w:val="61217066"/>
    <w:rsid w:val="61D71DC6"/>
    <w:rsid w:val="61FC62BB"/>
    <w:rsid w:val="621463FA"/>
    <w:rsid w:val="62373BC5"/>
    <w:rsid w:val="62D20A16"/>
    <w:rsid w:val="63205586"/>
    <w:rsid w:val="63BC6CF7"/>
    <w:rsid w:val="63C608B0"/>
    <w:rsid w:val="63EE66A0"/>
    <w:rsid w:val="63FC1A78"/>
    <w:rsid w:val="64183A2E"/>
    <w:rsid w:val="647A6F5B"/>
    <w:rsid w:val="658A0756"/>
    <w:rsid w:val="65BF2C78"/>
    <w:rsid w:val="65D9564C"/>
    <w:rsid w:val="66B85310"/>
    <w:rsid w:val="66EF1D6B"/>
    <w:rsid w:val="66F445CB"/>
    <w:rsid w:val="676F03A1"/>
    <w:rsid w:val="67A9311B"/>
    <w:rsid w:val="67BE0C6E"/>
    <w:rsid w:val="67E17E86"/>
    <w:rsid w:val="67E36426"/>
    <w:rsid w:val="682F7894"/>
    <w:rsid w:val="68466938"/>
    <w:rsid w:val="6848469A"/>
    <w:rsid w:val="689D3292"/>
    <w:rsid w:val="68B535EC"/>
    <w:rsid w:val="69035BB4"/>
    <w:rsid w:val="692D388F"/>
    <w:rsid w:val="6A22150E"/>
    <w:rsid w:val="6A40525D"/>
    <w:rsid w:val="6A9A7A21"/>
    <w:rsid w:val="6AAB4FCB"/>
    <w:rsid w:val="6B3233DF"/>
    <w:rsid w:val="6B7434EE"/>
    <w:rsid w:val="6BCA744E"/>
    <w:rsid w:val="6BDB3096"/>
    <w:rsid w:val="6C104556"/>
    <w:rsid w:val="6C35427F"/>
    <w:rsid w:val="6CBB719C"/>
    <w:rsid w:val="6CCF5E1F"/>
    <w:rsid w:val="6D065FDA"/>
    <w:rsid w:val="6D400E24"/>
    <w:rsid w:val="6D8D4B69"/>
    <w:rsid w:val="6DBD4E28"/>
    <w:rsid w:val="6DE85597"/>
    <w:rsid w:val="6E142CA0"/>
    <w:rsid w:val="6E640513"/>
    <w:rsid w:val="6E9D6229"/>
    <w:rsid w:val="6F3B5334"/>
    <w:rsid w:val="6F5268B3"/>
    <w:rsid w:val="6F9267D8"/>
    <w:rsid w:val="6FEC1CB1"/>
    <w:rsid w:val="7002103B"/>
    <w:rsid w:val="706B434A"/>
    <w:rsid w:val="70F76C5D"/>
    <w:rsid w:val="711524C8"/>
    <w:rsid w:val="714939CE"/>
    <w:rsid w:val="715455B4"/>
    <w:rsid w:val="715F5495"/>
    <w:rsid w:val="724B28E9"/>
    <w:rsid w:val="72701BAC"/>
    <w:rsid w:val="72CA67B5"/>
    <w:rsid w:val="736B5A12"/>
    <w:rsid w:val="73E01D1B"/>
    <w:rsid w:val="73FA0CA8"/>
    <w:rsid w:val="73FB5F40"/>
    <w:rsid w:val="740B4FDB"/>
    <w:rsid w:val="742C4F88"/>
    <w:rsid w:val="74612307"/>
    <w:rsid w:val="751704CE"/>
    <w:rsid w:val="75456C81"/>
    <w:rsid w:val="758446CB"/>
    <w:rsid w:val="75A71EAC"/>
    <w:rsid w:val="761F2278"/>
    <w:rsid w:val="76343693"/>
    <w:rsid w:val="76877BAF"/>
    <w:rsid w:val="769C2F42"/>
    <w:rsid w:val="76BE4E69"/>
    <w:rsid w:val="76C07439"/>
    <w:rsid w:val="76C37B2B"/>
    <w:rsid w:val="775205C7"/>
    <w:rsid w:val="779C2014"/>
    <w:rsid w:val="77AE3DED"/>
    <w:rsid w:val="77E126BA"/>
    <w:rsid w:val="78AD6320"/>
    <w:rsid w:val="79283F04"/>
    <w:rsid w:val="79EC7187"/>
    <w:rsid w:val="7B7C0B2E"/>
    <w:rsid w:val="7BFD70D4"/>
    <w:rsid w:val="7C1A6A87"/>
    <w:rsid w:val="7C504A7B"/>
    <w:rsid w:val="7C8877DA"/>
    <w:rsid w:val="7D581FF0"/>
    <w:rsid w:val="7DDF4CE2"/>
    <w:rsid w:val="7DFA6919"/>
    <w:rsid w:val="7E441F85"/>
    <w:rsid w:val="7EE37537"/>
    <w:rsid w:val="7EEA1C22"/>
    <w:rsid w:val="7F0D4DC1"/>
    <w:rsid w:val="7FB57634"/>
    <w:rsid w:val="7FC3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</w:pPr>
    <w:rPr>
      <w:rFonts w:ascii="MingLiU" w:hAnsi="MingLiU" w:eastAsia="MingLiU" w:cs="Times New Roman"/>
      <w:color w:val="000000"/>
      <w:szCs w:val="24"/>
      <w:lang w:val="en-US" w:eastAsia="zh-CN" w:bidi="ar-SA"/>
    </w:rPr>
  </w:style>
  <w:style w:type="paragraph" w:styleId="2">
    <w:name w:val="heading 1"/>
    <w:next w:val="1"/>
    <w:unhideWhenUsed/>
    <w:qFormat/>
    <w:uiPriority w:val="99"/>
    <w:pPr>
      <w:widowControl w:val="0"/>
      <w:autoSpaceDE w:val="0"/>
      <w:autoSpaceDN w:val="0"/>
      <w:adjustRightInd w:val="0"/>
      <w:outlineLvl w:val="0"/>
    </w:pPr>
    <w:rPr>
      <w:rFonts w:ascii="MingLiU" w:hAnsi="MingLiU" w:eastAsia="MingLiU" w:cs="Times New Roman"/>
      <w:b/>
      <w:color w:val="000000"/>
      <w:sz w:val="32"/>
      <w:szCs w:val="24"/>
      <w:lang w:val="en-US" w:eastAsia="zh-CN" w:bidi="ar-SA"/>
    </w:rPr>
  </w:style>
  <w:style w:type="paragraph" w:styleId="3">
    <w:name w:val="heading 2"/>
    <w:next w:val="1"/>
    <w:unhideWhenUsed/>
    <w:qFormat/>
    <w:uiPriority w:val="99"/>
    <w:pPr>
      <w:widowControl w:val="0"/>
      <w:autoSpaceDE w:val="0"/>
      <w:autoSpaceDN w:val="0"/>
      <w:adjustRightInd w:val="0"/>
      <w:outlineLvl w:val="1"/>
    </w:pPr>
    <w:rPr>
      <w:rFonts w:ascii="MingLiU" w:hAnsi="MingLiU" w:eastAsia="MingLiU" w:cs="Times New Roman"/>
      <w:b/>
      <w:i/>
      <w:color w:val="000000"/>
      <w:sz w:val="28"/>
      <w:szCs w:val="24"/>
      <w:lang w:val="en-US" w:eastAsia="zh-CN" w:bidi="ar-SA"/>
    </w:rPr>
  </w:style>
  <w:style w:type="paragraph" w:styleId="4">
    <w:name w:val="heading 3"/>
    <w:next w:val="1"/>
    <w:unhideWhenUsed/>
    <w:qFormat/>
    <w:uiPriority w:val="99"/>
    <w:pPr>
      <w:widowControl w:val="0"/>
      <w:autoSpaceDE w:val="0"/>
      <w:autoSpaceDN w:val="0"/>
      <w:adjustRightInd w:val="0"/>
      <w:outlineLvl w:val="2"/>
    </w:pPr>
    <w:rPr>
      <w:rFonts w:ascii="MingLiU" w:hAnsi="MingLiU" w:eastAsia="MingLiU" w:cs="Times New Roman"/>
      <w:b/>
      <w:color w:val="000000"/>
      <w:sz w:val="26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next w:val="1"/>
    <w:qFormat/>
    <w:uiPriority w:val="0"/>
    <w:pPr>
      <w:suppressLineNumbers/>
      <w:spacing w:before="240" w:after="360"/>
      <w:jc w:val="center"/>
    </w:pPr>
    <w:rPr>
      <w:b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3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0">
    <w:name w:val="font122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1">
    <w:name w:val="font8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2">
    <w:name w:val="Supplementary Material"/>
    <w:basedOn w:val="5"/>
    <w:next w:val="5"/>
    <w:qFormat/>
    <w:uiPriority w:val="0"/>
    <w:pPr>
      <w:spacing w:after="120"/>
    </w:pPr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387</Words>
  <Characters>2112</Characters>
  <Lines>18</Lines>
  <Paragraphs>5</Paragraphs>
  <TotalTime>0</TotalTime>
  <ScaleCrop>false</ScaleCrop>
  <LinksUpToDate>false</LinksUpToDate>
  <CharactersWithSpaces>2307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2021-06-27T15:12:00Z</dcterms:created>
  <dc:creator>Administrator</dc:creator>
  <cp:lastModifiedBy>Ma, Yifei. 57968</cp:lastModifiedBy>
  <dcterms:modified xsi:type="dcterms:W3CDTF">2023-03-06T13:54:43Z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D0D54F3EA96F4D5B8A01DBE0602753E4</vt:lpwstr>
  </property>
</Properties>
</file>