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E6A9" w14:textId="77777777" w:rsidR="00654E8F" w:rsidRPr="00CE4BFF" w:rsidRDefault="00000000" w:rsidP="0001436A">
      <w:pPr>
        <w:pStyle w:val="SupplementaryMaterial"/>
        <w:rPr>
          <w:b w:val="0"/>
          <w:color w:val="000000" w:themeColor="text1"/>
        </w:rPr>
      </w:pPr>
      <w:r w:rsidRPr="00CE4BFF">
        <w:rPr>
          <w:color w:val="000000" w:themeColor="text1"/>
        </w:rPr>
        <w:t>Supplementary Material</w:t>
      </w:r>
    </w:p>
    <w:p w14:paraId="15E3E083" w14:textId="77777777" w:rsidR="002A54DC" w:rsidRPr="00CE4BFF" w:rsidRDefault="00000000" w:rsidP="002A54DC">
      <w:pPr>
        <w:pStyle w:val="AuthorList"/>
        <w:jc w:val="center"/>
        <w:rPr>
          <w:color w:val="000000" w:themeColor="text1"/>
          <w:sz w:val="32"/>
          <w:szCs w:val="32"/>
        </w:rPr>
      </w:pPr>
      <w:r w:rsidRPr="00CE4BFF">
        <w:rPr>
          <w:color w:val="000000" w:themeColor="text1"/>
          <w:sz w:val="32"/>
          <w:szCs w:val="32"/>
        </w:rPr>
        <w:t>Artificial oocyte activation using Ca</w:t>
      </w:r>
      <w:r w:rsidRPr="00CE4BFF">
        <w:rPr>
          <w:color w:val="000000" w:themeColor="text1"/>
          <w:sz w:val="32"/>
          <w:szCs w:val="32"/>
          <w:vertAlign w:val="superscript"/>
        </w:rPr>
        <w:t>2+</w:t>
      </w:r>
      <w:r w:rsidRPr="00CE4BFF">
        <w:rPr>
          <w:color w:val="000000" w:themeColor="text1"/>
          <w:sz w:val="32"/>
          <w:szCs w:val="32"/>
        </w:rPr>
        <w:t xml:space="preserve"> ionophores following intracytoplasmic sperm injection for </w:t>
      </w:r>
      <w:r w:rsidR="006F43FB" w:rsidRPr="00CE4BFF">
        <w:rPr>
          <w:color w:val="000000" w:themeColor="text1"/>
          <w:sz w:val="32"/>
          <w:szCs w:val="32"/>
        </w:rPr>
        <w:t xml:space="preserve">low </w:t>
      </w:r>
      <w:r w:rsidRPr="00CE4BFF">
        <w:rPr>
          <w:color w:val="000000" w:themeColor="text1"/>
          <w:sz w:val="32"/>
          <w:szCs w:val="32"/>
        </w:rPr>
        <w:t xml:space="preserve">fertilization </w:t>
      </w:r>
      <w:r w:rsidR="006F43FB" w:rsidRPr="00CE4BFF">
        <w:rPr>
          <w:color w:val="000000" w:themeColor="text1"/>
          <w:sz w:val="32"/>
          <w:szCs w:val="32"/>
        </w:rPr>
        <w:t>rate</w:t>
      </w:r>
    </w:p>
    <w:p w14:paraId="6228CE2A" w14:textId="77777777" w:rsidR="006963B1" w:rsidRPr="00CE4BFF" w:rsidRDefault="00000000" w:rsidP="00994A3D">
      <w:pPr>
        <w:spacing w:before="240" w:after="0"/>
        <w:rPr>
          <w:rFonts w:cs="Times New Roman"/>
          <w:b/>
          <w:color w:val="000000" w:themeColor="text1"/>
          <w:szCs w:val="24"/>
        </w:rPr>
      </w:pPr>
      <w:r w:rsidRPr="00CE4BFF">
        <w:rPr>
          <w:rFonts w:cs="Times New Roman"/>
          <w:b/>
          <w:color w:val="000000" w:themeColor="text1"/>
          <w:szCs w:val="24"/>
        </w:rPr>
        <w:t xml:space="preserve">Kazuhiro Akashi, </w:t>
      </w:r>
      <w:bookmarkStart w:id="0" w:name="_Hlk122457280"/>
      <w:r w:rsidRPr="00CE4BFF">
        <w:rPr>
          <w:rFonts w:cs="Times New Roman"/>
          <w:b/>
          <w:color w:val="000000" w:themeColor="text1"/>
          <w:szCs w:val="24"/>
        </w:rPr>
        <w:t>Mitsutoshi Yamada</w:t>
      </w:r>
      <w:bookmarkEnd w:id="0"/>
      <w:r w:rsidRPr="00CE4BFF">
        <w:rPr>
          <w:rFonts w:cs="Times New Roman"/>
          <w:b/>
          <w:color w:val="000000" w:themeColor="text1"/>
          <w:szCs w:val="24"/>
        </w:rPr>
        <w:t>*, Seung Chik Jwa, Hiroki Utsuno, Shintaro Kamijo, Yasushi Hirota, Mamoru Tanaka, Yutaka Osuga, Naoaki Kuji</w:t>
      </w:r>
    </w:p>
    <w:p w14:paraId="527A1386" w14:textId="77777777" w:rsidR="009D5C1C" w:rsidRPr="00CE4BFF" w:rsidRDefault="00000000" w:rsidP="00994A3D">
      <w:pPr>
        <w:spacing w:before="240" w:after="0"/>
        <w:rPr>
          <w:rFonts w:cs="Times New Roman"/>
          <w:b/>
          <w:color w:val="000000" w:themeColor="text1"/>
        </w:rPr>
      </w:pPr>
      <w:r w:rsidRPr="00CE4BFF">
        <w:rPr>
          <w:rFonts w:cs="Times New Roman"/>
          <w:b/>
          <w:color w:val="000000" w:themeColor="text1"/>
        </w:rPr>
        <w:t xml:space="preserve">* Correspondence: </w:t>
      </w:r>
    </w:p>
    <w:p w14:paraId="304BD598" w14:textId="77777777" w:rsidR="00A05039" w:rsidRPr="00CE4BFF" w:rsidRDefault="00000000" w:rsidP="00994A3D">
      <w:pPr>
        <w:spacing w:before="240" w:after="0"/>
        <w:rPr>
          <w:rFonts w:cs="Times New Roman"/>
          <w:color w:val="000000" w:themeColor="text1"/>
        </w:rPr>
      </w:pPr>
      <w:r w:rsidRPr="00CE4BFF">
        <w:rPr>
          <w:rFonts w:cs="Times New Roman"/>
          <w:color w:val="000000" w:themeColor="text1"/>
        </w:rPr>
        <w:t>Mitsutoshi Yamada</w:t>
      </w:r>
    </w:p>
    <w:p w14:paraId="684E00DB" w14:textId="77777777" w:rsidR="002868E2" w:rsidRPr="00CE4BFF" w:rsidRDefault="00000000" w:rsidP="00994A3D">
      <w:pPr>
        <w:spacing w:before="240" w:after="0"/>
        <w:rPr>
          <w:rFonts w:cs="Times New Roman"/>
          <w:color w:val="000000" w:themeColor="text1"/>
        </w:rPr>
      </w:pPr>
      <w:hyperlink r:id="rId12" w:history="1">
        <w:r w:rsidR="00A05039" w:rsidRPr="00CE4BFF">
          <w:rPr>
            <w:rStyle w:val="afc"/>
            <w:rFonts w:cs="Times New Roman"/>
            <w:color w:val="000000" w:themeColor="text1"/>
            <w:szCs w:val="24"/>
          </w:rPr>
          <w:t>mitsutoshi.yamada@gmail.com</w:t>
        </w:r>
      </w:hyperlink>
    </w:p>
    <w:p w14:paraId="1383CD31" w14:textId="77777777" w:rsidR="009D5C1C" w:rsidRPr="00CE4BFF" w:rsidRDefault="009D5C1C" w:rsidP="00994A3D">
      <w:pPr>
        <w:spacing w:before="240" w:after="0"/>
        <w:rPr>
          <w:rFonts w:cs="Times New Roman"/>
          <w:color w:val="000000" w:themeColor="text1"/>
        </w:rPr>
      </w:pPr>
    </w:p>
    <w:p w14:paraId="42639F67" w14:textId="77777777" w:rsidR="00994A3D" w:rsidRPr="00CE4BFF" w:rsidRDefault="00000000" w:rsidP="0001436A">
      <w:pPr>
        <w:pStyle w:val="1"/>
        <w:rPr>
          <w:color w:val="000000" w:themeColor="text1"/>
        </w:rPr>
      </w:pPr>
      <w:r w:rsidRPr="00CE4BFF">
        <w:rPr>
          <w:color w:val="000000" w:themeColor="text1"/>
        </w:rPr>
        <w:t>Supplementary Figures and Tables</w:t>
      </w:r>
    </w:p>
    <w:p w14:paraId="02E6FAA7" w14:textId="77777777" w:rsidR="00364140" w:rsidRPr="00CE4BFF" w:rsidRDefault="00000000" w:rsidP="00364140">
      <w:pPr>
        <w:rPr>
          <w:rFonts w:eastAsia="Times New Roman" w:cs="Times New Roman"/>
          <w:b/>
          <w:color w:val="000000" w:themeColor="text1"/>
          <w:szCs w:val="28"/>
        </w:rPr>
      </w:pPr>
      <w:r w:rsidRPr="00CE4BFF">
        <w:rPr>
          <w:rFonts w:eastAsia="Times New Roman" w:cs="Times New Roman"/>
          <w:b/>
          <w:color w:val="000000" w:themeColor="text1"/>
          <w:szCs w:val="28"/>
        </w:rPr>
        <w:t>Supplementary Table 1. Baseline characteristics of the included females</w:t>
      </w:r>
    </w:p>
    <w:p w14:paraId="722A900A" w14:textId="77777777" w:rsidR="005711EC" w:rsidRPr="00CE4BFF" w:rsidRDefault="005711EC" w:rsidP="00364140">
      <w:pPr>
        <w:rPr>
          <w:rFonts w:eastAsia="Times New Roman" w:cs="Times New Roman"/>
          <w:color w:val="000000" w:themeColor="text1"/>
          <w:szCs w:val="28"/>
        </w:rPr>
      </w:pPr>
    </w:p>
    <w:tbl>
      <w:tblPr>
        <w:tblStyle w:val="af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603"/>
        <w:gridCol w:w="2551"/>
      </w:tblGrid>
      <w:tr w:rsidR="00E74643" w14:paraId="3BF38309" w14:textId="77777777" w:rsidTr="00BB58DB">
        <w:trPr>
          <w:trHeight w:val="20"/>
        </w:trPr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4B263" w14:textId="77777777" w:rsidR="00364140" w:rsidRPr="00CE4BFF" w:rsidRDefault="00000000" w:rsidP="00BB58DB">
            <w:pPr>
              <w:rPr>
                <w:rFonts w:eastAsia="Times New Roman" w:cs="Times New Roman"/>
                <w:b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36"/>
              </w:rPr>
              <w:t>Characteristics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C8052" w14:textId="77777777" w:rsidR="00364140" w:rsidRPr="00CE4BFF" w:rsidRDefault="0036414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</w:p>
        </w:tc>
      </w:tr>
      <w:tr w:rsidR="00E74643" w14:paraId="28CBED8B" w14:textId="77777777" w:rsidTr="00BB58DB">
        <w:trPr>
          <w:trHeight w:val="20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07F6C16C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Patients (n)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066F4D9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198</w:t>
            </w:r>
          </w:p>
        </w:tc>
      </w:tr>
      <w:tr w:rsidR="00E74643" w14:paraId="25F34FC8" w14:textId="77777777" w:rsidTr="00BB58DB">
        <w:trPr>
          <w:trHeight w:val="20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3264B6A1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Female age at the initial visit (years)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CBEFCC1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35.3 ± 3.8</w:t>
            </w:r>
          </w:p>
        </w:tc>
      </w:tr>
      <w:tr w:rsidR="00E74643" w14:paraId="486B5F7D" w14:textId="77777777" w:rsidTr="00BB58DB">
        <w:trPr>
          <w:trHeight w:val="20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02487311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 xml:space="preserve">Period of infertility (months) 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0730AA0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38.3 ± 38.2</w:t>
            </w:r>
          </w:p>
        </w:tc>
      </w:tr>
      <w:tr w:rsidR="00E74643" w14:paraId="64078107" w14:textId="77777777" w:rsidTr="00BB58DB">
        <w:trPr>
          <w:trHeight w:val="20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5A3B1434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BMI (kg/m</w:t>
            </w:r>
            <w:r w:rsidRPr="00CE4BFF">
              <w:rPr>
                <w:rFonts w:eastAsia="Times New Roman" w:cs="Times New Roman"/>
                <w:color w:val="000000" w:themeColor="text1"/>
                <w:szCs w:val="36"/>
                <w:vertAlign w:val="superscript"/>
              </w:rPr>
              <w:t>2</w:t>
            </w: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782E7E8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21.5 ± 3.1</w:t>
            </w:r>
          </w:p>
        </w:tc>
      </w:tr>
      <w:tr w:rsidR="00E74643" w14:paraId="41CE4B4F" w14:textId="77777777" w:rsidTr="00BB58DB">
        <w:trPr>
          <w:trHeight w:val="20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0EEDC9E7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AMH (ng/mL)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3676D05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3.2 ± 2.8</w:t>
            </w:r>
          </w:p>
        </w:tc>
      </w:tr>
      <w:tr w:rsidR="00E74643" w14:paraId="14528B98" w14:textId="77777777" w:rsidTr="00BB58DB">
        <w:trPr>
          <w:trHeight w:val="20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222BDE28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Antral follicle count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07F670D0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8.9 ± 6.3</w:t>
            </w:r>
          </w:p>
        </w:tc>
      </w:tr>
      <w:tr w:rsidR="00E74643" w14:paraId="01116D79" w14:textId="77777777" w:rsidTr="00BB58DB">
        <w:trPr>
          <w:trHeight w:val="20"/>
        </w:trPr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14:paraId="3DC20A41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Basal FSH (IU/L)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81036C1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7.4 ± 2.9</w:t>
            </w:r>
          </w:p>
        </w:tc>
      </w:tr>
      <w:tr w:rsidR="00E74643" w14:paraId="22C228EA" w14:textId="77777777" w:rsidTr="00BB58DB">
        <w:trPr>
          <w:trHeight w:val="20"/>
        </w:trPr>
        <w:tc>
          <w:tcPr>
            <w:tcW w:w="4678" w:type="dxa"/>
            <w:vMerge w:val="restart"/>
            <w:tcBorders>
              <w:left w:val="nil"/>
              <w:bottom w:val="nil"/>
              <w:right w:val="nil"/>
            </w:tcBorders>
          </w:tcPr>
          <w:p w14:paraId="14A168E4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History of miscarriage (n)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F41B392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0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692A49E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152</w:t>
            </w:r>
          </w:p>
        </w:tc>
      </w:tr>
      <w:tr w:rsidR="00E74643" w14:paraId="4FE5773D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85D32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F0C05E2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B4A63DA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32</w:t>
            </w:r>
          </w:p>
        </w:tc>
      </w:tr>
      <w:tr w:rsidR="00E74643" w14:paraId="6500596E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C3F38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3B21BF1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&lt;2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02E6A2CE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14</w:t>
            </w:r>
          </w:p>
        </w:tc>
      </w:tr>
      <w:tr w:rsidR="00E74643" w14:paraId="2B5DE775" w14:textId="77777777" w:rsidTr="00BB58DB">
        <w:trPr>
          <w:trHeight w:val="20"/>
        </w:trPr>
        <w:tc>
          <w:tcPr>
            <w:tcW w:w="4678" w:type="dxa"/>
            <w:vMerge w:val="restart"/>
            <w:tcBorders>
              <w:left w:val="nil"/>
              <w:bottom w:val="nil"/>
              <w:right w:val="nil"/>
            </w:tcBorders>
          </w:tcPr>
          <w:p w14:paraId="5973AB53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History of live births (n)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580823E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0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E115E5C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176</w:t>
            </w:r>
          </w:p>
        </w:tc>
      </w:tr>
      <w:tr w:rsidR="00E74643" w14:paraId="4B8B3D82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54D0B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0E97B29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08269769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19</w:t>
            </w:r>
          </w:p>
        </w:tc>
      </w:tr>
      <w:tr w:rsidR="00E74643" w14:paraId="5B7EF9EE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37E11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1C823D9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&lt;2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6141538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3</w:t>
            </w:r>
          </w:p>
        </w:tc>
      </w:tr>
      <w:tr w:rsidR="00E74643" w14:paraId="3BE7FAFB" w14:textId="77777777" w:rsidTr="00BB58DB">
        <w:trPr>
          <w:trHeight w:val="20"/>
        </w:trPr>
        <w:tc>
          <w:tcPr>
            <w:tcW w:w="4678" w:type="dxa"/>
            <w:vMerge w:val="restart"/>
            <w:tcBorders>
              <w:left w:val="nil"/>
              <w:bottom w:val="nil"/>
              <w:right w:val="nil"/>
            </w:tcBorders>
          </w:tcPr>
          <w:p w14:paraId="31471194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History of smoking (n)</w:t>
            </w:r>
          </w:p>
          <w:p w14:paraId="0E7A26BF" w14:textId="77777777" w:rsidR="00364140" w:rsidRPr="00CE4BFF" w:rsidRDefault="0036414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</w:p>
          <w:p w14:paraId="7F2D27E7" w14:textId="77777777" w:rsidR="00364140" w:rsidRPr="00CE4BFF" w:rsidRDefault="0036414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260C3CE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Yes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544651D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22</w:t>
            </w:r>
          </w:p>
        </w:tc>
      </w:tr>
      <w:tr w:rsidR="00E74643" w14:paraId="0D8DBF8F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439D0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A7AB71B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No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0CF58C7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156</w:t>
            </w:r>
          </w:p>
        </w:tc>
      </w:tr>
      <w:tr w:rsidR="00E74643" w14:paraId="6D34E581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A8EB1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440E98D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Unknown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94CAA7A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20</w:t>
            </w:r>
          </w:p>
        </w:tc>
      </w:tr>
      <w:tr w:rsidR="00E74643" w14:paraId="7C92FE25" w14:textId="77777777" w:rsidTr="00BB58DB">
        <w:trPr>
          <w:trHeight w:val="20"/>
        </w:trPr>
        <w:tc>
          <w:tcPr>
            <w:tcW w:w="4678" w:type="dxa"/>
            <w:vMerge w:val="restart"/>
            <w:tcBorders>
              <w:left w:val="nil"/>
              <w:bottom w:val="nil"/>
              <w:right w:val="nil"/>
            </w:tcBorders>
          </w:tcPr>
          <w:p w14:paraId="2155883E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Indication for ART (n)</w:t>
            </w:r>
          </w:p>
          <w:p w14:paraId="69586818" w14:textId="77777777" w:rsidR="00364140" w:rsidRPr="00CE4BFF" w:rsidRDefault="0036414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</w:p>
          <w:p w14:paraId="7F9E5C0C" w14:textId="77777777" w:rsidR="00364140" w:rsidRPr="00CE4BFF" w:rsidRDefault="0036414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</w:p>
          <w:p w14:paraId="793E37CF" w14:textId="77777777" w:rsidR="00364140" w:rsidRPr="00CE4BFF" w:rsidRDefault="0036414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2EFFF5A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Tubal infertility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C2402FA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62</w:t>
            </w:r>
          </w:p>
        </w:tc>
      </w:tr>
      <w:tr w:rsidR="00E74643" w14:paraId="1AA3ECF1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CBCAA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54E9CE7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Male infertility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3E606E9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105</w:t>
            </w:r>
          </w:p>
        </w:tc>
      </w:tr>
      <w:tr w:rsidR="00E74643" w14:paraId="19BEE8A1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59A4B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0BCE053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Endometriosis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8F6A905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16</w:t>
            </w:r>
          </w:p>
        </w:tc>
      </w:tr>
      <w:tr w:rsidR="00E74643" w14:paraId="4A00775E" w14:textId="77777777" w:rsidTr="00BB58DB">
        <w:trPr>
          <w:trHeight w:val="2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F2AB9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146EAED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Unexplained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08AF5946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56</w:t>
            </w:r>
          </w:p>
        </w:tc>
      </w:tr>
      <w:tr w:rsidR="00E74643" w14:paraId="2BBEC385" w14:textId="77777777" w:rsidTr="00BB58DB">
        <w:trPr>
          <w:trHeight w:val="20"/>
        </w:trPr>
        <w:tc>
          <w:tcPr>
            <w:tcW w:w="46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0400C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Number of</w:t>
            </w:r>
            <w:r w:rsidRPr="00CE4BFF">
              <w:rPr>
                <w:rFonts w:eastAsia="Times New Roman" w:cs="Times New Roman"/>
                <w:i/>
                <w:color w:val="000000" w:themeColor="text1"/>
                <w:szCs w:val="36"/>
              </w:rPr>
              <w:t xml:space="preserve"> </w:t>
            </w: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in vitro fertilization treatment cycles before the initial visit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1D5B93E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0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F3051CB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155</w:t>
            </w:r>
          </w:p>
        </w:tc>
      </w:tr>
      <w:tr w:rsidR="00E74643" w14:paraId="1BE8E6D5" w14:textId="77777777" w:rsidTr="00BB58DB">
        <w:trPr>
          <w:trHeight w:val="242"/>
        </w:trPr>
        <w:tc>
          <w:tcPr>
            <w:tcW w:w="4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F9903" w14:textId="77777777" w:rsidR="00364140" w:rsidRPr="00CE4BFF" w:rsidRDefault="00364140" w:rsidP="00BB58DB">
            <w:pPr>
              <w:rPr>
                <w:color w:val="000000" w:themeColor="text1"/>
                <w:szCs w:val="3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E7DDDCE" w14:textId="77777777" w:rsidR="00364140" w:rsidRPr="00CE4BFF" w:rsidRDefault="00000000" w:rsidP="00BB58DB">
            <w:pPr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&lt;1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3DB3203F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36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36"/>
              </w:rPr>
              <w:t>43</w:t>
            </w:r>
          </w:p>
        </w:tc>
      </w:tr>
    </w:tbl>
    <w:p w14:paraId="50EC39F7" w14:textId="77777777" w:rsidR="004063C0" w:rsidRPr="00CE4BFF" w:rsidRDefault="00000000" w:rsidP="003325D3">
      <w:pPr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color w:val="000000" w:themeColor="text1"/>
          <w:szCs w:val="24"/>
        </w:rPr>
        <w:t xml:space="preserve">Values are presented as mean ± standard deviation, unless otherwise indicated. </w:t>
      </w:r>
    </w:p>
    <w:p w14:paraId="1178A89A" w14:textId="77777777" w:rsidR="00364140" w:rsidRPr="00CE4BFF" w:rsidRDefault="00000000" w:rsidP="003325D3">
      <w:pPr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color w:val="000000" w:themeColor="text1"/>
          <w:szCs w:val="24"/>
        </w:rPr>
        <w:t>BMI, body mass index; AMH, anti-Mullerian hormone; FSH, follicle stimulating hormone; ART, assisted reproductive technology</w:t>
      </w:r>
    </w:p>
    <w:p w14:paraId="5CE8D6B0" w14:textId="77777777" w:rsidR="00364140" w:rsidRPr="00CE4BFF" w:rsidRDefault="00364140" w:rsidP="00364140">
      <w:pPr>
        <w:spacing w:line="480" w:lineRule="auto"/>
        <w:rPr>
          <w:rFonts w:eastAsia="Times New Roman" w:cs="Times New Roman"/>
          <w:color w:val="000000" w:themeColor="text1"/>
          <w:sz w:val="20"/>
        </w:rPr>
      </w:pPr>
    </w:p>
    <w:p w14:paraId="6B81075C" w14:textId="77777777" w:rsidR="00364140" w:rsidRPr="00CE4BFF" w:rsidRDefault="00000000" w:rsidP="00364140">
      <w:pPr>
        <w:rPr>
          <w:rFonts w:eastAsia="Times New Roman" w:cs="Times New Roman"/>
          <w:b/>
          <w:color w:val="000000" w:themeColor="text1"/>
          <w:sz w:val="20"/>
        </w:rPr>
      </w:pPr>
      <w:r w:rsidRPr="00CE4BFF">
        <w:rPr>
          <w:rFonts w:eastAsia="Times New Roman" w:cs="Times New Roman"/>
          <w:color w:val="000000" w:themeColor="text1"/>
        </w:rPr>
        <w:br w:type="page"/>
      </w:r>
    </w:p>
    <w:p w14:paraId="50044410" w14:textId="77777777" w:rsidR="005711EC" w:rsidRPr="00CE4BFF" w:rsidRDefault="00000000" w:rsidP="00364140">
      <w:pPr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b/>
          <w:color w:val="000000" w:themeColor="text1"/>
          <w:szCs w:val="24"/>
        </w:rPr>
        <w:lastRenderedPageBreak/>
        <w:t xml:space="preserve">Supplementary Table 2. Comparison of ovarian stimulation protocols </w:t>
      </w:r>
    </w:p>
    <w:p w14:paraId="4EB40C87" w14:textId="77777777" w:rsidR="00364140" w:rsidRPr="00CE4BFF" w:rsidRDefault="00364140" w:rsidP="00364140">
      <w:pPr>
        <w:rPr>
          <w:rFonts w:eastAsia="Times New Roman" w:cs="Times New Roman"/>
          <w:color w:val="000000" w:themeColor="text1"/>
          <w:szCs w:val="24"/>
        </w:rPr>
      </w:pPr>
    </w:p>
    <w:tbl>
      <w:tblPr>
        <w:tblStyle w:val="af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077"/>
        <w:gridCol w:w="1297"/>
        <w:gridCol w:w="1524"/>
        <w:gridCol w:w="1665"/>
        <w:gridCol w:w="959"/>
        <w:gridCol w:w="923"/>
      </w:tblGrid>
      <w:tr w:rsidR="00E74643" w14:paraId="11BB303E" w14:textId="77777777" w:rsidTr="00BB58DB">
        <w:trPr>
          <w:trHeight w:val="400"/>
        </w:trPr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17467" w14:textId="77777777" w:rsidR="00364140" w:rsidRPr="00CE4BFF" w:rsidRDefault="0036414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B79B3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Natural cycle (%)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87941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hMG/FSH + CC (%)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0996A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GnRH agonist, hMG/FSH (%)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A5971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GnRH antagonist, hMG/FSH (%)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60709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PPOS (%)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8CCF2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Others (%)</w:t>
            </w:r>
          </w:p>
        </w:tc>
      </w:tr>
      <w:tr w:rsidR="00E74643" w14:paraId="6A87EE7A" w14:textId="77777777" w:rsidTr="00BB58DB">
        <w:trPr>
          <w:trHeight w:val="4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66335" w14:textId="77777777" w:rsidR="00364140" w:rsidRPr="00CE4BFF" w:rsidRDefault="00000000" w:rsidP="00BB58DB">
            <w:pPr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Clinical pregnancy rate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8DA4C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30.0 (6/20)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B5A9E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29.7 (11/37)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04467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>23.6 (29/123)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8CF791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26.4 (42/159)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02287A" w14:textId="77777777" w:rsidR="00364140" w:rsidRPr="00CE4BFF" w:rsidRDefault="00000000" w:rsidP="00BB58DB">
            <w:pPr>
              <w:ind w:left="80" w:hanging="8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100.0 (1/1)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7B002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16.4 (10/61)</w:t>
            </w:r>
          </w:p>
        </w:tc>
      </w:tr>
      <w:tr w:rsidR="00E74643" w14:paraId="4EBC9597" w14:textId="77777777" w:rsidTr="00BB58DB">
        <w:trPr>
          <w:trHeight w:val="400"/>
        </w:trPr>
        <w:tc>
          <w:tcPr>
            <w:tcW w:w="12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D4AF89" w14:textId="77777777" w:rsidR="00364140" w:rsidRPr="00CE4BFF" w:rsidRDefault="00000000" w:rsidP="00BB58DB">
            <w:pPr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Live birth rate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5F0638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25.0 (5/20) 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7E581A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13.5 (5/37)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06BB68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15.4 (19/123)</w:t>
            </w:r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05615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>15.7 (25/159)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031A2D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100.0 (1/1)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0132E" w14:textId="77777777" w:rsidR="00364140" w:rsidRPr="00CE4BFF" w:rsidRDefault="00000000" w:rsidP="00BB58DB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CE4BFF">
              <w:rPr>
                <w:rFonts w:eastAsia="Times New Roman" w:cs="Times New Roman"/>
                <w:color w:val="000000" w:themeColor="text1"/>
                <w:szCs w:val="24"/>
              </w:rPr>
              <w:t xml:space="preserve"> 9.8 (6/61)</w:t>
            </w:r>
          </w:p>
        </w:tc>
      </w:tr>
    </w:tbl>
    <w:p w14:paraId="33C39F71" w14:textId="77777777" w:rsidR="004063C0" w:rsidRPr="00CE4BFF" w:rsidRDefault="00000000" w:rsidP="003325D3">
      <w:pPr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color w:val="000000" w:themeColor="text1"/>
          <w:szCs w:val="24"/>
        </w:rPr>
        <w:t xml:space="preserve">The data represent the clinical pregnancy and live birth rates per embryo transfer. They were not significantly different among all protocols. </w:t>
      </w:r>
    </w:p>
    <w:p w14:paraId="72C886DE" w14:textId="77777777" w:rsidR="00364140" w:rsidRPr="00CE4BFF" w:rsidRDefault="00000000" w:rsidP="003325D3">
      <w:pPr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color w:val="000000" w:themeColor="text1"/>
          <w:szCs w:val="24"/>
        </w:rPr>
        <w:t xml:space="preserve">CC, clomiphene citrate; hMG, human menopausal gonadotropin; FSH, </w:t>
      </w:r>
      <w:r w:rsidR="004063C0" w:rsidRPr="00CE4BFF">
        <w:rPr>
          <w:rFonts w:eastAsia="Times New Roman" w:cs="Times New Roman"/>
          <w:color w:val="000000" w:themeColor="text1"/>
          <w:szCs w:val="24"/>
        </w:rPr>
        <w:t>follicle-</w:t>
      </w:r>
      <w:r w:rsidRPr="00CE4BFF">
        <w:rPr>
          <w:rFonts w:eastAsia="Times New Roman" w:cs="Times New Roman"/>
          <w:color w:val="000000" w:themeColor="text1"/>
          <w:szCs w:val="24"/>
        </w:rPr>
        <w:t xml:space="preserve">stimulating hormone; GnRH, </w:t>
      </w:r>
      <w:r w:rsidR="004063C0" w:rsidRPr="00CE4BFF">
        <w:rPr>
          <w:rFonts w:eastAsia="Times New Roman" w:cs="Times New Roman"/>
          <w:color w:val="000000" w:themeColor="text1"/>
          <w:szCs w:val="24"/>
        </w:rPr>
        <w:t>gonadotropin-</w:t>
      </w:r>
      <w:r w:rsidRPr="00CE4BFF">
        <w:rPr>
          <w:rFonts w:eastAsia="Times New Roman" w:cs="Times New Roman"/>
          <w:color w:val="000000" w:themeColor="text1"/>
          <w:szCs w:val="24"/>
        </w:rPr>
        <w:t>releasing hormone; PPOS, progestin-primed ovarian stimulation</w:t>
      </w:r>
    </w:p>
    <w:p w14:paraId="11EAE42B" w14:textId="77777777" w:rsidR="00364140" w:rsidRPr="00CE4BFF" w:rsidRDefault="00000000" w:rsidP="00364140">
      <w:pPr>
        <w:rPr>
          <w:rFonts w:eastAsia="Times New Roman" w:cs="Times New Roman"/>
          <w:b/>
          <w:color w:val="000000" w:themeColor="text1"/>
        </w:rPr>
      </w:pPr>
      <w:r w:rsidRPr="00CE4BFF">
        <w:rPr>
          <w:rFonts w:eastAsia="Times New Roman" w:cs="Times New Roman"/>
          <w:color w:val="000000" w:themeColor="text1"/>
        </w:rPr>
        <w:br w:type="page"/>
      </w:r>
    </w:p>
    <w:p w14:paraId="7B400049" w14:textId="77777777" w:rsidR="00364140" w:rsidRPr="00CE4BFF" w:rsidRDefault="00000000" w:rsidP="00364140">
      <w:pPr>
        <w:rPr>
          <w:rFonts w:eastAsia="Times New Roman" w:cs="Times New Roman"/>
          <w:b/>
          <w:color w:val="000000" w:themeColor="text1"/>
          <w:szCs w:val="24"/>
        </w:rPr>
      </w:pPr>
      <w:r w:rsidRPr="00CE4BFF">
        <w:rPr>
          <w:rFonts w:eastAsia="Times New Roman" w:cs="Times New Roman"/>
          <w:b/>
          <w:color w:val="000000" w:themeColor="text1"/>
          <w:szCs w:val="24"/>
        </w:rPr>
        <w:lastRenderedPageBreak/>
        <w:t xml:space="preserve">Supplementary Table 3. </w:t>
      </w:r>
      <w:r w:rsidR="00262EC5" w:rsidRPr="00CE4BFF">
        <w:rPr>
          <w:rFonts w:eastAsia="Times New Roman" w:cs="Times New Roman" w:hint="eastAsia"/>
          <w:b/>
          <w:color w:val="000000" w:themeColor="text1"/>
          <w:szCs w:val="24"/>
          <w:lang w:eastAsia="ja-JP"/>
        </w:rPr>
        <w:t>C</w:t>
      </w:r>
      <w:r w:rsidR="00262EC5" w:rsidRPr="00CE4BFF">
        <w:rPr>
          <w:rFonts w:eastAsia="Times New Roman" w:cs="Times New Roman"/>
          <w:b/>
          <w:color w:val="000000" w:themeColor="text1"/>
          <w:szCs w:val="24"/>
          <w:lang w:eastAsia="ja-JP"/>
        </w:rPr>
        <w:t>omparison of</w:t>
      </w:r>
      <w:r w:rsidR="00262EC5" w:rsidRPr="00CE4BFF">
        <w:rPr>
          <w:rFonts w:eastAsia="Times New Roman" w:cs="Times New Roman"/>
          <w:b/>
          <w:color w:val="000000" w:themeColor="text1"/>
          <w:szCs w:val="24"/>
        </w:rPr>
        <w:t xml:space="preserve"> embryo transfer outcomes</w:t>
      </w:r>
      <w:r w:rsidR="00262EC5" w:rsidRPr="00CE4BFF">
        <w:rPr>
          <w:rFonts w:eastAsia="Times New Roman" w:cs="Times New Roman"/>
          <w:b/>
          <w:color w:val="000000" w:themeColor="text1"/>
          <w:szCs w:val="24"/>
          <w:lang w:eastAsia="ja-JP"/>
        </w:rPr>
        <w:t xml:space="preserve"> between </w:t>
      </w:r>
      <w:r w:rsidR="0091239D" w:rsidRPr="00CE4BFF">
        <w:rPr>
          <w:rFonts w:eastAsia="Times New Roman" w:cs="Times New Roman"/>
          <w:b/>
          <w:color w:val="000000" w:themeColor="text1"/>
          <w:szCs w:val="24"/>
          <w:lang w:eastAsia="ja-JP"/>
        </w:rPr>
        <w:t xml:space="preserve">the </w:t>
      </w:r>
      <w:r w:rsidR="00262EC5" w:rsidRPr="00CE4BFF">
        <w:rPr>
          <w:rFonts w:eastAsia="Times New Roman" w:cs="Times New Roman"/>
          <w:b/>
          <w:color w:val="000000" w:themeColor="text1"/>
          <w:szCs w:val="24"/>
          <w:lang w:eastAsia="ja-JP"/>
        </w:rPr>
        <w:t>two</w:t>
      </w:r>
      <w:r w:rsidRPr="00CE4BFF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262EC5" w:rsidRPr="00CE4BFF">
        <w:rPr>
          <w:rFonts w:eastAsia="Times New Roman" w:cs="Times New Roman"/>
          <w:b/>
          <w:color w:val="000000" w:themeColor="text1"/>
          <w:szCs w:val="24"/>
        </w:rPr>
        <w:t>Ca</w:t>
      </w:r>
      <w:r w:rsidR="00262EC5" w:rsidRPr="00CE4BFF">
        <w:rPr>
          <w:rFonts w:eastAsia="Times New Roman" w:cs="Times New Roman"/>
          <w:b/>
          <w:color w:val="000000" w:themeColor="text1"/>
          <w:szCs w:val="24"/>
          <w:vertAlign w:val="superscript"/>
        </w:rPr>
        <w:t>2+</w:t>
      </w:r>
      <w:r w:rsidR="00262EC5" w:rsidRPr="00CE4BFF">
        <w:rPr>
          <w:rFonts w:eastAsia="Times New Roman" w:cs="Times New Roman"/>
          <w:b/>
          <w:color w:val="000000" w:themeColor="text1"/>
          <w:szCs w:val="24"/>
        </w:rPr>
        <w:t xml:space="preserve"> ionophores</w:t>
      </w:r>
    </w:p>
    <w:p w14:paraId="6157F956" w14:textId="77777777" w:rsidR="00364140" w:rsidRPr="00CE4BFF" w:rsidRDefault="00364140" w:rsidP="00364140">
      <w:pPr>
        <w:rPr>
          <w:rFonts w:eastAsia="Times New Roman" w:cs="Times New Roman"/>
          <w:b/>
          <w:color w:val="000000" w:themeColor="text1"/>
          <w:szCs w:val="24"/>
        </w:rPr>
      </w:pPr>
    </w:p>
    <w:tbl>
      <w:tblPr>
        <w:tblStyle w:val="aff2"/>
        <w:tblW w:w="96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2108"/>
        <w:gridCol w:w="1985"/>
        <w:gridCol w:w="1985"/>
      </w:tblGrid>
      <w:tr w:rsidR="00E74643" w14:paraId="3A804920" w14:textId="77777777" w:rsidTr="006F4D31">
        <w:trPr>
          <w:trHeight w:val="400"/>
        </w:trPr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054C29" w14:textId="77777777" w:rsidR="007D566E" w:rsidRPr="00CE4BFF" w:rsidRDefault="00000000" w:rsidP="00C353AA">
            <w:pPr>
              <w:rPr>
                <w:rFonts w:eastAsia="Yu Gothic" w:cs="Times New Roman"/>
                <w:b/>
                <w:bCs/>
                <w:color w:val="000000" w:themeColor="text1"/>
              </w:rPr>
            </w:pPr>
            <w:r w:rsidRPr="00CE4BFF">
              <w:rPr>
                <w:rFonts w:eastAsia="Yu Gothic" w:cs="Times New Roman"/>
                <w:b/>
                <w:bCs/>
                <w:color w:val="000000" w:themeColor="text1"/>
              </w:rPr>
              <w:t>AOA protocol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47744B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b/>
                <w:bCs/>
                <w:color w:val="000000" w:themeColor="text1"/>
              </w:rPr>
            </w:pPr>
            <w:r w:rsidRPr="00CE4BFF">
              <w:rPr>
                <w:rFonts w:eastAsia="Yu Gothic" w:cs="Times New Roman"/>
                <w:b/>
                <w:bCs/>
                <w:color w:val="000000" w:themeColor="text1"/>
              </w:rPr>
              <w:t>A23187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455250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b/>
                <w:bCs/>
                <w:color w:val="000000" w:themeColor="text1"/>
              </w:rPr>
            </w:pPr>
            <w:r w:rsidRPr="00CE4BFF">
              <w:rPr>
                <w:rFonts w:eastAsia="Yu Gothic" w:cs="Times New Roman"/>
                <w:b/>
                <w:bCs/>
                <w:color w:val="000000" w:themeColor="text1"/>
              </w:rPr>
              <w:t>Ionomycin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73A4A6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b/>
                <w:bCs/>
                <w:color w:val="000000" w:themeColor="text1"/>
              </w:rPr>
            </w:pPr>
            <w:r w:rsidRPr="00CE4BFF"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P</w:t>
            </w:r>
            <w:r w:rsidRPr="00CE4BFF">
              <w:rPr>
                <w:rFonts w:eastAsia="Times New Roman" w:cs="Times New Roman"/>
                <w:b/>
                <w:color w:val="000000" w:themeColor="text1"/>
                <w:szCs w:val="24"/>
              </w:rPr>
              <w:t>-value</w:t>
            </w:r>
          </w:p>
        </w:tc>
      </w:tr>
      <w:tr w:rsidR="00E74643" w14:paraId="4EE9F687" w14:textId="77777777" w:rsidTr="006F4D31">
        <w:trPr>
          <w:trHeight w:val="400"/>
        </w:trPr>
        <w:tc>
          <w:tcPr>
            <w:tcW w:w="3557" w:type="dxa"/>
            <w:tcBorders>
              <w:top w:val="single" w:sz="4" w:space="0" w:color="auto"/>
            </w:tcBorders>
            <w:noWrap/>
            <w:hideMark/>
          </w:tcPr>
          <w:p w14:paraId="66821BC7" w14:textId="77777777" w:rsidR="007D566E" w:rsidRPr="00CE4BFF" w:rsidRDefault="00000000" w:rsidP="00C353AA">
            <w:pPr>
              <w:rPr>
                <w:rFonts w:eastAsia="Yu Gothic" w:cs="Times New Roman"/>
                <w:b/>
                <w:bCs/>
                <w:color w:val="000000" w:themeColor="text1"/>
              </w:rPr>
            </w:pPr>
            <w:r w:rsidRPr="00CE4BFF">
              <w:rPr>
                <w:rFonts w:eastAsia="Yu Gothic" w:cs="Times New Roman"/>
                <w:b/>
                <w:bCs/>
                <w:color w:val="000000" w:themeColor="text1"/>
              </w:rPr>
              <w:t>Clinical pregnancy rate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noWrap/>
            <w:hideMark/>
          </w:tcPr>
          <w:p w14:paraId="28708240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color w:val="000000" w:themeColor="text1"/>
              </w:rPr>
            </w:pPr>
            <w:r w:rsidRPr="00CE4BFF">
              <w:rPr>
                <w:rFonts w:eastAsia="Yu Gothic" w:cs="Times New Roman"/>
                <w:color w:val="000000" w:themeColor="text1"/>
              </w:rPr>
              <w:t>28.1% (81/288)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7F41ACBC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color w:val="000000" w:themeColor="text1"/>
              </w:rPr>
            </w:pPr>
            <w:r w:rsidRPr="00CE4BFF">
              <w:rPr>
                <w:rFonts w:eastAsia="Yu Gothic" w:cs="Times New Roman"/>
                <w:color w:val="000000" w:themeColor="text1"/>
              </w:rPr>
              <w:t>28.6% (8/28)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8CA02F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color w:val="000000" w:themeColor="text1"/>
              </w:rPr>
            </w:pPr>
            <w:r w:rsidRPr="00CE4BFF">
              <w:rPr>
                <w:rFonts w:eastAsia="Yu Gothic" w:cs="Times New Roman" w:hint="eastAsia"/>
                <w:color w:val="000000" w:themeColor="text1"/>
              </w:rPr>
              <w:t>N</w:t>
            </w:r>
            <w:r w:rsidRPr="00CE4BFF">
              <w:rPr>
                <w:rFonts w:eastAsia="Yu Gothic" w:cs="Times New Roman"/>
                <w:color w:val="000000" w:themeColor="text1"/>
              </w:rPr>
              <w:t>S</w:t>
            </w:r>
          </w:p>
        </w:tc>
      </w:tr>
      <w:tr w:rsidR="00E74643" w14:paraId="3DB167CA" w14:textId="77777777" w:rsidTr="006F4D31">
        <w:trPr>
          <w:trHeight w:val="400"/>
        </w:trPr>
        <w:tc>
          <w:tcPr>
            <w:tcW w:w="3557" w:type="dxa"/>
            <w:noWrap/>
            <w:hideMark/>
          </w:tcPr>
          <w:p w14:paraId="00A36F84" w14:textId="77777777" w:rsidR="007D566E" w:rsidRPr="00CE4BFF" w:rsidRDefault="00000000" w:rsidP="00C353AA">
            <w:pPr>
              <w:rPr>
                <w:rFonts w:eastAsia="Yu Gothic" w:cs="Times New Roman"/>
                <w:b/>
                <w:bCs/>
                <w:color w:val="000000" w:themeColor="text1"/>
              </w:rPr>
            </w:pPr>
            <w:r w:rsidRPr="00CE4BFF">
              <w:rPr>
                <w:rFonts w:eastAsia="Yu Gothic" w:cs="Times New Roman"/>
                <w:b/>
                <w:bCs/>
                <w:color w:val="000000" w:themeColor="text1"/>
              </w:rPr>
              <w:t>Live</w:t>
            </w:r>
            <w:r w:rsidR="006C288C" w:rsidRPr="00CE4BFF">
              <w:rPr>
                <w:rFonts w:eastAsia="Yu Gothic" w:cs="Times New Roman"/>
                <w:b/>
                <w:bCs/>
                <w:color w:val="000000" w:themeColor="text1"/>
              </w:rPr>
              <w:t xml:space="preserve"> </w:t>
            </w:r>
            <w:r w:rsidRPr="00CE4BFF">
              <w:rPr>
                <w:rFonts w:eastAsia="Yu Gothic" w:cs="Times New Roman"/>
                <w:b/>
                <w:bCs/>
                <w:color w:val="000000" w:themeColor="text1"/>
              </w:rPr>
              <w:t>birth rate</w:t>
            </w:r>
          </w:p>
        </w:tc>
        <w:tc>
          <w:tcPr>
            <w:tcW w:w="2108" w:type="dxa"/>
            <w:noWrap/>
            <w:hideMark/>
          </w:tcPr>
          <w:p w14:paraId="18F9BF99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color w:val="000000" w:themeColor="text1"/>
              </w:rPr>
            </w:pPr>
            <w:r w:rsidRPr="00CE4BFF">
              <w:rPr>
                <w:rFonts w:eastAsia="Yu Gothic" w:cs="Times New Roman"/>
                <w:color w:val="000000" w:themeColor="text1"/>
              </w:rPr>
              <w:t>18.1% (52/288)</w:t>
            </w:r>
          </w:p>
        </w:tc>
        <w:tc>
          <w:tcPr>
            <w:tcW w:w="1985" w:type="dxa"/>
            <w:noWrap/>
            <w:hideMark/>
          </w:tcPr>
          <w:p w14:paraId="4037FD3E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color w:val="000000" w:themeColor="text1"/>
              </w:rPr>
            </w:pPr>
            <w:r w:rsidRPr="00CE4BFF">
              <w:rPr>
                <w:rFonts w:eastAsia="Yu Gothic" w:cs="Times New Roman"/>
                <w:color w:val="000000" w:themeColor="text1"/>
              </w:rPr>
              <w:t>17.9% (5/28)</w:t>
            </w:r>
          </w:p>
        </w:tc>
        <w:tc>
          <w:tcPr>
            <w:tcW w:w="1985" w:type="dxa"/>
          </w:tcPr>
          <w:p w14:paraId="3EFAFC64" w14:textId="77777777" w:rsidR="007D566E" w:rsidRPr="00CE4BFF" w:rsidRDefault="00000000" w:rsidP="00C353AA">
            <w:pPr>
              <w:jc w:val="center"/>
              <w:rPr>
                <w:rFonts w:eastAsia="Yu Gothic" w:cs="Times New Roman"/>
                <w:color w:val="000000" w:themeColor="text1"/>
              </w:rPr>
            </w:pPr>
            <w:r w:rsidRPr="00CE4BFF">
              <w:rPr>
                <w:rFonts w:eastAsia="Yu Gothic" w:cs="Times New Roman" w:hint="eastAsia"/>
                <w:color w:val="000000" w:themeColor="text1"/>
              </w:rPr>
              <w:t>N</w:t>
            </w:r>
            <w:r w:rsidRPr="00CE4BFF">
              <w:rPr>
                <w:rFonts w:eastAsia="Yu Gothic" w:cs="Times New Roman"/>
                <w:color w:val="000000" w:themeColor="text1"/>
              </w:rPr>
              <w:t>S</w:t>
            </w:r>
          </w:p>
        </w:tc>
      </w:tr>
    </w:tbl>
    <w:p w14:paraId="59E77398" w14:textId="77777777" w:rsidR="00100884" w:rsidRPr="00CE4BFF" w:rsidRDefault="00000000" w:rsidP="003325D3">
      <w:pPr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color w:val="000000" w:themeColor="text1"/>
          <w:szCs w:val="24"/>
        </w:rPr>
        <w:t xml:space="preserve">Values are presented as % (n/total). There </w:t>
      </w:r>
      <w:r w:rsidR="0091239D" w:rsidRPr="00CE4BFF">
        <w:rPr>
          <w:rFonts w:eastAsia="Times New Roman" w:cs="Times New Roman"/>
          <w:color w:val="000000" w:themeColor="text1"/>
          <w:szCs w:val="24"/>
        </w:rPr>
        <w:t xml:space="preserve">were </w:t>
      </w:r>
      <w:r w:rsidRPr="00CE4BFF">
        <w:rPr>
          <w:rFonts w:eastAsia="Times New Roman" w:cs="Times New Roman"/>
          <w:color w:val="000000" w:themeColor="text1"/>
          <w:szCs w:val="24"/>
        </w:rPr>
        <w:t>no significant difference</w:t>
      </w:r>
      <w:r w:rsidR="0091239D" w:rsidRPr="00CE4BFF">
        <w:rPr>
          <w:rFonts w:eastAsia="Times New Roman" w:cs="Times New Roman"/>
          <w:color w:val="000000" w:themeColor="text1"/>
          <w:szCs w:val="24"/>
        </w:rPr>
        <w:t>s</w:t>
      </w:r>
      <w:r w:rsidRPr="00CE4BFF">
        <w:rPr>
          <w:rFonts w:eastAsia="Times New Roman" w:cs="Times New Roman"/>
          <w:color w:val="000000" w:themeColor="text1"/>
          <w:szCs w:val="24"/>
        </w:rPr>
        <w:t xml:space="preserve"> in </w:t>
      </w:r>
      <w:r w:rsidR="0091239D" w:rsidRPr="00CE4BFF">
        <w:rPr>
          <w:rFonts w:eastAsia="Times New Roman" w:cs="Times New Roman"/>
          <w:color w:val="000000" w:themeColor="text1"/>
          <w:szCs w:val="24"/>
        </w:rPr>
        <w:t xml:space="preserve">the </w:t>
      </w:r>
      <w:r w:rsidRPr="00CE4BFF">
        <w:rPr>
          <w:rFonts w:eastAsia="Times New Roman" w:cs="Times New Roman"/>
          <w:color w:val="000000" w:themeColor="text1"/>
          <w:szCs w:val="24"/>
        </w:rPr>
        <w:t xml:space="preserve">clinical pregnancy and live birth rates between </w:t>
      </w:r>
      <w:r w:rsidR="00944832" w:rsidRPr="00CE4BFF">
        <w:rPr>
          <w:rFonts w:eastAsia="Times New Roman" w:cs="Times New Roman"/>
          <w:color w:val="000000" w:themeColor="text1"/>
          <w:szCs w:val="24"/>
        </w:rPr>
        <w:t>both methods</w:t>
      </w:r>
      <w:r w:rsidRPr="00CE4BFF">
        <w:rPr>
          <w:rFonts w:eastAsia="Times New Roman" w:cs="Times New Roman"/>
          <w:color w:val="000000" w:themeColor="text1"/>
          <w:szCs w:val="24"/>
        </w:rPr>
        <w:t xml:space="preserve">. </w:t>
      </w:r>
    </w:p>
    <w:p w14:paraId="1F4A6570" w14:textId="77777777" w:rsidR="00364140" w:rsidRPr="00CE4BFF" w:rsidRDefault="00000000" w:rsidP="003325D3">
      <w:pPr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color w:val="000000" w:themeColor="text1"/>
          <w:szCs w:val="24"/>
        </w:rPr>
        <w:t>AOA, artificial oocyte activation</w:t>
      </w:r>
    </w:p>
    <w:p w14:paraId="04223DA7" w14:textId="77777777" w:rsidR="00EE2574" w:rsidRPr="00CE4BFF" w:rsidRDefault="00000000">
      <w:pPr>
        <w:spacing w:before="0" w:after="200" w:line="276" w:lineRule="auto"/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/>
          <w:color w:val="000000" w:themeColor="text1"/>
          <w:szCs w:val="24"/>
        </w:rPr>
        <w:br w:type="page"/>
      </w:r>
    </w:p>
    <w:p w14:paraId="30A3D97B" w14:textId="77777777" w:rsidR="00EE2574" w:rsidRPr="00CE4BFF" w:rsidRDefault="00000000" w:rsidP="003325D3">
      <w:pPr>
        <w:rPr>
          <w:rFonts w:eastAsia="Times New Roman" w:cs="Times New Roman"/>
          <w:szCs w:val="24"/>
        </w:rPr>
      </w:pPr>
      <w:r w:rsidRPr="00CE4BFF">
        <w:rPr>
          <w:rFonts w:eastAsia="Times New Roman" w:cs="Times New Roman"/>
          <w:b/>
          <w:color w:val="000000" w:themeColor="text1"/>
        </w:rPr>
        <w:lastRenderedPageBreak/>
        <w:t>Supplementary Table 4. Embryological outcomes after intracytoplasmic sperm injection (ICSI) and subsequent artificial oocyte activation (AOA) treatment</w:t>
      </w:r>
      <w:r w:rsidR="009F0E09" w:rsidRPr="00CE4BFF">
        <w:rPr>
          <w:rFonts w:eastAsia="Times New Roman" w:cs="Times New Roman"/>
          <w:b/>
          <w:szCs w:val="24"/>
        </w:rPr>
        <w:t xml:space="preserve"> </w:t>
      </w:r>
      <w:r w:rsidR="00CB5921" w:rsidRPr="00CE4BFF">
        <w:rPr>
          <w:rFonts w:eastAsia="Times New Roman" w:cs="Times New Roman"/>
          <w:b/>
          <w:szCs w:val="24"/>
        </w:rPr>
        <w:t>distributed based on the number of oocytes per retrieval cycle</w:t>
      </w:r>
    </w:p>
    <w:p w14:paraId="18DB04CD" w14:textId="77777777" w:rsidR="00E52A96" w:rsidRPr="00CE4BFF" w:rsidRDefault="00E52A96" w:rsidP="00E52A96">
      <w:pPr>
        <w:jc w:val="both"/>
        <w:rPr>
          <w:rFonts w:cs="Times New Roman"/>
          <w:b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1613"/>
        <w:gridCol w:w="786"/>
        <w:gridCol w:w="561"/>
        <w:gridCol w:w="931"/>
        <w:gridCol w:w="786"/>
        <w:gridCol w:w="557"/>
        <w:gridCol w:w="931"/>
        <w:gridCol w:w="786"/>
        <w:gridCol w:w="557"/>
      </w:tblGrid>
      <w:tr w:rsidR="00E74643" w14:paraId="0D2672F0" w14:textId="77777777" w:rsidTr="00CB5921">
        <w:trPr>
          <w:trHeight w:val="400"/>
        </w:trPr>
        <w:tc>
          <w:tcPr>
            <w:tcW w:w="116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DA08" w14:textId="77777777" w:rsidR="00E52A96" w:rsidRPr="00CE4BFF" w:rsidRDefault="00000000" w:rsidP="00C40E60">
            <w:pPr>
              <w:rPr>
                <w:rFonts w:eastAsia="Yu Gothic" w:cs="Times New Roman"/>
                <w:b/>
                <w:bCs/>
                <w:color w:val="3366FF"/>
              </w:rPr>
            </w:pPr>
            <w:r w:rsidRPr="00CE4BFF">
              <w:rPr>
                <w:rFonts w:eastAsia="Yu Gothic" w:cs="Times New Roman"/>
                <w:b/>
                <w:bCs/>
                <w:color w:val="3366FF"/>
              </w:rPr>
              <w:t xml:space="preserve">　</w:t>
            </w:r>
          </w:p>
        </w:tc>
        <w:tc>
          <w:tcPr>
            <w:tcW w:w="1514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292B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10 or less retrieved oocytes per cycle</w:t>
            </w:r>
          </w:p>
        </w:tc>
        <w:tc>
          <w:tcPr>
            <w:tcW w:w="116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1C4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11-15 retrieved oocytes per cycle</w:t>
            </w:r>
          </w:p>
        </w:tc>
        <w:tc>
          <w:tcPr>
            <w:tcW w:w="116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B355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16 or more retrieved oocytes per cycle</w:t>
            </w:r>
          </w:p>
        </w:tc>
      </w:tr>
      <w:tr w:rsidR="00E74643" w14:paraId="7CB553B4" w14:textId="77777777" w:rsidTr="00CB5921">
        <w:trPr>
          <w:trHeight w:val="700"/>
        </w:trPr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4175D" w14:textId="77777777" w:rsidR="00E52A96" w:rsidRPr="00CE4BFF" w:rsidRDefault="00000000" w:rsidP="00C40E60">
            <w:pPr>
              <w:jc w:val="both"/>
              <w:rPr>
                <w:rFonts w:ascii="Yu Gothic" w:eastAsia="Yu Gothic" w:hAnsi="Yu Gothic" w:cs="ＭＳ Ｐゴシック"/>
                <w:b/>
                <w:bCs/>
                <w:color w:val="000000"/>
              </w:rPr>
            </w:pPr>
            <w:r w:rsidRPr="00CE4BFF">
              <w:rPr>
                <w:rFonts w:ascii="Yu Gothic" w:eastAsia="Yu Gothic" w:hAnsi="Yu Gothic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10AC5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Conventional ICSI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72C6B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ICSI-AOA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FBA4B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p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ABCA4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Conventional ICSI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C0E9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ICSI-AOA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C829C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p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CB7DF4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Conventional ICSI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C6F7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ICSI-AOA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CDCF4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p</w:t>
            </w:r>
          </w:p>
        </w:tc>
      </w:tr>
      <w:tr w:rsidR="00E74643" w14:paraId="0A6158D0" w14:textId="77777777" w:rsidTr="00CB5921">
        <w:trPr>
          <w:trHeight w:val="400"/>
        </w:trPr>
        <w:tc>
          <w:tcPr>
            <w:tcW w:w="116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2324" w14:textId="77777777" w:rsidR="00E52A96" w:rsidRPr="00CE4BFF" w:rsidRDefault="00000000" w:rsidP="00C40E60">
            <w:pPr>
              <w:jc w:val="both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Fertilization rate</w:t>
            </w:r>
            <w:r w:rsidR="00CB5921" w:rsidRPr="00CE4BFF">
              <w:rPr>
                <w:rFonts w:eastAsia="Yu Gothic" w:cs="Times New Roman"/>
                <w:b/>
                <w:bCs/>
                <w:color w:val="000000"/>
              </w:rPr>
              <w:t>*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F492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17.70%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4C60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56.00%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AF5A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FD8C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26.00%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92FD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55.00%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D76A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DFBC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22.80%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3498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47.40%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8A74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&lt;0.001</w:t>
            </w:r>
          </w:p>
        </w:tc>
      </w:tr>
      <w:tr w:rsidR="00E74643" w14:paraId="6FEAFF3F" w14:textId="77777777" w:rsidTr="00CB5921">
        <w:trPr>
          <w:trHeight w:val="400"/>
        </w:trPr>
        <w:tc>
          <w:tcPr>
            <w:tcW w:w="11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8E0C7" w14:textId="77777777" w:rsidR="00E52A96" w:rsidRPr="00CE4BFF" w:rsidRDefault="00E52A96" w:rsidP="00C40E60">
            <w:pPr>
              <w:rPr>
                <w:rFonts w:eastAsia="Yu Gothic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1B7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(128/725)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8B82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(561/1002)</w:t>
            </w:r>
          </w:p>
        </w:tc>
        <w:tc>
          <w:tcPr>
            <w:tcW w:w="2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7F928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41FC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(78/300)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1AD7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(236/429)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9016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57B6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(79/347)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B20A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(219/462)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C0A11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</w:tr>
      <w:tr w:rsidR="00E74643" w14:paraId="5341D92D" w14:textId="77777777" w:rsidTr="00CB5921">
        <w:trPr>
          <w:trHeight w:val="400"/>
        </w:trPr>
        <w:tc>
          <w:tcPr>
            <w:tcW w:w="116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0242" w14:textId="77777777" w:rsidR="00E52A96" w:rsidRPr="00CE4BFF" w:rsidRDefault="00000000" w:rsidP="00C40E60">
            <w:pPr>
              <w:jc w:val="both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Developmental rate of good cleavage stage embryo</w:t>
            </w:r>
            <w:r w:rsidR="00CB5921" w:rsidRPr="00CE4BFF">
              <w:rPr>
                <w:rFonts w:eastAsia="Yu Gothic" w:cs="Times New Roman"/>
                <w:b/>
                <w:bCs/>
                <w:color w:val="000000"/>
              </w:rPr>
              <w:t>**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66E1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21.90%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BBD3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37.40%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71A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0CE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25.60%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5C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35.60%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B6A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NS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F8B1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19.00%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8314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37.00%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7BD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&lt;0.01</w:t>
            </w:r>
          </w:p>
        </w:tc>
      </w:tr>
      <w:tr w:rsidR="00E74643" w14:paraId="2C1A9E03" w14:textId="77777777" w:rsidTr="00CB5921">
        <w:trPr>
          <w:trHeight w:val="400"/>
        </w:trPr>
        <w:tc>
          <w:tcPr>
            <w:tcW w:w="11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571FC" w14:textId="77777777" w:rsidR="00E52A96" w:rsidRPr="00CE4BFF" w:rsidRDefault="00E52A96" w:rsidP="00C40E60">
            <w:pPr>
              <w:rPr>
                <w:rFonts w:eastAsia="Yu Gothic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93D5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(28/128)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3091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(210/561)</w:t>
            </w:r>
          </w:p>
        </w:tc>
        <w:tc>
          <w:tcPr>
            <w:tcW w:w="2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9EA84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9A80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(20/78)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474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(84/236)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1BBD1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2D80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(15/79)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429F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(81/219)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58D4D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</w:tr>
      <w:tr w:rsidR="00E74643" w14:paraId="2413FEED" w14:textId="77777777" w:rsidTr="00CB5921">
        <w:trPr>
          <w:trHeight w:val="400"/>
        </w:trPr>
        <w:tc>
          <w:tcPr>
            <w:tcW w:w="116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A72B" w14:textId="77777777" w:rsidR="00E52A96" w:rsidRPr="00CE4BFF" w:rsidRDefault="00000000" w:rsidP="00C40E60">
            <w:pPr>
              <w:jc w:val="both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Developmental rate of blastocyst embryo</w:t>
            </w:r>
            <w:r w:rsidR="00CB5921" w:rsidRPr="00CE4BFF">
              <w:rPr>
                <w:rFonts w:eastAsia="Yu Gothic" w:cs="Times New Roman"/>
                <w:b/>
                <w:bCs/>
                <w:color w:val="000000"/>
              </w:rPr>
              <w:t>**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DA71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14.80%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CEE8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28.00%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7A6A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1012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21.80%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5B09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30.90%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093E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NS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4001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16.50%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44D8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34.70%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148B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&lt;0.01</w:t>
            </w:r>
          </w:p>
        </w:tc>
      </w:tr>
      <w:tr w:rsidR="00E74643" w14:paraId="1DA1AC5E" w14:textId="77777777" w:rsidTr="00CB5921">
        <w:trPr>
          <w:trHeight w:val="400"/>
        </w:trPr>
        <w:tc>
          <w:tcPr>
            <w:tcW w:w="11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78943" w14:textId="77777777" w:rsidR="00E52A96" w:rsidRPr="00CE4BFF" w:rsidRDefault="00E52A96" w:rsidP="00C40E60">
            <w:pPr>
              <w:rPr>
                <w:rFonts w:eastAsia="Yu Gothic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ADE6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(19/128)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333B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(157/561)</w:t>
            </w:r>
          </w:p>
        </w:tc>
        <w:tc>
          <w:tcPr>
            <w:tcW w:w="2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76719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3645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(17/78)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EF93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(73/236)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CB3A5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813B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(13/79)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886F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(81/219)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4AF30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</w:tr>
      <w:tr w:rsidR="00E74643" w14:paraId="36CC0000" w14:textId="77777777" w:rsidTr="00CB5921">
        <w:trPr>
          <w:trHeight w:val="400"/>
        </w:trPr>
        <w:tc>
          <w:tcPr>
            <w:tcW w:w="116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E4326" w14:textId="77777777" w:rsidR="00E52A96" w:rsidRPr="00CE4BFF" w:rsidRDefault="00000000" w:rsidP="00C40E60">
            <w:pPr>
              <w:jc w:val="both"/>
              <w:rPr>
                <w:rFonts w:eastAsia="Yu Gothic" w:cs="Times New Roman"/>
                <w:b/>
                <w:bCs/>
                <w:color w:val="000000"/>
              </w:rPr>
            </w:pPr>
            <w:r w:rsidRPr="00CE4BFF">
              <w:rPr>
                <w:rFonts w:eastAsia="Yu Gothic" w:cs="Times New Roman"/>
                <w:b/>
                <w:bCs/>
                <w:color w:val="000000"/>
              </w:rPr>
              <w:t>Developmental rate of good blastocyst embryo</w:t>
            </w:r>
            <w:r w:rsidR="00CB5921" w:rsidRPr="00CE4BFF">
              <w:rPr>
                <w:rFonts w:eastAsia="Yu Gothic" w:cs="Times New Roman"/>
                <w:b/>
                <w:bCs/>
                <w:color w:val="000000"/>
              </w:rPr>
              <w:t>**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0110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5.50%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B11B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11.10%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34109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NS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2C325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11.5% (9/78)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4A38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15.30%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D0FC6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NS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F911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2.50%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EEB9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12.30%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7F842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&lt;0.05</w:t>
            </w:r>
          </w:p>
        </w:tc>
      </w:tr>
      <w:tr w:rsidR="00E74643" w14:paraId="1E6E49B0" w14:textId="77777777" w:rsidTr="00CB5921">
        <w:trPr>
          <w:trHeight w:val="420"/>
        </w:trPr>
        <w:tc>
          <w:tcPr>
            <w:tcW w:w="116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28DBF0" w14:textId="77777777" w:rsidR="00E52A96" w:rsidRPr="00CE4BFF" w:rsidRDefault="00E52A96" w:rsidP="00C40E60">
            <w:pPr>
              <w:rPr>
                <w:rFonts w:eastAsia="Yu Gothic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A5B27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(7/128)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7E69F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(62/561)</w:t>
            </w:r>
          </w:p>
        </w:tc>
        <w:tc>
          <w:tcPr>
            <w:tcW w:w="28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B73A8E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4E166D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F4051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(36/236)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1352D8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E0634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(2/79)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0DBA5" w14:textId="77777777" w:rsidR="00E52A96" w:rsidRPr="00CE4BFF" w:rsidRDefault="00000000" w:rsidP="00C40E60">
            <w:pPr>
              <w:jc w:val="center"/>
              <w:rPr>
                <w:rFonts w:eastAsia="Yu Gothic" w:cs="Times New Roman"/>
                <w:color w:val="000000"/>
              </w:rPr>
            </w:pPr>
            <w:r w:rsidRPr="00CE4BFF">
              <w:rPr>
                <w:rFonts w:eastAsia="Yu Gothic" w:cs="Times New Roman"/>
                <w:color w:val="000000"/>
              </w:rPr>
              <w:t>(27/219)</w:t>
            </w:r>
          </w:p>
        </w:tc>
        <w:tc>
          <w:tcPr>
            <w:tcW w:w="28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973238" w14:textId="77777777" w:rsidR="00E52A96" w:rsidRPr="00CE4BFF" w:rsidRDefault="00E52A96" w:rsidP="00C40E60">
            <w:pPr>
              <w:rPr>
                <w:rFonts w:eastAsia="Yu Gothic" w:cs="Times New Roman"/>
                <w:color w:val="000000"/>
                <w:szCs w:val="24"/>
              </w:rPr>
            </w:pPr>
          </w:p>
        </w:tc>
      </w:tr>
    </w:tbl>
    <w:p w14:paraId="080DB963" w14:textId="77777777" w:rsidR="00CB5921" w:rsidRPr="00CE4BFF" w:rsidRDefault="00000000" w:rsidP="00CB5921">
      <w:pPr>
        <w:rPr>
          <w:rFonts w:eastAsia="Times New Roman" w:cs="Times New Roman"/>
          <w:szCs w:val="24"/>
        </w:rPr>
      </w:pPr>
      <w:r w:rsidRPr="00CE4BFF">
        <w:rPr>
          <w:rFonts w:eastAsia="Times New Roman" w:cs="Times New Roman"/>
          <w:szCs w:val="24"/>
        </w:rPr>
        <w:t xml:space="preserve">Values are presented as mean ± standard deviation or % (n/total), unless otherwise indicated. Statistical significance is set at </w:t>
      </w:r>
      <w:r w:rsidRPr="00CE4BFF">
        <w:rPr>
          <w:rFonts w:eastAsia="Times New Roman" w:cs="Times New Roman"/>
          <w:i/>
          <w:szCs w:val="24"/>
        </w:rPr>
        <w:t>P&lt;</w:t>
      </w:r>
      <w:r w:rsidRPr="00CE4BFF">
        <w:rPr>
          <w:rFonts w:eastAsia="Times New Roman" w:cs="Times New Roman"/>
          <w:szCs w:val="24"/>
        </w:rPr>
        <w:t xml:space="preserve">0.05. </w:t>
      </w:r>
    </w:p>
    <w:p w14:paraId="118DB348" w14:textId="77777777" w:rsidR="00CB5921" w:rsidRPr="00CE4BFF" w:rsidRDefault="00000000" w:rsidP="00CB5921">
      <w:pPr>
        <w:rPr>
          <w:rFonts w:eastAsia="Times New Roman" w:cs="Times New Roman"/>
          <w:szCs w:val="24"/>
        </w:rPr>
      </w:pPr>
      <w:r w:rsidRPr="00CE4BFF">
        <w:rPr>
          <w:rFonts w:eastAsia="Times New Roman" w:cs="Times New Roman"/>
          <w:szCs w:val="24"/>
        </w:rPr>
        <w:t xml:space="preserve">ET, embryo transfer; NS, not significant; NA, not applicable; CI, confidence interval </w:t>
      </w:r>
    </w:p>
    <w:p w14:paraId="042379FF" w14:textId="77777777" w:rsidR="00E52A96" w:rsidRPr="00CE4BFF" w:rsidRDefault="00000000" w:rsidP="00CB5921">
      <w:pPr>
        <w:spacing w:line="480" w:lineRule="auto"/>
        <w:rPr>
          <w:rFonts w:eastAsia="Times New Roman" w:cs="Times New Roman"/>
          <w:color w:val="000000" w:themeColor="text1"/>
          <w:szCs w:val="24"/>
        </w:rPr>
      </w:pPr>
      <w:r w:rsidRPr="00CE4BFF">
        <w:rPr>
          <w:rFonts w:eastAsia="Times New Roman" w:cs="Times New Roman" w:hint="eastAsia"/>
          <w:szCs w:val="24"/>
        </w:rPr>
        <w:t>*</w:t>
      </w:r>
      <w:r w:rsidRPr="00CE4BFF">
        <w:rPr>
          <w:szCs w:val="24"/>
        </w:rPr>
        <w:t xml:space="preserve"> per number of MII oocytes that were used for ICSI; **</w:t>
      </w:r>
      <w:r w:rsidRPr="00CE4BFF">
        <w:rPr>
          <w:rFonts w:eastAsia="Times New Roman" w:cs="Times New Roman"/>
          <w:szCs w:val="24"/>
        </w:rPr>
        <w:t xml:space="preserve"> per </w:t>
      </w:r>
      <w:r w:rsidRPr="00CE4BFF">
        <w:rPr>
          <w:szCs w:val="24"/>
        </w:rPr>
        <w:t>number of normally fertilized oocytes</w:t>
      </w:r>
    </w:p>
    <w:p w14:paraId="600BDEE3" w14:textId="77777777" w:rsidR="00994A3D" w:rsidRPr="00CE4BFF" w:rsidRDefault="00994A3D" w:rsidP="00994A3D">
      <w:pPr>
        <w:keepNext/>
        <w:rPr>
          <w:rFonts w:cs="Times New Roman"/>
          <w:color w:val="000000" w:themeColor="text1"/>
          <w:szCs w:val="24"/>
        </w:rPr>
      </w:pPr>
    </w:p>
    <w:p w14:paraId="42728D98" w14:textId="77777777" w:rsidR="00994A3D" w:rsidRPr="00CE4BFF" w:rsidRDefault="00000000" w:rsidP="00994A3D">
      <w:pPr>
        <w:keepNext/>
        <w:jc w:val="center"/>
        <w:rPr>
          <w:rFonts w:cs="Times New Roman"/>
          <w:color w:val="000000" w:themeColor="text1"/>
          <w:szCs w:val="24"/>
        </w:rPr>
      </w:pPr>
      <w:r w:rsidRPr="00CE4BFF">
        <w:rPr>
          <w:b/>
          <w:noProof/>
          <w:color w:val="000000" w:themeColor="text1"/>
          <w:lang w:eastAsia="en-GB"/>
        </w:rPr>
        <w:drawing>
          <wp:inline distT="0" distB="0" distL="0" distR="0">
            <wp:extent cx="4051121" cy="1456582"/>
            <wp:effectExtent l="0" t="0" r="6985" b="0"/>
            <wp:docPr id="6" name="Picture 6" descr="C:\Users\Elaine.Scott\Documents\LaTex\____TEST____Frontiers_LaTeX_Templates_V2.5\Frontiers LaTeX (Science, Health and Engineering) V2.5 - with Supplementary material (V1.2)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:\Users\Elaine.Scott\Documents\LaTex\____TEST____Frontiers_LaTeX_Templates_V2.5\Frontiers LaTeX (Science, Health and Engineering) V2.5 - with Supplementary material (V1.2)\logo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91" cy="173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E5F9" w14:textId="77777777" w:rsidR="00DE23E8" w:rsidRPr="00CE4BFF" w:rsidRDefault="00DE23E8" w:rsidP="00654E8F">
      <w:pPr>
        <w:spacing w:before="240"/>
        <w:rPr>
          <w:color w:val="000000" w:themeColor="text1"/>
        </w:rPr>
      </w:pPr>
    </w:p>
    <w:sectPr w:rsidR="00DE23E8" w:rsidRPr="00CE4BFF" w:rsidSect="009342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B6F5" w14:textId="77777777" w:rsidR="00A9231E" w:rsidRDefault="00A9231E">
      <w:pPr>
        <w:spacing w:before="0" w:after="0"/>
      </w:pPr>
      <w:r>
        <w:separator/>
      </w:r>
    </w:p>
  </w:endnote>
  <w:endnote w:type="continuationSeparator" w:id="0">
    <w:p w14:paraId="4AA6C15B" w14:textId="77777777" w:rsidR="00A9231E" w:rsidRDefault="00A923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D000" w14:textId="77777777" w:rsidR="00995F6A" w:rsidRPr="00577C4C" w:rsidRDefault="0000000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635F95" w14:textId="77777777" w:rsidR="00995F6A" w:rsidRPr="00577C4C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8.8pt;height:31.15pt;margin-top:0;margin-left:67.6pt;mso-height-percent:0;mso-height-relative:margin;mso-position-horizontal:right;mso-position-horizontal-relative:margin;mso-position-vertical:top;mso-position-vertical-relative:bottom-margin-area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 style="mso-fit-shape-to-text:t">
                <w:txbxContent>
                  <w:p w:rsidR="00995F6A" w:rsidRPr="00577C4C" w14:paraId="667A8D82" w14:textId="7777777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B362" w14:textId="77777777" w:rsidR="00995F6A" w:rsidRPr="00CE4BFF" w:rsidRDefault="00000000">
    <w:pPr>
      <w:rPr>
        <w:b/>
        <w:sz w:val="20"/>
        <w:szCs w:val="24"/>
      </w:rPr>
    </w:pPr>
    <w:r w:rsidRPr="00CE4B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62AAD7" w14:textId="77777777" w:rsidR="00995F6A" w:rsidRPr="00577C4C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2050" type="#_x0000_t202" style="width:118.8pt;height:31.15pt;margin-top:0;margin-left:67.6pt;mso-height-percent:0;mso-height-relative:margin;mso-position-horizontal:right;mso-position-horizontal-relative:margin;mso-position-vertical:top;mso-position-vertical-relative:bottom-margin-area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 style="mso-fit-shape-to-text:t">
                <w:txbxContent>
                  <w:p w:rsidR="00995F6A" w:rsidRPr="00577C4C" w14:paraId="66E60686" w14:textId="7777777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3E96" w14:textId="77777777" w:rsidR="00CE4BFF" w:rsidRPr="00CE4BFF" w:rsidRDefault="00CE4BF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25F3" w14:textId="77777777" w:rsidR="00A9231E" w:rsidRDefault="00A9231E">
      <w:pPr>
        <w:spacing w:before="0" w:after="0"/>
      </w:pPr>
      <w:r>
        <w:separator/>
      </w:r>
    </w:p>
  </w:footnote>
  <w:footnote w:type="continuationSeparator" w:id="0">
    <w:p w14:paraId="6D3E67AB" w14:textId="77777777" w:rsidR="00A9231E" w:rsidRDefault="00A923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26AA" w14:textId="77777777" w:rsidR="00995F6A" w:rsidRPr="009151AA" w:rsidRDefault="00000000">
    <w:pPr>
      <w:rPr>
        <w:rFonts w:cs="Times New Roman"/>
      </w:rPr>
    </w:pPr>
    <w:r>
      <w:ptab w:relativeTo="margin" w:alignment="center" w:leader="none"/>
    </w:r>
    <w: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ACFF" w14:textId="77777777" w:rsidR="00CE4BFF" w:rsidRPr="00CE4BFF" w:rsidRDefault="00CE4BFF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DEF3" w14:textId="77777777" w:rsidR="00995F6A" w:rsidRPr="00CE4BFF" w:rsidRDefault="00000000" w:rsidP="0093429D">
    <w:r w:rsidRPr="00CE4BFF">
      <w:rPr>
        <w:b/>
        <w:noProof/>
        <w:color w:val="A6A6A6" w:themeColor="background1" w:themeShade="A6"/>
        <w:lang w:eastAsia="en-GB"/>
      </w:rPr>
      <w:drawing>
        <wp:inline distT="0" distB="0" distL="0" distR="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C52A7B" w:rsidRPr="00CE4B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97982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A4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88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B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60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05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88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4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27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507C0A9A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6CE3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BCA4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3642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3E6C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F66F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4C26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D8C6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9A33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2F1E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61E30" w:tentative="1">
      <w:start w:val="1"/>
      <w:numFmt w:val="lowerLetter"/>
      <w:lvlText w:val="%2."/>
      <w:lvlJc w:val="left"/>
      <w:pPr>
        <w:ind w:left="1440" w:hanging="360"/>
      </w:pPr>
    </w:lvl>
    <w:lvl w:ilvl="2" w:tplc="9CC85516" w:tentative="1">
      <w:start w:val="1"/>
      <w:numFmt w:val="lowerRoman"/>
      <w:lvlText w:val="%3."/>
      <w:lvlJc w:val="right"/>
      <w:pPr>
        <w:ind w:left="2160" w:hanging="180"/>
      </w:pPr>
    </w:lvl>
    <w:lvl w:ilvl="3" w:tplc="7D3617D0" w:tentative="1">
      <w:start w:val="1"/>
      <w:numFmt w:val="decimal"/>
      <w:lvlText w:val="%4."/>
      <w:lvlJc w:val="left"/>
      <w:pPr>
        <w:ind w:left="2880" w:hanging="360"/>
      </w:pPr>
    </w:lvl>
    <w:lvl w:ilvl="4" w:tplc="DD5CD51A" w:tentative="1">
      <w:start w:val="1"/>
      <w:numFmt w:val="lowerLetter"/>
      <w:lvlText w:val="%5."/>
      <w:lvlJc w:val="left"/>
      <w:pPr>
        <w:ind w:left="3600" w:hanging="360"/>
      </w:pPr>
    </w:lvl>
    <w:lvl w:ilvl="5" w:tplc="C25CBB50" w:tentative="1">
      <w:start w:val="1"/>
      <w:numFmt w:val="lowerRoman"/>
      <w:lvlText w:val="%6."/>
      <w:lvlJc w:val="right"/>
      <w:pPr>
        <w:ind w:left="4320" w:hanging="180"/>
      </w:pPr>
    </w:lvl>
    <w:lvl w:ilvl="6" w:tplc="79844C86" w:tentative="1">
      <w:start w:val="1"/>
      <w:numFmt w:val="decimal"/>
      <w:lvlText w:val="%7."/>
      <w:lvlJc w:val="left"/>
      <w:pPr>
        <w:ind w:left="5040" w:hanging="360"/>
      </w:pPr>
    </w:lvl>
    <w:lvl w:ilvl="7" w:tplc="0CE04C54" w:tentative="1">
      <w:start w:val="1"/>
      <w:numFmt w:val="lowerLetter"/>
      <w:lvlText w:val="%8."/>
      <w:lvlJc w:val="left"/>
      <w:pPr>
        <w:ind w:left="5760" w:hanging="360"/>
      </w:pPr>
    </w:lvl>
    <w:lvl w:ilvl="8" w:tplc="A170B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8FB6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EE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64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E2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4F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E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E5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45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C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attachedTemplate r:id="rId1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wsjQztzA1tDSzMDFQ0lEKTi0uzszPAykwrAUAWkbfgSwAAAA="/>
  </w:docVars>
  <w:rsids>
    <w:rsidRoot w:val="00803D24"/>
    <w:rsid w:val="0001436A"/>
    <w:rsid w:val="00034304"/>
    <w:rsid w:val="00035434"/>
    <w:rsid w:val="0003573C"/>
    <w:rsid w:val="00043DEC"/>
    <w:rsid w:val="00052A14"/>
    <w:rsid w:val="00077D53"/>
    <w:rsid w:val="000918B0"/>
    <w:rsid w:val="000E533A"/>
    <w:rsid w:val="00100884"/>
    <w:rsid w:val="00105FD9"/>
    <w:rsid w:val="00117666"/>
    <w:rsid w:val="001549D3"/>
    <w:rsid w:val="00160065"/>
    <w:rsid w:val="00177D84"/>
    <w:rsid w:val="002447CF"/>
    <w:rsid w:val="00262EC5"/>
    <w:rsid w:val="00267D18"/>
    <w:rsid w:val="002868E2"/>
    <w:rsid w:val="002869C3"/>
    <w:rsid w:val="002936E4"/>
    <w:rsid w:val="002A54DC"/>
    <w:rsid w:val="002B4A57"/>
    <w:rsid w:val="002C74CA"/>
    <w:rsid w:val="003325D3"/>
    <w:rsid w:val="003544FB"/>
    <w:rsid w:val="00364140"/>
    <w:rsid w:val="00371CBF"/>
    <w:rsid w:val="003D2F2D"/>
    <w:rsid w:val="003E66EB"/>
    <w:rsid w:val="00401590"/>
    <w:rsid w:val="004063C0"/>
    <w:rsid w:val="00427D67"/>
    <w:rsid w:val="00447801"/>
    <w:rsid w:val="00452E9C"/>
    <w:rsid w:val="004735C8"/>
    <w:rsid w:val="004961FF"/>
    <w:rsid w:val="004C275F"/>
    <w:rsid w:val="00517A89"/>
    <w:rsid w:val="005250F2"/>
    <w:rsid w:val="005711EC"/>
    <w:rsid w:val="00577C4C"/>
    <w:rsid w:val="00593EEA"/>
    <w:rsid w:val="005A5EEE"/>
    <w:rsid w:val="005E1A55"/>
    <w:rsid w:val="006119B9"/>
    <w:rsid w:val="006375C7"/>
    <w:rsid w:val="00654E8F"/>
    <w:rsid w:val="00660D05"/>
    <w:rsid w:val="006820B1"/>
    <w:rsid w:val="006963B1"/>
    <w:rsid w:val="006B7D14"/>
    <w:rsid w:val="006C288C"/>
    <w:rsid w:val="006F43FB"/>
    <w:rsid w:val="006F4D31"/>
    <w:rsid w:val="006F64FE"/>
    <w:rsid w:val="00701727"/>
    <w:rsid w:val="0070566C"/>
    <w:rsid w:val="00714C50"/>
    <w:rsid w:val="0071573D"/>
    <w:rsid w:val="0072177C"/>
    <w:rsid w:val="00725A7D"/>
    <w:rsid w:val="007501BE"/>
    <w:rsid w:val="007806A8"/>
    <w:rsid w:val="00790BB3"/>
    <w:rsid w:val="007A75DF"/>
    <w:rsid w:val="007C206C"/>
    <w:rsid w:val="007D566E"/>
    <w:rsid w:val="00803A4E"/>
    <w:rsid w:val="00803D24"/>
    <w:rsid w:val="00817DD6"/>
    <w:rsid w:val="00885156"/>
    <w:rsid w:val="008D7C5B"/>
    <w:rsid w:val="0091239D"/>
    <w:rsid w:val="009151AA"/>
    <w:rsid w:val="00930A14"/>
    <w:rsid w:val="0093429D"/>
    <w:rsid w:val="00943573"/>
    <w:rsid w:val="00944832"/>
    <w:rsid w:val="00970F7D"/>
    <w:rsid w:val="00994A3D"/>
    <w:rsid w:val="00995F6A"/>
    <w:rsid w:val="009C2B12"/>
    <w:rsid w:val="009C70F3"/>
    <w:rsid w:val="009D5C1C"/>
    <w:rsid w:val="009F0E09"/>
    <w:rsid w:val="00A05039"/>
    <w:rsid w:val="00A174D9"/>
    <w:rsid w:val="00A569CD"/>
    <w:rsid w:val="00A735CD"/>
    <w:rsid w:val="00A7750A"/>
    <w:rsid w:val="00A9231E"/>
    <w:rsid w:val="00AB6715"/>
    <w:rsid w:val="00AB7118"/>
    <w:rsid w:val="00B057DC"/>
    <w:rsid w:val="00B1671E"/>
    <w:rsid w:val="00B25EB8"/>
    <w:rsid w:val="00B354E1"/>
    <w:rsid w:val="00B37F4D"/>
    <w:rsid w:val="00B4056D"/>
    <w:rsid w:val="00B91F88"/>
    <w:rsid w:val="00BA5CE9"/>
    <w:rsid w:val="00BB58DB"/>
    <w:rsid w:val="00C2330E"/>
    <w:rsid w:val="00C353AA"/>
    <w:rsid w:val="00C40E60"/>
    <w:rsid w:val="00C52A7B"/>
    <w:rsid w:val="00C56BAF"/>
    <w:rsid w:val="00C60EBE"/>
    <w:rsid w:val="00C679AA"/>
    <w:rsid w:val="00C75972"/>
    <w:rsid w:val="00C8257B"/>
    <w:rsid w:val="00CB5921"/>
    <w:rsid w:val="00CC0A3A"/>
    <w:rsid w:val="00CD066B"/>
    <w:rsid w:val="00CE4BFF"/>
    <w:rsid w:val="00CE4FEE"/>
    <w:rsid w:val="00D05B95"/>
    <w:rsid w:val="00D90384"/>
    <w:rsid w:val="00DB59C3"/>
    <w:rsid w:val="00DC259A"/>
    <w:rsid w:val="00DE23E8"/>
    <w:rsid w:val="00E500F5"/>
    <w:rsid w:val="00E52377"/>
    <w:rsid w:val="00E52A96"/>
    <w:rsid w:val="00E64E17"/>
    <w:rsid w:val="00E74643"/>
    <w:rsid w:val="00E77ED9"/>
    <w:rsid w:val="00E81452"/>
    <w:rsid w:val="00E866C9"/>
    <w:rsid w:val="00EA3D3C"/>
    <w:rsid w:val="00EE2574"/>
    <w:rsid w:val="00F46900"/>
    <w:rsid w:val="00F61C63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DE241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見出し 2 (文字)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題 (文字)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Abstract,Keywords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コメント文字列 (文字)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文末脚注文字列 (文字)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フッター (文字)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字列 (文字)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ヘッダー (文字)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nhideWhenUsed/>
    <w:rsid w:val="00AB6715"/>
    <w:rPr>
      <w:color w:val="0000FF"/>
      <w:u w:val="single"/>
    </w:rPr>
  </w:style>
  <w:style w:type="character" w:styleId="21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22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d">
    <w:name w:val="line number"/>
    <w:basedOn w:val="a1"/>
    <w:uiPriority w:val="99"/>
    <w:semiHidden/>
    <w:unhideWhenUsed/>
    <w:rsid w:val="00AB6715"/>
  </w:style>
  <w:style w:type="character" w:customStyle="1" w:styleId="30">
    <w:name w:val="見出し 3 (文字)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見出し 4 (文字)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見出し 5 (文字)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Web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e">
    <w:name w:val="Quote"/>
    <w:basedOn w:val="a0"/>
    <w:next w:val="a0"/>
    <w:link w:val="aff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">
    <w:name w:val="引用文 (文字)"/>
    <w:basedOn w:val="a1"/>
    <w:link w:val="af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0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1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2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0"/>
    <w:next w:val="a0"/>
    <w:link w:val="aff4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4">
    <w:name w:val="表題 (文字)"/>
    <w:basedOn w:val="a1"/>
    <w:link w:val="aff3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3"/>
    <w:next w:val="aff3"/>
    <w:qFormat/>
    <w:rsid w:val="0001436A"/>
    <w:pPr>
      <w:spacing w:after="120"/>
    </w:pPr>
    <w:rPr>
      <w:i/>
    </w:rPr>
  </w:style>
  <w:style w:type="paragraph" w:styleId="aff5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aff6">
    <w:name w:val="Unresolved Mention"/>
    <w:basedOn w:val="a1"/>
    <w:uiPriority w:val="99"/>
    <w:semiHidden/>
    <w:unhideWhenUsed/>
    <w:rsid w:val="009D5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itsutoshi.yamada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11</TotalTime>
  <Pages>6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一浩 明石</cp:lastModifiedBy>
  <cp:revision>8</cp:revision>
  <cp:lastPrinted>2023-01-28T05:18:00Z</cp:lastPrinted>
  <dcterms:created xsi:type="dcterms:W3CDTF">2023-01-31T04:53:00Z</dcterms:created>
  <dcterms:modified xsi:type="dcterms:W3CDTF">2023-02-20T04:43:00Z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0x01010026445AF306EBB441B7A6158762C40D43</vt:lpwstr>
  </property>
  <property fmtid="{D5CDD505-2E9C-101B-9397-08002B2CF9AE}" pid="4" name="MediaServiceImageTags">
    <vt:lpwstr/>
  </property>
  <property fmtid="{D5CDD505-2E9C-101B-9397-08002B2CF9AE}" pid="5" name="Order">
    <vt:r8>1011900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lc_DocIdItemGuid">
    <vt:lpwstr>f82bb101-9b00-462e-af01-9a0e7ec06274</vt:lpwstr>
  </property>
</Properties>
</file>