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5"/>
        <w:rPr>
          <w:b w:val="0"/>
          <w:sz w:val="24"/>
          <w:szCs w:val="24"/>
        </w:rPr>
      </w:pPr>
      <w:r>
        <w:rPr>
          <w:sz w:val="24"/>
          <w:szCs w:val="24"/>
        </w:rPr>
        <w:t>Supplementary Material</w:t>
      </w:r>
    </w:p>
    <w:p>
      <w:pPr>
        <w:snapToGrid w:val="0"/>
        <w:jc w:val="center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Biological control </w:t>
      </w:r>
      <w:r>
        <w:rPr>
          <w:rFonts w:hint="eastAsia"/>
          <w:b/>
          <w:bCs/>
          <w:sz w:val="24"/>
          <w:szCs w:val="24"/>
        </w:rPr>
        <w:t xml:space="preserve">potential </w:t>
      </w:r>
      <w:r>
        <w:rPr>
          <w:b/>
          <w:bCs/>
          <w:sz w:val="24"/>
          <w:szCs w:val="24"/>
        </w:rPr>
        <w:t xml:space="preserve">of </w:t>
      </w:r>
      <w:r>
        <w:rPr>
          <w:b/>
          <w:bCs/>
          <w:i/>
          <w:iCs/>
          <w:sz w:val="24"/>
          <w:szCs w:val="24"/>
        </w:rPr>
        <w:t>Chaetomium globosum</w:t>
      </w:r>
      <w:r>
        <w:rPr>
          <w:b/>
          <w:bCs/>
          <w:sz w:val="24"/>
          <w:szCs w:val="24"/>
        </w:rPr>
        <w:t xml:space="preserve"> 12XP1-2-3 </w:t>
      </w:r>
      <w:r>
        <w:rPr>
          <w:rFonts w:hint="eastAsia"/>
          <w:b/>
          <w:bCs/>
          <w:sz w:val="24"/>
          <w:szCs w:val="24"/>
        </w:rPr>
        <w:t xml:space="preserve">and </w:t>
      </w:r>
      <w:r>
        <w:rPr>
          <w:b/>
          <w:bCs/>
          <w:sz w:val="24"/>
          <w:szCs w:val="24"/>
        </w:rPr>
        <w:t xml:space="preserve">its </w:t>
      </w:r>
      <w:r>
        <w:rPr>
          <w:rFonts w:hint="eastAsia"/>
          <w:b/>
          <w:bCs/>
          <w:sz w:val="24"/>
          <w:szCs w:val="24"/>
        </w:rPr>
        <w:t xml:space="preserve">effects on rhizosphere microorganisms of wheat under </w:t>
      </w:r>
      <w:r>
        <w:rPr>
          <w:b/>
          <w:bCs/>
          <w:i w:val="0"/>
          <w:iCs w:val="0"/>
          <w:sz w:val="24"/>
          <w:szCs w:val="24"/>
        </w:rPr>
        <w:t>Fusarium</w:t>
      </w:r>
      <w:r>
        <w:rPr>
          <w:b/>
          <w:bCs/>
          <w:sz w:val="24"/>
          <w:szCs w:val="24"/>
        </w:rPr>
        <w:t xml:space="preserve"> crown rot </w:t>
      </w:r>
      <w:r>
        <w:rPr>
          <w:rFonts w:hint="eastAsia"/>
          <w:b/>
          <w:bCs/>
          <w:sz w:val="24"/>
          <w:szCs w:val="24"/>
        </w:rPr>
        <w:t>pathogen attack</w:t>
      </w:r>
    </w:p>
    <w:p>
      <w:pPr>
        <w:snapToGrid w:val="0"/>
        <w:jc w:val="center"/>
        <w:rPr>
          <w:rFonts w:hint="eastAsia"/>
          <w:b/>
          <w:bCs/>
          <w:sz w:val="24"/>
          <w:szCs w:val="24"/>
        </w:rPr>
      </w:pPr>
    </w:p>
    <w:p>
      <w:pPr>
        <w:pStyle w:val="2"/>
        <w:ind w:firstLine="0" w:firstLineChars="0"/>
        <w:rPr>
          <w:rFonts w:hint="eastAsia"/>
          <w:b w:val="0"/>
          <w:bCs/>
          <w:color w:val="000000"/>
          <w:sz w:val="24"/>
          <w:szCs w:val="24"/>
        </w:rPr>
      </w:pPr>
      <w:r>
        <w:rPr>
          <w:rFonts w:hint="eastAsia"/>
          <w:b w:val="0"/>
          <w:bCs/>
          <w:color w:val="000000"/>
          <w:sz w:val="24"/>
          <w:szCs w:val="24"/>
        </w:rPr>
        <w:t>Chaohong Feng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b w:val="0"/>
          <w:bCs/>
          <w:color w:val="000000"/>
          <w:sz w:val="24"/>
          <w:szCs w:val="24"/>
          <w:vertAlign w:val="superscript"/>
        </w:rPr>
        <w:t>†</w:t>
      </w:r>
      <w:r>
        <w:rPr>
          <w:rFonts w:hint="eastAsia"/>
          <w:b w:val="0"/>
          <w:bCs/>
          <w:color w:val="000000"/>
          <w:sz w:val="24"/>
          <w:szCs w:val="24"/>
        </w:rPr>
        <w:t>, Fei Xu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b w:val="0"/>
          <w:bCs/>
          <w:color w:val="000000"/>
          <w:sz w:val="24"/>
          <w:szCs w:val="24"/>
          <w:vertAlign w:val="superscript"/>
        </w:rPr>
        <w:t>†</w:t>
      </w:r>
      <w:r>
        <w:rPr>
          <w:rFonts w:hint="eastAsia"/>
          <w:b w:val="0"/>
          <w:bCs/>
          <w:color w:val="000000"/>
          <w:sz w:val="24"/>
          <w:szCs w:val="24"/>
        </w:rPr>
        <w:t>, Lijuan Li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Jiaojiao Zhang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Junmei Wang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 Yahong Li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Lulu Liu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Zi</w:t>
      </w:r>
      <w:r>
        <w:rPr>
          <w:rFonts w:hint="eastAsia"/>
          <w:b w:val="0"/>
          <w:bCs/>
          <w:color w:val="000000"/>
          <w:sz w:val="24"/>
          <w:szCs w:val="24"/>
          <w:lang w:eastAsia="zh-CN"/>
        </w:rPr>
        <w:t>hang</w:t>
      </w:r>
      <w:r>
        <w:rPr>
          <w:rFonts w:hint="eastAsia"/>
          <w:b w:val="0"/>
          <w:bCs/>
          <w:color w:val="000000"/>
          <w:sz w:val="24"/>
          <w:szCs w:val="24"/>
        </w:rPr>
        <w:t xml:space="preserve"> Han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Ruijie Shi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Xinru Wan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, Yuli Song</w:t>
      </w:r>
      <w:r>
        <w:rPr>
          <w:rFonts w:hint="eastAsia"/>
          <w:b w:val="0"/>
          <w:bCs/>
          <w:color w:val="000000"/>
          <w:sz w:val="24"/>
          <w:szCs w:val="24"/>
          <w:vertAlign w:val="superscript"/>
        </w:rPr>
        <w:t>1,2</w:t>
      </w:r>
      <w:r>
        <w:rPr>
          <w:rFonts w:hint="eastAsia"/>
          <w:b w:val="0"/>
          <w:bCs/>
          <w:color w:val="000000"/>
          <w:sz w:val="24"/>
          <w:szCs w:val="24"/>
        </w:rPr>
        <w:t>*</w:t>
      </w:r>
    </w:p>
    <w:p>
      <w:pPr>
        <w:rPr>
          <w:rFonts w:hint="eastAsia"/>
        </w:rPr>
      </w:pPr>
    </w:p>
    <w:p>
      <w:pPr>
        <w:spacing w:before="240" w:after="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* Correspondence: </w:t>
      </w:r>
      <w:r>
        <w:rPr>
          <w:rFonts w:hint="eastAsia" w:cs="Times New Roman"/>
          <w:sz w:val="24"/>
          <w:szCs w:val="24"/>
        </w:rPr>
        <w:t>Yuli Song, songyuli2000@126.com</w:t>
      </w:r>
    </w:p>
    <w:p>
      <w:pPr>
        <w:jc w:val="center"/>
        <w:rPr>
          <w:rFonts w:hint="eastAsia" w:eastAsia="宋体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eastAsia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3893185" cy="2493645"/>
            <wp:effectExtent l="0" t="0" r="12065" b="1905"/>
            <wp:docPr id="3" name="图片 3" descr="supplementary inhibition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inhibition rat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Supplementary Figure 1. 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 xml:space="preserve">Inhibition rate of </w:t>
      </w:r>
      <w:r>
        <w:rPr>
          <w:rFonts w:hint="eastAsia" w:eastAsia="宋体"/>
          <w:b w:val="0"/>
          <w:bCs w:val="0"/>
          <w:i/>
          <w:iCs/>
          <w:sz w:val="24"/>
          <w:szCs w:val="24"/>
          <w:lang w:val="en-US" w:eastAsia="zh-CN"/>
        </w:rPr>
        <w:t>Chaetomium globosum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 xml:space="preserve"> 12XP1-2-3 against </w:t>
      </w:r>
      <w:r>
        <w:rPr>
          <w:rFonts w:hint="eastAsia" w:eastAsia="宋体"/>
          <w:b w:val="0"/>
          <w:bCs w:val="0"/>
          <w:i/>
          <w:iCs/>
          <w:sz w:val="24"/>
          <w:szCs w:val="24"/>
          <w:lang w:val="en-US" w:eastAsia="zh-CN"/>
        </w:rPr>
        <w:t>Fusarium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 xml:space="preserve"> spp. causing FCR in confrontation assay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. The accession numbers of these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spp. for translation elongation factor 1-alpha gene were as follows: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F.graminearum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OM650500;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F.acuminatum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KX663794;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F.sinensis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OM686983;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F.equiseti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KX663677;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F.proliferatum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KX663598;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F.asiaticum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KY081500;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F.culmorum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, KX702638;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F.avenaceum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, KX702713. Data were presented as mean with their standard error (SE) and analyzed using one-way factorial analysis of variance (ANOVA) and Duncan multiple range test (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&lt;0.05). The same l</w:t>
      </w:r>
      <w:r>
        <w:t>ower case letters (“a”</w:t>
      </w:r>
      <w:r>
        <w:rPr>
          <w:rFonts w:hint="eastAsia" w:eastAsia="宋体"/>
          <w:lang w:val="en-US" w:eastAsia="zh-CN"/>
        </w:rPr>
        <w:t>,</w:t>
      </w:r>
      <w:r>
        <w:t xml:space="preserve"> “b” </w:t>
      </w:r>
      <w:r>
        <w:rPr>
          <w:rFonts w:hint="eastAsia" w:eastAsia="宋体"/>
          <w:lang w:val="en-US" w:eastAsia="zh-CN"/>
        </w:rPr>
        <w:t>and so on</w:t>
      </w:r>
      <w:r>
        <w:t xml:space="preserve">) mean that they are not significantly different at </w:t>
      </w:r>
      <w:r>
        <w:rPr>
          <w:i/>
          <w:iCs/>
        </w:rPr>
        <w:t>p</w:t>
      </w:r>
      <w:r>
        <w:t>&lt;0.05.</w:t>
      </w:r>
    </w:p>
    <w:p>
      <w:pPr>
        <w:jc w:val="both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eastAsia="宋体"/>
          <w:b/>
          <w:bCs/>
          <w:sz w:val="24"/>
          <w:szCs w:val="24"/>
          <w:lang w:eastAsia="zh-CN"/>
        </w:rPr>
        <w:br w:type="page"/>
      </w:r>
    </w:p>
    <w:p>
      <w:pPr>
        <w:jc w:val="center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eastAsia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5821680" cy="4858385"/>
            <wp:effectExtent l="0" t="0" r="7620" b="18415"/>
            <wp:docPr id="4" name="图片 4" descr="supplementary Fig2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2 fina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eastAsia="宋体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 xml:space="preserve">Supplementary Figure 2. </w:t>
      </w:r>
      <w:r>
        <w:rPr>
          <w:rFonts w:ascii="Times New Roman" w:hAnsi="Times New Roman"/>
          <w:sz w:val="24"/>
          <w:szCs w:val="24"/>
        </w:rPr>
        <w:t xml:space="preserve">Relative expression of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15 defense-related</w:t>
      </w:r>
      <w:r>
        <w:rPr>
          <w:rFonts w:ascii="Times New Roman" w:hAnsi="Times New Roman"/>
          <w:sz w:val="24"/>
          <w:szCs w:val="24"/>
        </w:rPr>
        <w:t xml:space="preserve"> genes in wheat seedlings 7 days and 21 days after inoculation by </w:t>
      </w:r>
      <w:r>
        <w:rPr>
          <w:rFonts w:ascii="Times New Roman" w:hAnsi="Times New Roman"/>
          <w:i/>
          <w:iCs/>
          <w:sz w:val="24"/>
          <w:szCs w:val="24"/>
        </w:rPr>
        <w:t xml:space="preserve">F. </w:t>
      </w:r>
      <w:r>
        <w:rPr>
          <w:rFonts w:hint="eastAsia" w:ascii="Times New Roman" w:hAnsi="Times New Roman"/>
          <w:b w:val="0"/>
          <w:i/>
          <w:iCs/>
          <w:sz w:val="24"/>
        </w:rPr>
        <w:t>pseudograminearum</w:t>
      </w:r>
      <w:r>
        <w:rPr>
          <w:rFonts w:ascii="Times New Roman" w:hAnsi="Times New Roman"/>
          <w:sz w:val="24"/>
          <w:szCs w:val="24"/>
        </w:rPr>
        <w:t xml:space="preserve"> G14LY24-2. Cg+Fpg</w:t>
      </w:r>
      <w:r>
        <w:rPr>
          <w:rFonts w:hint="eastAsia"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C. globosum </w:t>
      </w:r>
      <w:r>
        <w:rPr>
          <w:rFonts w:ascii="Times New Roman" w:hAnsi="Times New Roman"/>
          <w:bCs/>
          <w:sz w:val="24"/>
          <w:szCs w:val="24"/>
        </w:rPr>
        <w:t xml:space="preserve">coated seeds plus inoculation of </w:t>
      </w:r>
      <w:r>
        <w:rPr>
          <w:rFonts w:ascii="Times New Roman" w:hAnsi="Times New Roman"/>
          <w:i/>
          <w:iCs/>
          <w:sz w:val="24"/>
          <w:szCs w:val="24"/>
        </w:rPr>
        <w:t xml:space="preserve">F. </w:t>
      </w:r>
      <w:r>
        <w:rPr>
          <w:rFonts w:hint="eastAsia" w:ascii="Times New Roman" w:hAnsi="Times New Roman"/>
          <w:b w:val="0"/>
          <w:i/>
          <w:iCs/>
          <w:sz w:val="24"/>
        </w:rPr>
        <w:t>pseudograminearum</w:t>
      </w:r>
      <w:r>
        <w:rPr>
          <w:rFonts w:hint="eastAsia"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Con+Fpg</w:t>
      </w:r>
      <w:r>
        <w:rPr>
          <w:rFonts w:hint="eastAsia"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control seeds</w:t>
      </w:r>
      <w:r>
        <w:rPr>
          <w:rFonts w:ascii="Times New Roman" w:hAnsi="Times New Roman"/>
          <w:bCs/>
          <w:sz w:val="24"/>
          <w:szCs w:val="24"/>
        </w:rPr>
        <w:t xml:space="preserve"> plus inoculation of </w:t>
      </w:r>
      <w:r>
        <w:rPr>
          <w:rFonts w:ascii="Times New Roman" w:hAnsi="Times New Roman"/>
          <w:i/>
          <w:iCs/>
          <w:sz w:val="24"/>
          <w:szCs w:val="24"/>
        </w:rPr>
        <w:t xml:space="preserve">F. </w:t>
      </w:r>
      <w:r>
        <w:rPr>
          <w:rFonts w:hint="eastAsia" w:ascii="Times New Roman" w:hAnsi="Times New Roman"/>
          <w:b w:val="0"/>
          <w:i/>
          <w:iCs/>
          <w:sz w:val="24"/>
        </w:rPr>
        <w:t>pseudograminearum</w:t>
      </w:r>
      <w:r>
        <w:rPr>
          <w:rFonts w:hint="eastAsia"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Cg-Fpg</w:t>
      </w:r>
      <w:r>
        <w:rPr>
          <w:rFonts w:hint="eastAsia"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C. globosum </w:t>
      </w:r>
      <w:r>
        <w:rPr>
          <w:rFonts w:ascii="Times New Roman" w:hAnsi="Times New Roman"/>
          <w:bCs/>
          <w:sz w:val="24"/>
          <w:szCs w:val="24"/>
        </w:rPr>
        <w:t xml:space="preserve">coated seeds without inoculation of </w:t>
      </w:r>
      <w:r>
        <w:rPr>
          <w:rFonts w:ascii="Times New Roman" w:hAnsi="Times New Roman"/>
          <w:i/>
          <w:iCs/>
          <w:sz w:val="24"/>
          <w:szCs w:val="24"/>
        </w:rPr>
        <w:t xml:space="preserve">F. </w:t>
      </w:r>
      <w:r>
        <w:rPr>
          <w:rFonts w:hint="eastAsia" w:ascii="Times New Roman" w:hAnsi="Times New Roman"/>
          <w:b w:val="0"/>
          <w:i/>
          <w:iCs/>
          <w:sz w:val="24"/>
        </w:rPr>
        <w:t>pseudograminearum</w:t>
      </w:r>
      <w:r>
        <w:rPr>
          <w:rFonts w:hint="eastAsia"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Con-Fpg</w:t>
      </w:r>
      <w:r>
        <w:rPr>
          <w:rFonts w:hint="eastAsia"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control seeds</w:t>
      </w:r>
      <w:r>
        <w:rPr>
          <w:rFonts w:ascii="Times New Roman" w:hAnsi="Times New Roman"/>
          <w:bCs/>
          <w:sz w:val="24"/>
          <w:szCs w:val="24"/>
        </w:rPr>
        <w:t xml:space="preserve"> without inoculation of </w:t>
      </w:r>
      <w:r>
        <w:rPr>
          <w:rFonts w:ascii="Times New Roman" w:hAnsi="Times New Roman"/>
          <w:i/>
          <w:iCs/>
          <w:sz w:val="24"/>
          <w:szCs w:val="24"/>
        </w:rPr>
        <w:t xml:space="preserve">F. </w:t>
      </w:r>
      <w:r>
        <w:rPr>
          <w:rFonts w:hint="eastAsia" w:ascii="Times New Roman" w:hAnsi="Times New Roman"/>
          <w:b w:val="0"/>
          <w:i/>
          <w:iCs/>
          <w:sz w:val="24"/>
        </w:rPr>
        <w:t>pseudograminearum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Detailed information of the genes were shown in Supplementary Table 1. Data were presented as mean with standard error (SE) and analyzed using one-way factorial analysis of variance (ANOVA) and Duncan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s multiple range test (</w:t>
      </w:r>
      <w:r>
        <w:rPr>
          <w:rFonts w:hint="eastAsia" w:ascii="Times New Roman" w:hAnsi="Times New Roman"/>
          <w:i/>
          <w:iCs/>
          <w:sz w:val="24"/>
          <w:szCs w:val="24"/>
          <w:lang w:val="en-US" w:eastAsia="zh-CN"/>
        </w:rPr>
        <w:t>p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&lt; 0.05).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t>Lower case letters at each time period (“a”</w:t>
      </w:r>
      <w:r>
        <w:rPr>
          <w:rFonts w:hint="eastAsia" w:eastAsia="宋体"/>
          <w:lang w:val="en-US" w:eastAsia="zh-CN"/>
        </w:rPr>
        <w:t>,</w:t>
      </w:r>
      <w:r>
        <w:t xml:space="preserve"> “b” </w:t>
      </w:r>
      <w:r>
        <w:rPr>
          <w:rFonts w:hint="eastAsia" w:eastAsia="宋体"/>
          <w:lang w:val="en-US" w:eastAsia="zh-CN"/>
        </w:rPr>
        <w:t xml:space="preserve">and </w:t>
      </w:r>
      <w:r>
        <w:rPr>
          <w:rFonts w:hint="default" w:eastAsia="宋体"/>
          <w:lang w:val="en-US" w:eastAsia="zh-CN"/>
        </w:rPr>
        <w:t>“</w:t>
      </w:r>
      <w:r>
        <w:rPr>
          <w:rFonts w:hint="eastAsia" w:eastAsia="宋体"/>
          <w:lang w:val="en-US" w:eastAsia="zh-CN"/>
        </w:rPr>
        <w:t>ab</w:t>
      </w:r>
      <w:r>
        <w:rPr>
          <w:rFonts w:hint="default" w:eastAsia="宋体"/>
          <w:lang w:val="en-US" w:eastAsia="zh-CN"/>
        </w:rPr>
        <w:t>”</w:t>
      </w:r>
      <w:r>
        <w:rPr>
          <w:rFonts w:hint="eastAsia" w:eastAsia="宋体"/>
          <w:lang w:val="en-US" w:eastAsia="zh-CN"/>
        </w:rPr>
        <w:t xml:space="preserve"> </w:t>
      </w:r>
      <w:r>
        <w:t>at 7 days, and “x”</w:t>
      </w:r>
      <w:r>
        <w:rPr>
          <w:rFonts w:hint="eastAsia" w:eastAsia="宋体"/>
          <w:lang w:val="en-US" w:eastAsia="zh-CN"/>
        </w:rPr>
        <w:t>,</w:t>
      </w:r>
      <w:r>
        <w:t xml:space="preserve"> “y” </w:t>
      </w:r>
      <w:r>
        <w:rPr>
          <w:rFonts w:hint="eastAsia" w:eastAsia="宋体"/>
          <w:lang w:val="en-US" w:eastAsia="zh-CN"/>
        </w:rPr>
        <w:t xml:space="preserve">and </w:t>
      </w:r>
      <w:r>
        <w:rPr>
          <w:rFonts w:hint="default" w:eastAsia="宋体"/>
          <w:lang w:val="en-US" w:eastAsia="zh-CN"/>
        </w:rPr>
        <w:t>“</w:t>
      </w:r>
      <w:r>
        <w:rPr>
          <w:rFonts w:hint="eastAsia" w:eastAsia="宋体"/>
          <w:lang w:val="en-US" w:eastAsia="zh-CN"/>
        </w:rPr>
        <w:t>xy</w:t>
      </w:r>
      <w:r>
        <w:rPr>
          <w:rFonts w:hint="default" w:eastAsia="宋体"/>
          <w:lang w:val="en-US" w:eastAsia="zh-CN"/>
        </w:rPr>
        <w:t>”</w:t>
      </w:r>
      <w:r>
        <w:rPr>
          <w:rFonts w:hint="eastAsia" w:eastAsia="宋体"/>
          <w:lang w:val="en-US" w:eastAsia="zh-CN"/>
        </w:rPr>
        <w:t xml:space="preserve"> </w:t>
      </w:r>
      <w:r>
        <w:t xml:space="preserve">at 21 days) indicate differences among the four treatments, and the same letters mean that they are not significantly different at </w:t>
      </w:r>
      <w:r>
        <w:rPr>
          <w:i/>
          <w:iCs/>
        </w:rPr>
        <w:t>p</w:t>
      </w:r>
      <w:r>
        <w:t>&lt;0.05.</w:t>
      </w:r>
      <w:r>
        <w:rPr>
          <w:rFonts w:hint="eastAsia" w:eastAsia="宋体"/>
          <w:lang w:val="en-US" w:eastAsia="zh-CN"/>
        </w:rPr>
        <w:t xml:space="preserve"> </w:t>
      </w:r>
    </w:p>
    <w:p>
      <w:pPr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</w:p>
    <w:p>
      <w:pPr>
        <w:jc w:val="center"/>
        <w:rPr>
          <w:rFonts w:hint="eastAsia" w:eastAsia="宋体"/>
          <w:b/>
          <w:bCs/>
          <w:sz w:val="24"/>
          <w:szCs w:val="24"/>
          <w:lang w:eastAsia="zh-CN"/>
        </w:rPr>
      </w:pPr>
    </w:p>
    <w:p>
      <w:pPr>
        <w:jc w:val="center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eastAsia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3511550" cy="6884035"/>
            <wp:effectExtent l="0" t="0" r="12700" b="12065"/>
            <wp:docPr id="2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ig S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Supplementary Figure 3.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Wheat plants (cv. Aikang 58) grown in the field of Wenxian in 2019. </w:t>
      </w:r>
      <w:r>
        <w:rPr>
          <w:rFonts w:hint="eastAsia"/>
          <w:b/>
          <w:bCs/>
          <w:sz w:val="24"/>
          <w:szCs w:val="24"/>
          <w:lang w:val="en-US" w:eastAsia="zh-CN"/>
        </w:rPr>
        <w:t>(A, B)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Wheat seedlings of the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Con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(A)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and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Cg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(B)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treatments on December 26, 2018; </w:t>
      </w:r>
      <w:r>
        <w:rPr>
          <w:rFonts w:hint="eastAsia"/>
          <w:b/>
          <w:bCs/>
          <w:sz w:val="24"/>
          <w:szCs w:val="24"/>
          <w:lang w:val="en-US" w:eastAsia="zh-CN"/>
        </w:rPr>
        <w:t>(C, D)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Wheat plants of the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Con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(C)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and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Cg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(D)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treatments on April 11, 2019; </w:t>
      </w:r>
      <w:r>
        <w:rPr>
          <w:rFonts w:hint="eastAsia"/>
          <w:b/>
          <w:bCs/>
          <w:sz w:val="24"/>
          <w:szCs w:val="24"/>
          <w:lang w:val="en-US" w:eastAsia="zh-CN"/>
        </w:rPr>
        <w:t>(E)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Wheat plants of the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Con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(left) and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Cg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(right, with earlier flowering) treatments on April 24, 2019. Con, control group without seed coating; Cg, treatment with wheat seeds coated with the ascospore of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C. globosum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12XP1-2-3. Plants in the 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Cg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treatment showed better growth state and earlier flowering than those in the control.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br w:type="page"/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967095" cy="2236470"/>
            <wp:effectExtent l="0" t="0" r="14605" b="11430"/>
            <wp:docPr id="5" name="图片 5" descr="Supplementary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  <w:rPr>
          <w:rFonts w:hint="eastAsia" w:eastAsia="宋体"/>
          <w:b w:val="0"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Supplementary Figure 4. </w:t>
      </w:r>
      <w:r>
        <w:rPr>
          <w:rFonts w:ascii="Times New Roman" w:hAnsi="Times New Roman"/>
          <w:b w:val="0"/>
          <w:bCs/>
          <w:sz w:val="24"/>
          <w:szCs w:val="24"/>
        </w:rPr>
        <w:t xml:space="preserve">Shannon index dilution curve of bacterial </w:t>
      </w:r>
      <w:r>
        <w:rPr>
          <w:rFonts w:ascii="Times New Roman" w:hAnsi="Times New Roman"/>
          <w:b/>
          <w:bCs w:val="0"/>
          <w:sz w:val="24"/>
          <w:szCs w:val="24"/>
        </w:rPr>
        <w:t>(A)</w:t>
      </w:r>
      <w:r>
        <w:rPr>
          <w:rFonts w:ascii="Times New Roman" w:hAnsi="Times New Roman"/>
          <w:b w:val="0"/>
          <w:bCs/>
          <w:sz w:val="24"/>
          <w:szCs w:val="24"/>
        </w:rPr>
        <w:t xml:space="preserve"> and fungal </w:t>
      </w:r>
      <w:r>
        <w:rPr>
          <w:rFonts w:ascii="Times New Roman" w:hAnsi="Times New Roman"/>
          <w:b/>
          <w:bCs w:val="0"/>
          <w:sz w:val="24"/>
          <w:szCs w:val="24"/>
        </w:rPr>
        <w:t>(B)</w:t>
      </w:r>
      <w:r>
        <w:rPr>
          <w:rFonts w:ascii="Times New Roman" w:hAnsi="Times New Roman"/>
          <w:b w:val="0"/>
          <w:bCs/>
          <w:sz w:val="24"/>
          <w:szCs w:val="24"/>
        </w:rPr>
        <w:t xml:space="preserve"> community</w:t>
      </w:r>
      <w:r>
        <w:rPr>
          <w:rFonts w:hint="eastAsia" w:eastAsia="宋体"/>
          <w:b w:val="0"/>
          <w:bCs/>
          <w:sz w:val="24"/>
          <w:szCs w:val="24"/>
          <w:lang w:val="en-US" w:eastAsia="zh-CN"/>
        </w:rPr>
        <w:t>.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jc w:val="both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Supplementary </w:t>
      </w:r>
      <w:r>
        <w:rPr>
          <w:rFonts w:hint="eastAsia"/>
          <w:b/>
          <w:bCs/>
          <w:sz w:val="24"/>
          <w:szCs w:val="24"/>
        </w:rPr>
        <w:t>Table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>1.</w:t>
      </w:r>
      <w:r>
        <w:rPr>
          <w:rFonts w:hint="eastAsia"/>
          <w:b/>
          <w:bCs/>
          <w:sz w:val="24"/>
          <w:szCs w:val="24"/>
        </w:rPr>
        <w:t xml:space="preserve"> </w:t>
      </w:r>
      <w:r>
        <w:t>Sequences of primers used for RT-qPCR analysis of gene expression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.</w:t>
      </w:r>
    </w:p>
    <w:tbl>
      <w:tblPr>
        <w:tblStyle w:val="23"/>
        <w:tblW w:w="10388" w:type="dxa"/>
        <w:tblInd w:w="-223" w:type="dxa"/>
        <w:tblBorders>
          <w:top w:val="single" w:color="000000" w:sz="8" w:space="0"/>
          <w:left w:val="none" w:color="auto" w:sz="0" w:space="0"/>
          <w:bottom w:val="single" w:color="000000" w:sz="8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950"/>
        <w:gridCol w:w="3487"/>
        <w:gridCol w:w="3175"/>
        <w:gridCol w:w="1494"/>
      </w:tblGrid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C</w:t>
            </w: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  <w:t>lassification</w:t>
            </w:r>
          </w:p>
        </w:tc>
        <w:tc>
          <w:tcPr>
            <w:tcW w:w="950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Gene</w:t>
            </w:r>
          </w:p>
        </w:tc>
        <w:tc>
          <w:tcPr>
            <w:tcW w:w="3487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Primer (5’to 3’)</w:t>
            </w:r>
          </w:p>
        </w:tc>
        <w:tc>
          <w:tcPr>
            <w:tcW w:w="3175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Description</w:t>
            </w:r>
          </w:p>
        </w:tc>
        <w:tc>
          <w:tcPr>
            <w:tcW w:w="1494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References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Defence - antimicrobial</w:t>
            </w:r>
          </w:p>
        </w:tc>
        <w:tc>
          <w:tcPr>
            <w:tcW w:w="950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PR1</w:t>
            </w:r>
          </w:p>
        </w:tc>
        <w:tc>
          <w:tcPr>
            <w:tcW w:w="3487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F:CTGGAGCACGAAGCTGCAG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R:CGAGTGCTGGAGCTTGCAGT</w:t>
            </w:r>
          </w:p>
        </w:tc>
        <w:tc>
          <w:tcPr>
            <w:tcW w:w="3175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heat nonexpressor of pathogenesis-related Genes 1</w:t>
            </w:r>
          </w:p>
        </w:tc>
        <w:tc>
          <w:tcPr>
            <w:tcW w:w="1494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PR2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F:CTCGACATCGGTAACGACCAG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R:GCGGCGATGTACTTGATGTTC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ncoding beta-1,3-endoglucanase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PR3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F:AGAGATAAGCAAGGCCACGTC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R:GGTTGCTCACCAGGTCCTTC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Chi1 gene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Liu et al. 2016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PR4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F:CGAGGATCGTGGACCAGTG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R:GTCGACGAACTGGTAGTTGACG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heatwin 1-2 gene 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PR5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F:ACAGCTACGCCAAGGACGAC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R:CGCGTCCTAATCTAAGGGCAG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ncoding WAS3a thaumatin-like protein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PR10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F:TTAAACCAGCACGAGAAACATCAG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R:</w:t>
            </w:r>
            <w:r>
              <w:rPr>
                <w:rStyle w:val="58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ATCCTCCCTCGATTATTCTCACG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ncoding wheat peroxidase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EG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 GACAACGGGCTGACATACAC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TCTCGGATATGACCACCTTAACC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ndo-ß-glucanase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Powell et al. 2017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etabolism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PAL1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</w:pPr>
            <w:r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F</w:t>
            </w:r>
            <w:r>
              <w:rPr>
                <w:rStyle w:val="57"/>
                <w:rFonts w:hint="eastAsia" w:eastAsia="等线" w:cs="Times New Roman"/>
                <w:sz w:val="18"/>
                <w:szCs w:val="18"/>
                <w:lang w:val="en-US" w:eastAsia="zh-CN" w:bidi="ar"/>
              </w:rPr>
              <w:t>:</w:t>
            </w:r>
            <w:r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CATACCCGCTCTACAGGTTCGT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</w:pPr>
            <w:r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R</w:t>
            </w:r>
            <w:r>
              <w:rPr>
                <w:rStyle w:val="57"/>
                <w:rFonts w:hint="eastAsia" w:eastAsia="等线" w:cs="Times New Roman"/>
                <w:sz w:val="18"/>
                <w:szCs w:val="18"/>
                <w:lang w:val="en-US" w:eastAsia="zh-CN" w:bidi="ar"/>
              </w:rPr>
              <w:t>:</w:t>
            </w:r>
            <w:r>
              <w:rPr>
                <w:rStyle w:val="57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CAAGGGCTCACCGTTCCAC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henylalanine ammonia-lyase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Duan et al.2021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PAL2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F:CGTCAAGAGCTGTGTGAAGATGG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R:GGTAGTTGGAGCTGCAAGGGTC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phenylalanine ammonia lyase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Liu et al. 2016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Glu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F:TTCCGACTAGCTACACACAAAAGGT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R:AGTTCATATTCGTGTCGCTTCATC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Glucosyltransferase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2008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Signalling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Style w:val="60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MAP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F:CACTGGGTCGTGACACTTCT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R:CCTCCTCTTCCTTGTATGCTG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Mitogen-activated protein kinases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Wang et al. 2011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Stpk-V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 TGGATGTATTATGAGCAGGGAG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GAGGATGAAGCGAAAGCAA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Serine/threonine kinase-</w:t>
            </w: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sz w:val="18"/>
                <w:szCs w:val="18"/>
                <w:u w:val="none"/>
              </w:rPr>
              <w:t>Haynaldia villosa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Wang et al. 2015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Defence – ROS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TaGLP5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F:ACGAGCACAAACAGAAATAGGA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R:GAAGGAAGGAAGAGGAGGATG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 wheat germin-like protein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Wang et al. 2009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 GTCATCGACAGCATCAAGAC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CTCGTTTGCATCTATGGAATCTC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oot peroxidase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Powell et al. 2017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Transcription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WRKY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F:GCAGACGTACAACCAGAACC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R:CCCAAAGTGCTTCTCGATCTC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WRKY transcription factor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Powell et al. 2017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Jasmonic acid pathway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TaAOS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F:TCCCGAGAGCGCTGTTTAAA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R:GACGATTGACGGCTGCTATGA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Triticum aestivum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allene oxide synthase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Liu et al. 2016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JAZ1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F:GCAAGCCCTCTTTGTTCGTTC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R:AAGCTGGTAGCACTCGTCTTTATTT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Jasmonate ZIM domain-containing protein 10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Duan et al.2021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LIPASE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F:CACAAAATATCGACCCACCAC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R:ACTGGGTATTCGTCTGTCAGC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ncoding a wheat lipase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Lu et al. 20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Unknown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TaWIR1b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F:TGCCGCACAGTTTATGGATG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R:TAAGGTGGTGCGTGACAGTAGA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58"/>
                <w:rFonts w:hint="eastAsia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W</w:t>
            </w:r>
            <w:r>
              <w:rPr>
                <w:rStyle w:val="58"/>
                <w:rFonts w:hint="default" w:ascii="Times New Roman" w:hAnsi="Times New Roman" w:eastAsia="等线" w:cs="Times New Roman"/>
                <w:sz w:val="18"/>
                <w:szCs w:val="18"/>
                <w:lang w:val="en-US" w:eastAsia="zh-CN" w:bidi="ar"/>
              </w:rPr>
              <w:t>heat induced resistance 1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Wang et al. 2017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WCI3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F:AAAGTTGGTCTTGCCACTGACTG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R:TCGACAAAGCACTTCTGGATTTC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heat chemically induced gene, encoding sulfur-rich/thionin-like protein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Desmond et al. 2006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PDR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 GCCAAGCAACATTCTTCTCAG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 CTTTGCCAGTCGTTCCATACTC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leiotropic drug resistance 4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Powell et al. 2017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single" w:color="000000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82" w:type="dxa"/>
            <w:tcBorders>
              <w:bottom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  <w:t>Reference gene</w:t>
            </w:r>
          </w:p>
        </w:tc>
        <w:tc>
          <w:tcPr>
            <w:tcW w:w="950" w:type="dxa"/>
            <w:tcBorders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Plant 18S</w:t>
            </w:r>
          </w:p>
        </w:tc>
        <w:tc>
          <w:tcPr>
            <w:tcW w:w="3487" w:type="dxa"/>
            <w:tcBorders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F:CAAAGCAAGCCTACGCTCT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R:ATACGAATGCCCCCGACT</w:t>
            </w:r>
          </w:p>
        </w:tc>
        <w:tc>
          <w:tcPr>
            <w:tcW w:w="3175" w:type="dxa"/>
            <w:tcBorders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Haematococcus pluvialis 18S ribosomal RNA gene</w:t>
            </w:r>
          </w:p>
        </w:tc>
        <w:tc>
          <w:tcPr>
            <w:tcW w:w="1494" w:type="dxa"/>
            <w:tcBorders>
              <w:bottom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/>
              <w:jc w:val="left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Liu et al. 2016</w:t>
            </w:r>
          </w:p>
        </w:tc>
      </w:tr>
    </w:tbl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Liu, H., Carvalhais, L. C., Kazan, K., 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and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Schenk, P. M. 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(2016).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Development of marker genes for jasmonic acid signaling in shoots and roots of wheat. </w:t>
      </w:r>
      <w:r>
        <w:rPr>
          <w:rFonts w:hint="default" w:ascii="Times New Roman" w:hAnsi="Times New Roman" w:eastAsia="TimesNewRomanPS-ItalicMT" w:cs="Times New Roman"/>
          <w:i/>
          <w:iCs/>
          <w:color w:val="000000"/>
          <w:kern w:val="0"/>
          <w:sz w:val="21"/>
          <w:szCs w:val="21"/>
          <w:lang w:val="en-US" w:eastAsia="zh-CN" w:bidi="ar"/>
        </w:rPr>
        <w:t xml:space="preserve">Plant Signal. Behav.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11(5), e1176654.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 doi: 10.1080/15592324.2016.1176654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1"/>
          <w:szCs w:val="21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Desmond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O. J., Edgar, C. I., Manners, J. M., Maclean, D. J., Schenk, P. M., 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and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Kazan, K.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(2006)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Methyl jasmonate induced gene expression in wheat delays symptom development by the crown rot pathogen </w:t>
      </w:r>
      <w:r>
        <w:rPr>
          <w:rFonts w:hint="default" w:ascii="Times New Roman" w:hAnsi="Times New Roman" w:eastAsia="TimesNewRomanPS-ItalicMT" w:cs="Times New Roman"/>
          <w:i/>
          <w:iCs/>
          <w:color w:val="000000"/>
          <w:kern w:val="0"/>
          <w:sz w:val="21"/>
          <w:szCs w:val="21"/>
          <w:lang w:val="en-US" w:eastAsia="zh-CN" w:bidi="ar"/>
        </w:rPr>
        <w:t>Fusarium pseudograminearum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TimesNewRomanPS-ItalicMT" w:cs="Times New Roman"/>
          <w:i/>
          <w:iCs/>
          <w:color w:val="000000"/>
          <w:kern w:val="0"/>
          <w:sz w:val="21"/>
          <w:szCs w:val="21"/>
          <w:lang w:val="en-US" w:eastAsia="zh-CN" w:bidi="ar"/>
        </w:rPr>
        <w:t>Physiol. Mol. Plant P.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67(3), 171–179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doi: 10.1016/j.pmpp.2005.12.007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Lu, Z., Gaudet, D., Puchalski, B., Despins, T., Frick, M., 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and 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>Laroche, A. (2006)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Inducers of resistance reduce common bunt infection in wheat seedlings while differentially regulating defence-gene expression. </w:t>
      </w:r>
      <w:r>
        <w:rPr>
          <w:rFonts w:hint="default" w:ascii="Times New Roman" w:hAnsi="Times New Roman" w:eastAsia="TimesNewRomanPS-ItalicMT" w:cs="Times New Roman"/>
          <w:i/>
          <w:iCs/>
          <w:color w:val="000000"/>
          <w:kern w:val="0"/>
          <w:sz w:val="21"/>
          <w:szCs w:val="21"/>
          <w:lang w:val="en-US" w:eastAsia="zh-CN" w:bidi="ar"/>
        </w:rPr>
        <w:t>Physiol. Mol. Plant P.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"/>
        </w:rPr>
        <w:t xml:space="preserve"> 67(3), 138-148.</w:t>
      </w:r>
      <w:r>
        <w:rPr>
          <w:rFonts w:hint="default" w:ascii="Times New Roman" w:hAnsi="Times New Roman" w:cs="Times New Roman"/>
          <w:color w:val="000000"/>
          <w:kern w:val="0"/>
          <w:sz w:val="21"/>
          <w:szCs w:val="21"/>
          <w:lang w:val="en-US" w:eastAsia="zh-CN" w:bidi="ar"/>
        </w:rPr>
        <w:t xml:space="preserve"> doi: 10.1016/j.pmpp.2005.12.001</w:t>
      </w:r>
    </w:p>
    <w:p>
      <w:pPr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Powell, J.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J., Carere, J., Fitzgerald, T.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 xml:space="preserve">L., Stiller, J., Covarelli, L., Xu, Q.,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et al.</w:t>
      </w:r>
      <w:r>
        <w:rPr>
          <w:rFonts w:hint="default" w:ascii="Times New Roman" w:hAnsi="Times New Roman" w:cs="Times New Roman"/>
          <w:sz w:val="21"/>
          <w:szCs w:val="21"/>
        </w:rPr>
        <w:t xml:space="preserve"> (2017)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 xml:space="preserve"> The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Fusarium</w:t>
      </w:r>
      <w:r>
        <w:rPr>
          <w:rFonts w:hint="default" w:ascii="Times New Roman" w:hAnsi="Times New Roman" w:cs="Times New Roman"/>
          <w:sz w:val="21"/>
          <w:szCs w:val="21"/>
        </w:rPr>
        <w:t xml:space="preserve"> crown rot pathogen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Fusarium pseudograminearum</w:t>
      </w:r>
      <w:r>
        <w:rPr>
          <w:rFonts w:hint="default" w:ascii="Times New Roman" w:hAnsi="Times New Roman" w:cs="Times New Roman"/>
          <w:sz w:val="21"/>
          <w:szCs w:val="21"/>
        </w:rPr>
        <w:t xml:space="preserve"> triggers a suite of transcriptional and metabolic changes in bread wheat (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Triticum aestivum</w:t>
      </w:r>
      <w:r>
        <w:rPr>
          <w:rFonts w:hint="default" w:ascii="Times New Roman" w:hAnsi="Times New Roman" w:cs="Times New Roman"/>
          <w:sz w:val="21"/>
          <w:szCs w:val="21"/>
        </w:rPr>
        <w:t xml:space="preserve"> L.).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Ann. Bot.</w:t>
      </w:r>
      <w:r>
        <w:rPr>
          <w:rFonts w:hint="default" w:ascii="Times New Roman" w:hAnsi="Times New Roman" w:cs="Times New Roman"/>
          <w:sz w:val="21"/>
          <w:szCs w:val="21"/>
        </w:rPr>
        <w:t xml:space="preserve"> 119, 853–867.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doi: 10.1093/aob/mcw207</w:t>
      </w:r>
      <w:r>
        <w:rPr>
          <w:rFonts w:hint="default" w:ascii="Times New Roman" w:hAnsi="Times New Roman" w:cs="Times New Roman"/>
          <w:sz w:val="21"/>
          <w:szCs w:val="21"/>
        </w:rPr>
        <w:t xml:space="preserve"> </w:t>
      </w:r>
    </w:p>
    <w:p>
      <w:pPr>
        <w:jc w:val="both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</w:rPr>
        <w:t>Desmond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O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t>J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>, Manners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J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t>M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>, Schenk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P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t>M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>, Maclean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t>J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sz w:val="21"/>
          <w:szCs w:val="21"/>
        </w:rPr>
        <w:t>Kazan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K.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sz w:val="21"/>
          <w:szCs w:val="21"/>
        </w:rPr>
        <w:t>2008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sz w:val="21"/>
          <w:szCs w:val="21"/>
        </w:rPr>
        <w:t xml:space="preserve">. Gene expression analysis of the wheat response to infection by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Fusarium pseudograminearum</w:t>
      </w:r>
      <w:r>
        <w:rPr>
          <w:rFonts w:hint="default" w:ascii="Times New Roman" w:hAnsi="Times New Roman" w:cs="Times New Roman"/>
          <w:sz w:val="21"/>
          <w:szCs w:val="21"/>
        </w:rPr>
        <w:t xml:space="preserve">.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Physiol</w:t>
      </w:r>
      <w:r>
        <w:rPr>
          <w:rFonts w:hint="default" w:ascii="Times New Roman" w:hAnsi="Times New Roman" w:cs="Times New Roman"/>
          <w:i/>
          <w:iCs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 xml:space="preserve"> Mol</w:t>
      </w:r>
      <w:r>
        <w:rPr>
          <w:rFonts w:hint="default" w:ascii="Times New Roman" w:hAnsi="Times New Roman" w:cs="Times New Roman"/>
          <w:i/>
          <w:iCs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 xml:space="preserve"> Plant P</w:t>
      </w:r>
      <w:r>
        <w:rPr>
          <w:rFonts w:hint="default" w:ascii="Times New Roman" w:hAnsi="Times New Roman" w:cs="Times New Roman"/>
          <w:i/>
          <w:iCs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 xml:space="preserve"> 73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40–47.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doi: 10.1016/j.pmpp.2008.12.001</w:t>
      </w:r>
    </w:p>
    <w:p>
      <w:pPr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Duan,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S.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Jin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J., Jin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C., Mu,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J.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Zhen, W.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Sun, Q.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et al. (2021).</w:t>
      </w:r>
      <w:r>
        <w:rPr>
          <w:rFonts w:hint="default" w:ascii="Times New Roman" w:hAnsi="Times New Roman" w:cs="Times New Roman"/>
          <w:sz w:val="21"/>
          <w:szCs w:val="21"/>
        </w:rPr>
        <w:t xml:space="preserve"> Integrated transcriptome and metabolite profiling highlights the role of benzoxazinoids in wheat resistance against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Fusarium</w:t>
      </w:r>
      <w:r>
        <w:rPr>
          <w:rFonts w:hint="default" w:ascii="Times New Roman" w:hAnsi="Times New Roman" w:cs="Times New Roman"/>
          <w:sz w:val="21"/>
          <w:szCs w:val="21"/>
        </w:rPr>
        <w:t xml:space="preserve"> crown rot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The Crop Journal</w:t>
      </w:r>
      <w:r>
        <w:rPr>
          <w:rFonts w:hint="default" w:ascii="Times New Roman" w:hAnsi="Times New Roman" w:cs="Times New Roman"/>
          <w:i/>
          <w:i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10, 407-417.</w:t>
      </w:r>
      <w:r>
        <w:rPr>
          <w:rFonts w:hint="default" w:ascii="Times New Roman" w:hAnsi="Times New Roman" w:cs="Times New Roman"/>
          <w:sz w:val="21"/>
          <w:szCs w:val="21"/>
        </w:rPr>
        <w:t xml:space="preserve"> doi: https://doi.org/10.1016/j.cj.2021.06.004 </w:t>
      </w:r>
    </w:p>
    <w:p>
      <w:pPr>
        <w:jc w:val="both"/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Wang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J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, Xu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H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, Liu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H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Y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, Li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M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Kang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Z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S.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2011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. Expression analysis of three wheat resistance-related genes induced by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Blumeria graminis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Chinese Agricultural Science Bulletin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27(12)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48-51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Wang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J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, Xu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F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, Yang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G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Q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 xml:space="preserve"> Song, Y. L., Li, Y. H., and Tian, H. Q.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2015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. Cloning and expression analysis of Stpk-V homologous genes under infection by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Gaeumannomyces graminis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var.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tritici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 xml:space="preserve"> in wheat. </w:t>
      </w:r>
      <w:r>
        <w:rPr>
          <w:rFonts w:hint="default" w:ascii="Times New Roman" w:hAnsi="Times New Roman" w:eastAsia="宋体" w:cs="Times New Roman"/>
          <w:i/>
          <w:iCs/>
          <w:color w:val="auto"/>
          <w:kern w:val="0"/>
          <w:sz w:val="21"/>
          <w:szCs w:val="21"/>
          <w:lang w:val="en-US" w:eastAsia="zh-CN" w:bidi="ar"/>
        </w:rPr>
        <w:t>Acta Phytopathol. Sin.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45(4)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443-448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 doi:10.13926 /j.cnki.apps.2015.04.014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Wang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J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M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Sun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Y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F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Liu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H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Y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Kang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Z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S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, 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and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Xu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H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M. 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(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2009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)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Cloning and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hromosome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m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apping of a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g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ermin-Like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rotein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g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ene in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w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heat and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ts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e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xpression in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r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esponse to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nfection with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w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heat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 xml:space="preserve">owdery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m</w:t>
      </w:r>
      <w:r>
        <w:rPr>
          <w:rFonts w:hint="default" w:ascii="Times New Roman" w:hAnsi="Times New Roman" w:eastAsia="宋体" w:cs="Times New Roman"/>
          <w:color w:val="auto"/>
          <w:kern w:val="0"/>
          <w:sz w:val="21"/>
          <w:szCs w:val="21"/>
          <w:lang w:val="en-US" w:eastAsia="zh-CN" w:bidi="ar"/>
        </w:rPr>
        <w:t>ildew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i/>
          <w:iCs/>
          <w:color w:val="auto"/>
          <w:kern w:val="0"/>
          <w:sz w:val="21"/>
          <w:szCs w:val="21"/>
          <w:lang w:val="en-US" w:eastAsia="zh-CN" w:bidi="ar"/>
        </w:rPr>
        <w:t>Sci</w:t>
      </w:r>
      <w:r>
        <w:rPr>
          <w:rFonts w:hint="default" w:ascii="Times New Roman" w:hAnsi="Times New Roman" w:cs="Times New Roman"/>
          <w:i/>
          <w:iCs/>
          <w:color w:val="auto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i/>
          <w:iCs/>
          <w:color w:val="auto"/>
          <w:kern w:val="0"/>
          <w:sz w:val="21"/>
          <w:szCs w:val="21"/>
          <w:lang w:val="en-US" w:eastAsia="zh-CN" w:bidi="ar"/>
        </w:rPr>
        <w:t xml:space="preserve"> Agric</w:t>
      </w:r>
      <w:r>
        <w:rPr>
          <w:rFonts w:hint="default" w:ascii="Times New Roman" w:hAnsi="Times New Roman" w:cs="Times New Roman"/>
          <w:i/>
          <w:iCs/>
          <w:color w:val="auto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i/>
          <w:iCs/>
          <w:color w:val="auto"/>
          <w:kern w:val="0"/>
          <w:sz w:val="21"/>
          <w:szCs w:val="21"/>
          <w:lang w:val="en-US" w:eastAsia="zh-CN" w:bidi="ar"/>
        </w:rPr>
        <w:t xml:space="preserve"> Sin.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42(9)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3104-3111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doi: 10.3864/j.issn.0578-1752.2009.09.011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Wang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J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M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Xu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F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Song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Y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L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Li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Y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H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, Liu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L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L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, 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and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Han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Z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X. 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(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2017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)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. Cloning of the wheat induced resistance gene </w:t>
      </w:r>
      <w:r>
        <w:rPr>
          <w:rFonts w:hint="default" w:ascii="Times New Roman" w:hAnsi="Times New Roman" w:eastAsia="宋体" w:cs="Times New Roman"/>
          <w:i/>
          <w:iCs/>
          <w:kern w:val="0"/>
          <w:sz w:val="21"/>
          <w:szCs w:val="21"/>
          <w:lang w:val="en-US" w:eastAsia="zh-CN" w:bidi="ar"/>
        </w:rPr>
        <w:t>TaWIR1b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 xml:space="preserve"> and expression analysis. </w:t>
      </w:r>
      <w:r>
        <w:rPr>
          <w:rFonts w:hint="default" w:ascii="Times New Roman" w:hAnsi="Times New Roman" w:eastAsia="宋体" w:cs="Times New Roman"/>
          <w:i/>
          <w:iCs/>
          <w:kern w:val="0"/>
          <w:sz w:val="21"/>
          <w:szCs w:val="21"/>
          <w:lang w:val="en-US" w:eastAsia="zh-CN" w:bidi="ar"/>
        </w:rPr>
        <w:t>Plant Prot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. 43(5)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 w:bidi="ar"/>
        </w:rPr>
        <w:t>150-153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</w:rPr>
        <w:t>. doi: 10. 3969/j.issn.0529-1542.2017.05.025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="宋体" w:cstheme="minorBidi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="宋体" w:cstheme="minorBidi"/>
          <w:kern w:val="0"/>
          <w:sz w:val="28"/>
          <w:szCs w:val="28"/>
          <w:lang w:val="en-US" w:eastAsia="zh-CN" w:bidi="ar"/>
        </w:rPr>
      </w:pPr>
    </w:p>
    <w:p>
      <w:pPr>
        <w:rPr>
          <w:rFonts w:hint="default" w:ascii="Times New Roman" w:hAnsi="Times New Roman" w:eastAsia="宋体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i w:val="0"/>
          <w:iCs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lang w:val="en-US" w:eastAsia="zh-CN" w:bidi="ar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Supplementary Table 2.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Field investigation on wheat (cv. Aikang58) height, root length, fresh weight, dry weight and </w:t>
      </w:r>
      <w:bookmarkStart w:id="0" w:name="OLE_LINK1"/>
      <w:r>
        <w:rPr>
          <w:rFonts w:hint="eastAsia"/>
          <w:b w:val="0"/>
          <w:bCs w:val="0"/>
          <w:sz w:val="24"/>
          <w:szCs w:val="24"/>
          <w:lang w:val="en-US" w:eastAsia="zh-CN"/>
        </w:rPr>
        <w:t>chlorophyll content</w:t>
      </w:r>
      <w:bookmarkEnd w:id="0"/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at Wenxian in 2019.</w:t>
      </w:r>
    </w:p>
    <w:tbl>
      <w:tblPr>
        <w:tblStyle w:val="23"/>
        <w:tblW w:w="10882" w:type="dxa"/>
        <w:tblInd w:w="-747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975"/>
        <w:gridCol w:w="989"/>
        <w:gridCol w:w="1159"/>
        <w:gridCol w:w="1268"/>
        <w:gridCol w:w="934"/>
        <w:gridCol w:w="877"/>
        <w:gridCol w:w="889"/>
        <w:gridCol w:w="1050"/>
        <w:gridCol w:w="955"/>
        <w:gridCol w:w="9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18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Treat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ment</w:t>
            </w:r>
          </w:p>
        </w:tc>
        <w:tc>
          <w:tcPr>
            <w:tcW w:w="4391" w:type="dxa"/>
            <w:gridSpan w:val="4"/>
            <w:tcBorders>
              <w:bottom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Feekes 3</w:t>
            </w:r>
          </w:p>
        </w:tc>
        <w:tc>
          <w:tcPr>
            <w:tcW w:w="3750" w:type="dxa"/>
            <w:gridSpan w:val="4"/>
            <w:tcBorders>
              <w:bottom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Feekes 7</w:t>
            </w:r>
          </w:p>
        </w:tc>
        <w:tc>
          <w:tcPr>
            <w:tcW w:w="1923" w:type="dxa"/>
            <w:gridSpan w:val="2"/>
            <w:tcBorders>
              <w:bottom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Chlorophyll content at Feekes 7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(SPAD)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18" w:type="dxa"/>
            <w:vMerge w:val="continue"/>
            <w:tcBorders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75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Plant height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(cm)</w:t>
            </w:r>
          </w:p>
        </w:tc>
        <w:tc>
          <w:tcPr>
            <w:tcW w:w="989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Root length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(cm)</w:t>
            </w:r>
          </w:p>
        </w:tc>
        <w:tc>
          <w:tcPr>
            <w:tcW w:w="1159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Fresh weight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(g)</w:t>
            </w:r>
          </w:p>
        </w:tc>
        <w:tc>
          <w:tcPr>
            <w:tcW w:w="1268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Dry weight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(g)</w:t>
            </w:r>
          </w:p>
        </w:tc>
        <w:tc>
          <w:tcPr>
            <w:tcW w:w="934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Plant height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(cm)</w:t>
            </w:r>
          </w:p>
        </w:tc>
        <w:tc>
          <w:tcPr>
            <w:tcW w:w="877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Root length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(cm)</w:t>
            </w:r>
          </w:p>
        </w:tc>
        <w:tc>
          <w:tcPr>
            <w:tcW w:w="889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Fresh weight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(g)</w:t>
            </w:r>
          </w:p>
        </w:tc>
        <w:tc>
          <w:tcPr>
            <w:tcW w:w="1050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Dry weight</w:t>
            </w: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(g)</w:t>
            </w:r>
          </w:p>
        </w:tc>
        <w:tc>
          <w:tcPr>
            <w:tcW w:w="955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Flag leaf</w:t>
            </w:r>
          </w:p>
        </w:tc>
        <w:tc>
          <w:tcPr>
            <w:tcW w:w="968" w:type="dxa"/>
            <w:tcBorders>
              <w:top w:val="single" w:color="auto" w:sz="8" w:space="0"/>
              <w:bottom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Top second leaf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18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Dif</w:t>
            </w:r>
          </w:p>
        </w:tc>
        <w:tc>
          <w:tcPr>
            <w:tcW w:w="975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±0.6 a</w:t>
            </w:r>
          </w:p>
        </w:tc>
        <w:tc>
          <w:tcPr>
            <w:tcW w:w="989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1159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0.44±0.03 a</w:t>
            </w:r>
          </w:p>
        </w:tc>
        <w:tc>
          <w:tcPr>
            <w:tcW w:w="1268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0.081±0.004 a</w:t>
            </w:r>
          </w:p>
        </w:tc>
        <w:tc>
          <w:tcPr>
            <w:tcW w:w="934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±1.5 a</w:t>
            </w:r>
          </w:p>
        </w:tc>
        <w:tc>
          <w:tcPr>
            <w:tcW w:w="877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6.6±0.4 b</w:t>
            </w:r>
          </w:p>
        </w:tc>
        <w:tc>
          <w:tcPr>
            <w:tcW w:w="889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5.9±0.4 a</w:t>
            </w:r>
          </w:p>
        </w:tc>
        <w:tc>
          <w:tcPr>
            <w:tcW w:w="1050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±0.31 a</w:t>
            </w:r>
          </w:p>
        </w:tc>
        <w:tc>
          <w:tcPr>
            <w:tcW w:w="955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38.9±1.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b</w:t>
            </w:r>
          </w:p>
        </w:tc>
        <w:tc>
          <w:tcPr>
            <w:tcW w:w="968" w:type="dxa"/>
            <w:tcBorders>
              <w:top w:val="single" w:color="auto" w:sz="12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51.4±1.6 b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1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Cg</w:t>
            </w:r>
          </w:p>
        </w:tc>
        <w:tc>
          <w:tcPr>
            <w:tcW w:w="975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14.4±0.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98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115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0.47±0.04 a</w:t>
            </w:r>
          </w:p>
        </w:tc>
        <w:tc>
          <w:tcPr>
            <w:tcW w:w="126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0.081±0.002 a</w:t>
            </w:r>
          </w:p>
        </w:tc>
        <w:tc>
          <w:tcPr>
            <w:tcW w:w="93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52.1±1.7 a</w:t>
            </w:r>
          </w:p>
        </w:tc>
        <w:tc>
          <w:tcPr>
            <w:tcW w:w="87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±0.2 a</w:t>
            </w:r>
          </w:p>
        </w:tc>
        <w:tc>
          <w:tcPr>
            <w:tcW w:w="88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2.55±0.1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955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51.5±0.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56.2±0.3 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1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</w:t>
            </w:r>
          </w:p>
        </w:tc>
        <w:tc>
          <w:tcPr>
            <w:tcW w:w="975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±0.6 a</w:t>
            </w:r>
          </w:p>
        </w:tc>
        <w:tc>
          <w:tcPr>
            <w:tcW w:w="98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115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±0.01 a</w:t>
            </w:r>
          </w:p>
        </w:tc>
        <w:tc>
          <w:tcPr>
            <w:tcW w:w="126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0.082±0.005 a</w:t>
            </w:r>
          </w:p>
        </w:tc>
        <w:tc>
          <w:tcPr>
            <w:tcW w:w="934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±2.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</w:t>
            </w:r>
          </w:p>
        </w:tc>
        <w:tc>
          <w:tcPr>
            <w:tcW w:w="87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b</w:t>
            </w:r>
          </w:p>
        </w:tc>
        <w:tc>
          <w:tcPr>
            <w:tcW w:w="889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5.7±0.6 a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±0.13 a</w:t>
            </w:r>
          </w:p>
        </w:tc>
        <w:tc>
          <w:tcPr>
            <w:tcW w:w="955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43.2±3.5 b</w:t>
            </w:r>
          </w:p>
        </w:tc>
        <w:tc>
          <w:tcPr>
            <w:tcW w:w="968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±1.0 a</w:t>
            </w:r>
          </w:p>
        </w:tc>
      </w:tr>
    </w:tbl>
    <w:p>
      <w:pPr>
        <w:pStyle w:val="2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Dif, treatment with difenoconazole seed coating agent (Syngenta) at the dosage of 300g per 100kg seeds; Cg, treatment with wheat seeds coated with the ascospore of 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C. globosum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12XP1-2-3; Con, control group without seed coating. Data were presented as mean with their standard error (SE) and analyzed using one-way factorial analysis of variance (ANOVA) and Duncan multiple range test (</w:t>
      </w:r>
      <w:r>
        <w:rPr>
          <w:rFonts w:hint="eastAsia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&lt;0.05). </w:t>
      </w:r>
      <w:r>
        <w:t>Lower case letters (“a”</w:t>
      </w:r>
      <w:r>
        <w:rPr>
          <w:rFonts w:hint="eastAsia" w:eastAsia="宋体"/>
          <w:lang w:val="en-US" w:eastAsia="zh-CN"/>
        </w:rPr>
        <w:t xml:space="preserve"> and</w:t>
      </w:r>
      <w:r>
        <w:t xml:space="preserve"> “b”) indicate differences of the same index among three treatments</w:t>
      </w:r>
      <w:r>
        <w:rPr>
          <w:rFonts w:hint="eastAsia" w:eastAsia="宋体"/>
          <w:lang w:val="en-US" w:eastAsia="zh-CN"/>
        </w:rPr>
        <w:t>,</w:t>
      </w:r>
      <w:r>
        <w:t xml:space="preserve"> and the same letters mean that they are not significantly different at </w:t>
      </w:r>
      <w:r>
        <w:rPr>
          <w:i/>
          <w:iCs/>
        </w:rPr>
        <w:t>p</w:t>
      </w:r>
      <w:r>
        <w:t>&lt;0.05.</w:t>
      </w:r>
    </w:p>
    <w:p>
      <w:pPr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Supplementary </w:t>
      </w:r>
      <w:r>
        <w:rPr>
          <w:b/>
          <w:sz w:val="24"/>
          <w:szCs w:val="24"/>
        </w:rPr>
        <w:t xml:space="preserve">Table </w:t>
      </w:r>
      <w:r>
        <w:rPr>
          <w:rFonts w:hint="eastAsia"/>
          <w:b/>
          <w:sz w:val="24"/>
          <w:szCs w:val="24"/>
          <w:lang w:val="en-US" w:eastAsia="zh-CN"/>
        </w:rPr>
        <w:t>3.</w:t>
      </w:r>
      <w:r>
        <w:rPr>
          <w:sz w:val="24"/>
          <w:szCs w:val="24"/>
        </w:rPr>
        <w:t xml:space="preserve"> The characteristics of </w:t>
      </w:r>
      <w:r>
        <w:rPr>
          <w:rFonts w:hint="eastAsia"/>
          <w:sz w:val="24"/>
          <w:szCs w:val="24"/>
          <w:lang w:val="en-US" w:eastAsia="zh-CN"/>
        </w:rPr>
        <w:t>co-occurr</w:t>
      </w:r>
      <w:bookmarkStart w:id="1" w:name="_GoBack"/>
      <w:bookmarkEnd w:id="1"/>
      <w:r>
        <w:rPr>
          <w:rFonts w:hint="eastAsia"/>
          <w:sz w:val="24"/>
          <w:szCs w:val="24"/>
          <w:lang w:val="en-US" w:eastAsia="zh-CN"/>
        </w:rPr>
        <w:t>ence</w:t>
      </w:r>
      <w:r>
        <w:rPr>
          <w:sz w:val="24"/>
          <w:szCs w:val="24"/>
        </w:rPr>
        <w:t xml:space="preserve"> networks.</w:t>
      </w:r>
    </w:p>
    <w:tbl>
      <w:tblPr>
        <w:tblStyle w:val="24"/>
        <w:tblpPr w:leftFromText="180" w:rightFromText="180" w:vertAnchor="text" w:horzAnchor="page" w:tblpX="588" w:tblpY="46"/>
        <w:tblOverlap w:val="never"/>
        <w:tblW w:w="11127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845"/>
        <w:gridCol w:w="787"/>
        <w:gridCol w:w="1041"/>
        <w:gridCol w:w="1091"/>
        <w:gridCol w:w="1200"/>
        <w:gridCol w:w="1295"/>
        <w:gridCol w:w="886"/>
        <w:gridCol w:w="1364"/>
        <w:gridCol w:w="107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1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Networks</w:t>
            </w:r>
          </w:p>
        </w:tc>
        <w:tc>
          <w:tcPr>
            <w:tcW w:w="845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No. Nodes</w:t>
            </w:r>
          </w:p>
        </w:tc>
        <w:tc>
          <w:tcPr>
            <w:tcW w:w="787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edges</w:t>
            </w:r>
          </w:p>
        </w:tc>
        <w:tc>
          <w:tcPr>
            <w:tcW w:w="1041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Positive edges</w:t>
            </w:r>
          </w:p>
        </w:tc>
        <w:tc>
          <w:tcPr>
            <w:tcW w:w="1091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Negative edges</w:t>
            </w:r>
          </w:p>
        </w:tc>
        <w:tc>
          <w:tcPr>
            <w:tcW w:w="1200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Negative edge rates (%)</w:t>
            </w:r>
          </w:p>
        </w:tc>
        <w:tc>
          <w:tcPr>
            <w:tcW w:w="1295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Clustering coefficient</w:t>
            </w:r>
          </w:p>
        </w:tc>
        <w:tc>
          <w:tcPr>
            <w:tcW w:w="886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Avg. degree</w:t>
            </w:r>
          </w:p>
        </w:tc>
        <w:tc>
          <w:tcPr>
            <w:tcW w:w="1364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Modularity</w:t>
            </w:r>
          </w:p>
        </w:tc>
        <w:tc>
          <w:tcPr>
            <w:tcW w:w="1077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Network density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541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Cg-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Bacteria</w:t>
            </w:r>
          </w:p>
        </w:tc>
        <w:tc>
          <w:tcPr>
            <w:tcW w:w="845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190</w:t>
            </w:r>
          </w:p>
        </w:tc>
        <w:tc>
          <w:tcPr>
            <w:tcW w:w="787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1538</w:t>
            </w:r>
          </w:p>
        </w:tc>
        <w:tc>
          <w:tcPr>
            <w:tcW w:w="1041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950</w:t>
            </w:r>
          </w:p>
        </w:tc>
        <w:tc>
          <w:tcPr>
            <w:tcW w:w="1091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588</w:t>
            </w:r>
          </w:p>
        </w:tc>
        <w:tc>
          <w:tcPr>
            <w:tcW w:w="1200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38.2</w:t>
            </w:r>
          </w:p>
        </w:tc>
        <w:tc>
          <w:tcPr>
            <w:tcW w:w="1295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0.505</w:t>
            </w:r>
          </w:p>
        </w:tc>
        <w:tc>
          <w:tcPr>
            <w:tcW w:w="886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16.189</w:t>
            </w:r>
          </w:p>
        </w:tc>
        <w:tc>
          <w:tcPr>
            <w:tcW w:w="1364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0.375</w:t>
            </w:r>
          </w:p>
        </w:tc>
        <w:tc>
          <w:tcPr>
            <w:tcW w:w="1077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0.086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Con-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Bacteria</w:t>
            </w:r>
          </w:p>
        </w:tc>
        <w:tc>
          <w:tcPr>
            <w:tcW w:w="8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193</w:t>
            </w:r>
          </w:p>
        </w:tc>
        <w:tc>
          <w:tcPr>
            <w:tcW w:w="78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1215</w:t>
            </w:r>
          </w:p>
        </w:tc>
        <w:tc>
          <w:tcPr>
            <w:tcW w:w="10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835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380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31.3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0.47</w:t>
            </w:r>
          </w:p>
        </w:tc>
        <w:tc>
          <w:tcPr>
            <w:tcW w:w="8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12.591</w:t>
            </w:r>
          </w:p>
        </w:tc>
        <w:tc>
          <w:tcPr>
            <w:tcW w:w="13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0.52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0.066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5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Cg-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Fung</w:t>
            </w:r>
            <w:r>
              <w:rPr>
                <w:rFonts w:hint="eastAsia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8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53</w:t>
            </w:r>
          </w:p>
        </w:tc>
        <w:tc>
          <w:tcPr>
            <w:tcW w:w="78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164</w:t>
            </w:r>
          </w:p>
        </w:tc>
        <w:tc>
          <w:tcPr>
            <w:tcW w:w="10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119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27.4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0.499</w:t>
            </w:r>
          </w:p>
        </w:tc>
        <w:tc>
          <w:tcPr>
            <w:tcW w:w="8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6.189</w:t>
            </w:r>
          </w:p>
        </w:tc>
        <w:tc>
          <w:tcPr>
            <w:tcW w:w="13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0.396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0.119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Con-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Fung</w:t>
            </w:r>
            <w:r>
              <w:rPr>
                <w:rFonts w:hint="eastAsia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8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62</w:t>
            </w:r>
          </w:p>
        </w:tc>
        <w:tc>
          <w:tcPr>
            <w:tcW w:w="78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228</w:t>
            </w:r>
          </w:p>
        </w:tc>
        <w:tc>
          <w:tcPr>
            <w:tcW w:w="10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139</w:t>
            </w:r>
          </w:p>
        </w:tc>
        <w:tc>
          <w:tcPr>
            <w:tcW w:w="109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89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39.0</w:t>
            </w:r>
          </w:p>
        </w:tc>
        <w:tc>
          <w:tcPr>
            <w:tcW w:w="12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0.595</w:t>
            </w:r>
          </w:p>
        </w:tc>
        <w:tc>
          <w:tcPr>
            <w:tcW w:w="8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7.355</w:t>
            </w:r>
          </w:p>
        </w:tc>
        <w:tc>
          <w:tcPr>
            <w:tcW w:w="13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0.421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/>
              </w:rPr>
              <w:t>0.121</w:t>
            </w:r>
          </w:p>
        </w:tc>
      </w:tr>
    </w:tbl>
    <w:p>
      <w:pPr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Cg-Bacteria, bacterial co-occurrence network for the </w:t>
      </w:r>
      <w:r>
        <w:rPr>
          <w:rFonts w:hint="default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 w:eastAsia="zh-CN"/>
        </w:rPr>
        <w:t>Cg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 treatment; Con-Bacteria, bacterial co-occurrence network for the control; Cg-Fungi, fungal co-occurrence network for the </w:t>
      </w:r>
      <w:r>
        <w:rPr>
          <w:rFonts w:hint="default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 w:eastAsia="zh-CN"/>
        </w:rPr>
        <w:t>Cg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 treatment; Con-Fungi, fungal co-occurrence network for the control. </w:t>
      </w:r>
    </w:p>
    <w:p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  <w:r>
        <w:rPr>
          <w:rFonts w:hint="eastAsia"/>
          <w:b/>
          <w:bCs/>
          <w:sz w:val="24"/>
          <w:szCs w:val="24"/>
          <w:lang w:val="en-US" w:eastAsia="zh-CN"/>
        </w:rPr>
        <w:t>Supplementary Table 4.</w:t>
      </w:r>
      <w:r>
        <w:rPr>
          <w:rFonts w:hint="eastAsia"/>
          <w:sz w:val="24"/>
          <w:szCs w:val="24"/>
          <w:lang w:val="en-US" w:eastAsia="zh-CN"/>
        </w:rPr>
        <w:t xml:space="preserve"> The taxonomic composition of bacterial phylum and fungal class in </w:t>
      </w:r>
      <w:r>
        <w:rPr>
          <w:rFonts w:hint="default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 w:eastAsia="zh-CN"/>
        </w:rPr>
        <w:t>Cg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 and </w:t>
      </w:r>
      <w:r>
        <w:rPr>
          <w:rFonts w:hint="default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 w:eastAsia="zh-CN"/>
        </w:rPr>
        <w:t>Con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 networks.</w:t>
      </w:r>
    </w:p>
    <w:tbl>
      <w:tblPr>
        <w:tblStyle w:val="24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6"/>
        <w:gridCol w:w="1309"/>
        <w:gridCol w:w="1299"/>
        <w:gridCol w:w="2203"/>
        <w:gridCol w:w="1420"/>
        <w:gridCol w:w="142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Bacterial phylum</w:t>
            </w:r>
          </w:p>
        </w:tc>
        <w:tc>
          <w:tcPr>
            <w:tcW w:w="2608" w:type="dxa"/>
            <w:gridSpan w:val="2"/>
            <w:tcBorders>
              <w:bottom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Proportion (%) </w:t>
            </w:r>
          </w:p>
        </w:tc>
        <w:tc>
          <w:tcPr>
            <w:tcW w:w="1420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Fungal class</w:t>
            </w:r>
          </w:p>
        </w:tc>
        <w:tc>
          <w:tcPr>
            <w:tcW w:w="2840" w:type="dxa"/>
            <w:gridSpan w:val="2"/>
            <w:tcBorders>
              <w:bottom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Proportion (%)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vMerge w:val="continue"/>
            <w:tcBorders>
              <w:bottom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  <w:tcBorders>
              <w:top w:val="single" w:color="auto" w:sz="8" w:space="0"/>
              <w:bottom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Cg</w:t>
            </w:r>
          </w:p>
        </w:tc>
        <w:tc>
          <w:tcPr>
            <w:tcW w:w="1299" w:type="dxa"/>
            <w:tcBorders>
              <w:top w:val="single" w:color="auto" w:sz="8" w:space="0"/>
              <w:bottom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Con</w:t>
            </w:r>
          </w:p>
        </w:tc>
        <w:tc>
          <w:tcPr>
            <w:tcW w:w="1420" w:type="dxa"/>
            <w:vMerge w:val="continue"/>
            <w:tcBorders>
              <w:bottom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single" w:color="auto" w:sz="8" w:space="0"/>
              <w:bottom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Cg</w:t>
            </w:r>
          </w:p>
        </w:tc>
        <w:tc>
          <w:tcPr>
            <w:tcW w:w="1420" w:type="dxa"/>
            <w:tcBorders>
              <w:top w:val="single" w:color="auto" w:sz="8" w:space="0"/>
              <w:bottom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Con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Proteobacteria</w:t>
            </w:r>
          </w:p>
        </w:tc>
        <w:tc>
          <w:tcPr>
            <w:tcW w:w="1309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41</w:t>
            </w:r>
          </w:p>
        </w:tc>
        <w:tc>
          <w:tcPr>
            <w:tcW w:w="1299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41.06</w:t>
            </w:r>
          </w:p>
        </w:tc>
        <w:tc>
          <w:tcPr>
            <w:tcW w:w="1420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Sordariomycetes</w:t>
            </w:r>
          </w:p>
        </w:tc>
        <w:tc>
          <w:tcPr>
            <w:tcW w:w="1420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27.12</w:t>
            </w:r>
          </w:p>
        </w:tc>
        <w:tc>
          <w:tcPr>
            <w:tcW w:w="1420" w:type="dxa"/>
            <w:tcBorders>
              <w:top w:val="single" w:color="auto" w:sz="12" w:space="0"/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25.76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Actinobacteriota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21.74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Agaricomycetes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18.64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21.21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Bacteroidota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16.5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17.87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Dothideomycetes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16.95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10.61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Acidobacteriota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3.5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3.38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Tremellomycetes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6.78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9.09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Gemmatimonadota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3.5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3.38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Chytridiomycetes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6.78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7.58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Myxococcota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3.38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Unidentified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6.78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6.06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Firmicutes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2.42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Mortierellomycotina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5.08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4.55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Other</w:t>
            </w:r>
          </w:p>
        </w:tc>
        <w:tc>
          <w:tcPr>
            <w:tcW w:w="130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6.77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Other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11.87</w:t>
            </w:r>
          </w:p>
        </w:tc>
        <w:tc>
          <w:tcPr>
            <w:tcW w:w="142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15.14</w:t>
            </w:r>
          </w:p>
        </w:tc>
      </w:tr>
    </w:tbl>
    <w:p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Cg, networks of the </w:t>
      </w:r>
      <w:r>
        <w:rPr>
          <w:rFonts w:hint="default"/>
          <w:sz w:val="24"/>
          <w:szCs w:val="24"/>
          <w:lang w:val="en-US" w:eastAsia="zh-CN"/>
        </w:rPr>
        <w:t>‘</w:t>
      </w:r>
      <w:r>
        <w:rPr>
          <w:rFonts w:hint="eastAsia"/>
          <w:sz w:val="24"/>
          <w:szCs w:val="24"/>
          <w:lang w:val="en-US" w:eastAsia="zh-CN"/>
        </w:rPr>
        <w:t>Cg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 treatment; Con, networks of the control.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keepNext/>
        <w:rPr>
          <w:rFonts w:cs="Times New Roman"/>
          <w:sz w:val="24"/>
          <w:szCs w:val="24"/>
        </w:rPr>
      </w:pPr>
    </w:p>
    <w:p>
      <w:pPr>
        <w:spacing w:before="240"/>
        <w:rPr>
          <w:sz w:val="24"/>
          <w:szCs w:val="24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-ItalicM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5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7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8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9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10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6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4ODRlZmMwM2JiOWJiMDJmMzkyMWMxODRkYmY0MDY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22050EE"/>
    <w:rsid w:val="08550AB7"/>
    <w:rsid w:val="09F5317D"/>
    <w:rsid w:val="0DB80829"/>
    <w:rsid w:val="120F1F59"/>
    <w:rsid w:val="13952EB3"/>
    <w:rsid w:val="15CC62A1"/>
    <w:rsid w:val="214473ED"/>
    <w:rsid w:val="29AA7A75"/>
    <w:rsid w:val="29F25DE8"/>
    <w:rsid w:val="2BFB3191"/>
    <w:rsid w:val="2CCD743C"/>
    <w:rsid w:val="2CE72129"/>
    <w:rsid w:val="3072025E"/>
    <w:rsid w:val="338C3FB1"/>
    <w:rsid w:val="33E12879"/>
    <w:rsid w:val="35BC6A56"/>
    <w:rsid w:val="35CB010E"/>
    <w:rsid w:val="3668063A"/>
    <w:rsid w:val="371C6C8F"/>
    <w:rsid w:val="38675C51"/>
    <w:rsid w:val="398E4FE2"/>
    <w:rsid w:val="3B366541"/>
    <w:rsid w:val="42285201"/>
    <w:rsid w:val="43DD1D6C"/>
    <w:rsid w:val="43EB2F6A"/>
    <w:rsid w:val="4684113D"/>
    <w:rsid w:val="469F45FA"/>
    <w:rsid w:val="47A0687C"/>
    <w:rsid w:val="48A6653E"/>
    <w:rsid w:val="4B4C3099"/>
    <w:rsid w:val="4B670046"/>
    <w:rsid w:val="4E375A60"/>
    <w:rsid w:val="50E41EBD"/>
    <w:rsid w:val="547B3759"/>
    <w:rsid w:val="590A624B"/>
    <w:rsid w:val="5BF06545"/>
    <w:rsid w:val="60173C3F"/>
    <w:rsid w:val="61706E67"/>
    <w:rsid w:val="642601DE"/>
    <w:rsid w:val="67B31BB7"/>
    <w:rsid w:val="694123B0"/>
    <w:rsid w:val="6A1A3E14"/>
    <w:rsid w:val="6B040840"/>
    <w:rsid w:val="713035C5"/>
    <w:rsid w:val="729C3F60"/>
    <w:rsid w:val="7956298E"/>
    <w:rsid w:val="7E8256C7"/>
    <w:rsid w:val="7EF9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5">
    <w:name w:val="heading 1"/>
    <w:basedOn w:val="6"/>
    <w:next w:val="1"/>
    <w:link w:val="34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7">
    <w:name w:val="heading 2"/>
    <w:basedOn w:val="5"/>
    <w:next w:val="1"/>
    <w:link w:val="35"/>
    <w:qFormat/>
    <w:uiPriority w:val="2"/>
    <w:pPr>
      <w:numPr>
        <w:ilvl w:val="1"/>
      </w:numPr>
      <w:spacing w:after="200"/>
      <w:outlineLvl w:val="1"/>
    </w:pPr>
  </w:style>
  <w:style w:type="paragraph" w:styleId="8">
    <w:name w:val="heading 3"/>
    <w:basedOn w:val="1"/>
    <w:next w:val="1"/>
    <w:link w:val="48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9">
    <w:name w:val="heading 4"/>
    <w:basedOn w:val="8"/>
    <w:next w:val="1"/>
    <w:link w:val="49"/>
    <w:qFormat/>
    <w:uiPriority w:val="2"/>
    <w:pPr>
      <w:numPr>
        <w:ilvl w:val="3"/>
      </w:numPr>
      <w:outlineLvl w:val="3"/>
    </w:pPr>
    <w:rPr>
      <w:iCs/>
    </w:rPr>
  </w:style>
  <w:style w:type="paragraph" w:styleId="10">
    <w:name w:val="heading 5"/>
    <w:basedOn w:val="9"/>
    <w:next w:val="1"/>
    <w:link w:val="50"/>
    <w:qFormat/>
    <w:uiPriority w:val="2"/>
    <w:pPr>
      <w:numPr>
        <w:ilvl w:val="4"/>
      </w:numPr>
      <w:outlineLvl w:val="4"/>
    </w:p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3">
    <w:name w:val="Body Text"/>
    <w:basedOn w:val="1"/>
    <w:next w:val="4"/>
    <w:qFormat/>
    <w:uiPriority w:val="0"/>
    <w:pPr>
      <w:spacing w:before="40" w:after="40"/>
    </w:pPr>
    <w:rPr>
      <w:b/>
    </w:rPr>
  </w:style>
  <w:style w:type="paragraph" w:styleId="4">
    <w:name w:val="Body Text 2"/>
    <w:basedOn w:val="1"/>
    <w:unhideWhenUsed/>
    <w:qFormat/>
    <w:uiPriority w:val="99"/>
    <w:pPr>
      <w:spacing w:after="120" w:line="480" w:lineRule="auto"/>
    </w:pPr>
    <w:rPr>
      <w:rFonts w:eastAsia="宋体"/>
      <w:sz w:val="21"/>
      <w:szCs w:val="24"/>
    </w:rPr>
  </w:style>
  <w:style w:type="paragraph" w:styleId="6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11">
    <w:name w:val="caption"/>
    <w:basedOn w:val="1"/>
    <w:next w:val="12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12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3">
    <w:name w:val="annotation text"/>
    <w:basedOn w:val="1"/>
    <w:link w:val="40"/>
    <w:semiHidden/>
    <w:unhideWhenUsed/>
    <w:qFormat/>
    <w:uiPriority w:val="99"/>
    <w:rPr>
      <w:sz w:val="20"/>
      <w:szCs w:val="20"/>
    </w:rPr>
  </w:style>
  <w:style w:type="paragraph" w:styleId="14">
    <w:name w:val="endnote text"/>
    <w:basedOn w:val="1"/>
    <w:link w:val="42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5">
    <w:name w:val="Balloon Text"/>
    <w:basedOn w:val="1"/>
    <w:link w:val="38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6">
    <w:name w:val="footer"/>
    <w:basedOn w:val="1"/>
    <w:link w:val="43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7">
    <w:name w:val="header"/>
    <w:basedOn w:val="1"/>
    <w:link w:val="45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8">
    <w:name w:val="Subtitle"/>
    <w:basedOn w:val="1"/>
    <w:next w:val="1"/>
    <w:link w:val="36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9">
    <w:name w:val="footnote text"/>
    <w:basedOn w:val="1"/>
    <w:link w:val="44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Title"/>
    <w:basedOn w:val="1"/>
    <w:next w:val="1"/>
    <w:link w:val="54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22">
    <w:name w:val="annotation subject"/>
    <w:basedOn w:val="13"/>
    <w:next w:val="13"/>
    <w:link w:val="41"/>
    <w:semiHidden/>
    <w:unhideWhenUsed/>
    <w:qFormat/>
    <w:uiPriority w:val="99"/>
    <w:rPr>
      <w:b/>
      <w:bCs/>
    </w:rPr>
  </w:style>
  <w:style w:type="table" w:styleId="24">
    <w:name w:val="Table Grid"/>
    <w:basedOn w:val="23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rFonts w:ascii="Times New Roman" w:hAnsi="Times New Roman"/>
      <w:b/>
      <w:bCs/>
    </w:rPr>
  </w:style>
  <w:style w:type="character" w:styleId="27">
    <w:name w:val="endnote reference"/>
    <w:basedOn w:val="25"/>
    <w:semiHidden/>
    <w:unhideWhenUsed/>
    <w:qFormat/>
    <w:uiPriority w:val="99"/>
    <w:rPr>
      <w:vertAlign w:val="superscript"/>
    </w:rPr>
  </w:style>
  <w:style w:type="character" w:styleId="28">
    <w:name w:val="FollowedHyperlink"/>
    <w:basedOn w:val="2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9">
    <w:name w:val="Emphasis"/>
    <w:basedOn w:val="25"/>
    <w:qFormat/>
    <w:uiPriority w:val="20"/>
    <w:rPr>
      <w:rFonts w:ascii="Times New Roman" w:hAnsi="Times New Roman"/>
      <w:i/>
      <w:iCs/>
    </w:rPr>
  </w:style>
  <w:style w:type="character" w:styleId="30">
    <w:name w:val="line number"/>
    <w:basedOn w:val="25"/>
    <w:semiHidden/>
    <w:unhideWhenUsed/>
    <w:qFormat/>
    <w:uiPriority w:val="99"/>
  </w:style>
  <w:style w:type="character" w:styleId="31">
    <w:name w:val="Hyperlink"/>
    <w:basedOn w:val="25"/>
    <w:unhideWhenUsed/>
    <w:qFormat/>
    <w:uiPriority w:val="99"/>
    <w:rPr>
      <w:color w:val="0000FF"/>
      <w:u w:val="single"/>
    </w:rPr>
  </w:style>
  <w:style w:type="character" w:styleId="32">
    <w:name w:val="annotation reference"/>
    <w:basedOn w:val="25"/>
    <w:semiHidden/>
    <w:unhideWhenUsed/>
    <w:qFormat/>
    <w:uiPriority w:val="99"/>
    <w:rPr>
      <w:sz w:val="16"/>
      <w:szCs w:val="16"/>
    </w:rPr>
  </w:style>
  <w:style w:type="character" w:styleId="33">
    <w:name w:val="footnote reference"/>
    <w:basedOn w:val="25"/>
    <w:semiHidden/>
    <w:unhideWhenUsed/>
    <w:qFormat/>
    <w:uiPriority w:val="99"/>
    <w:rPr>
      <w:vertAlign w:val="superscript"/>
    </w:rPr>
  </w:style>
  <w:style w:type="character" w:customStyle="1" w:styleId="34">
    <w:name w:val="Heading 1 Char"/>
    <w:basedOn w:val="25"/>
    <w:link w:val="5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5">
    <w:name w:val="Heading 2 Char"/>
    <w:basedOn w:val="25"/>
    <w:link w:val="7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6">
    <w:name w:val="Subtitle Char"/>
    <w:basedOn w:val="25"/>
    <w:link w:val="18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7">
    <w:name w:val="Author List"/>
    <w:basedOn w:val="18"/>
    <w:next w:val="1"/>
    <w:qFormat/>
    <w:uiPriority w:val="1"/>
  </w:style>
  <w:style w:type="character" w:customStyle="1" w:styleId="38">
    <w:name w:val="Balloon Text Char"/>
    <w:basedOn w:val="25"/>
    <w:link w:val="1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9">
    <w:name w:val="Book Title"/>
    <w:basedOn w:val="25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40">
    <w:name w:val="Comment Text Char"/>
    <w:basedOn w:val="25"/>
    <w:link w:val="13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1">
    <w:name w:val="Comment Subject Char"/>
    <w:basedOn w:val="40"/>
    <w:link w:val="22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42">
    <w:name w:val="Endnote Text Char"/>
    <w:basedOn w:val="25"/>
    <w:link w:val="14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3">
    <w:name w:val="Footer Char"/>
    <w:basedOn w:val="25"/>
    <w:link w:val="16"/>
    <w:qFormat/>
    <w:uiPriority w:val="99"/>
    <w:rPr>
      <w:rFonts w:ascii="Times New Roman" w:hAnsi="Times New Roman"/>
      <w:sz w:val="24"/>
    </w:rPr>
  </w:style>
  <w:style w:type="character" w:customStyle="1" w:styleId="44">
    <w:name w:val="Footnote Text Char"/>
    <w:basedOn w:val="25"/>
    <w:link w:val="19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5">
    <w:name w:val="Header Char"/>
    <w:basedOn w:val="25"/>
    <w:link w:val="17"/>
    <w:qFormat/>
    <w:uiPriority w:val="99"/>
    <w:rPr>
      <w:rFonts w:ascii="Times New Roman" w:hAnsi="Times New Roman"/>
      <w:b/>
      <w:sz w:val="24"/>
    </w:rPr>
  </w:style>
  <w:style w:type="character" w:customStyle="1" w:styleId="46">
    <w:name w:val="Intense Emphasis"/>
    <w:basedOn w:val="25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7">
    <w:name w:val="Intense Reference"/>
    <w:basedOn w:val="25"/>
    <w:qFormat/>
    <w:uiPriority w:val="32"/>
    <w:rPr>
      <w:b/>
      <w:bCs/>
      <w:smallCaps/>
      <w:color w:val="auto"/>
      <w:spacing w:val="5"/>
    </w:rPr>
  </w:style>
  <w:style w:type="character" w:customStyle="1" w:styleId="48">
    <w:name w:val="Heading 3 Char"/>
    <w:basedOn w:val="25"/>
    <w:link w:val="8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9">
    <w:name w:val="Heading 4 Char"/>
    <w:basedOn w:val="25"/>
    <w:link w:val="9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50">
    <w:name w:val="Heading 5 Char"/>
    <w:basedOn w:val="25"/>
    <w:link w:val="10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51">
    <w:name w:val="Quote"/>
    <w:basedOn w:val="1"/>
    <w:next w:val="1"/>
    <w:link w:val="52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2">
    <w:name w:val="Quote Char"/>
    <w:basedOn w:val="25"/>
    <w:link w:val="51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3">
    <w:name w:val="Subtle Emphasis"/>
    <w:basedOn w:val="25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4">
    <w:name w:val="Title Char"/>
    <w:basedOn w:val="25"/>
    <w:link w:val="21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5">
    <w:name w:val="Supplementary Material"/>
    <w:basedOn w:val="21"/>
    <w:next w:val="21"/>
    <w:qFormat/>
    <w:uiPriority w:val="0"/>
    <w:pPr>
      <w:spacing w:after="120"/>
    </w:pPr>
    <w:rPr>
      <w:i/>
    </w:rPr>
  </w:style>
  <w:style w:type="paragraph" w:customStyle="1" w:styleId="56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character" w:customStyle="1" w:styleId="57">
    <w:name w:val="font01"/>
    <w:basedOn w:val="2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58">
    <w:name w:val="font51"/>
    <w:basedOn w:val="2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59">
    <w:name w:val="font31"/>
    <w:basedOn w:val="25"/>
    <w:qFormat/>
    <w:uiPriority w:val="0"/>
    <w:rPr>
      <w:rFonts w:hint="eastAsia" w:ascii="等线" w:hAnsi="等线" w:eastAsia="等线" w:cs="等线"/>
      <w:color w:val="000000"/>
      <w:sz w:val="18"/>
      <w:szCs w:val="18"/>
      <w:u w:val="none"/>
    </w:rPr>
  </w:style>
  <w:style w:type="character" w:customStyle="1" w:styleId="60">
    <w:name w:val="font71"/>
    <w:basedOn w:val="2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6.xml"/><Relationship Id="rId2" Type="http://schemas.openxmlformats.org/officeDocument/2006/relationships/settings" Target="settings.xml"/><Relationship Id="rId19" Type="http://schemas.openxmlformats.org/officeDocument/2006/relationships/customXml" Target="../customXml/item5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/>
</ds:datastoreItem>
</file>

<file path=customXml/itemProps3.xml><?xml version="1.0" encoding="utf-8"?>
<ds:datastoreItem xmlns:ds="http://schemas.openxmlformats.org/officeDocument/2006/customXml" ds:itemID="{DFF441E3-103C-4487-877D-08CD22337C19}">
  <ds:schemaRefs/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2558679B-78FB-42CD-A1EA-A99096AF5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10</Pages>
  <Words>1462</Words>
  <Characters>9056</Characters>
  <Lines>7</Lines>
  <Paragraphs>2</Paragraphs>
  <TotalTime>33</TotalTime>
  <ScaleCrop>false</ScaleCrop>
  <LinksUpToDate>false</LinksUpToDate>
  <CharactersWithSpaces>10232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鹿儿</cp:lastModifiedBy>
  <cp:lastPrinted>2013-10-03T12:51:00Z</cp:lastPrinted>
  <dcterms:modified xsi:type="dcterms:W3CDTF">2023-03-21T03:57:09Z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2052-11.1.0.13703</vt:lpwstr>
  </property>
  <property fmtid="{D5CDD505-2E9C-101B-9397-08002B2CF9AE}" pid="11" name="ICV">
    <vt:lpwstr>FEE31279813B4479B91F4FD56328C4CC</vt:lpwstr>
  </property>
</Properties>
</file>