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b w:val="0"/>
        </w:rPr>
      </w:pPr>
      <w:r>
        <w:t>Supplementary Material</w:t>
      </w:r>
    </w:p>
    <w:p>
      <w:pPr>
        <w:pStyle w:val="34"/>
        <w:rPr>
          <w:rFonts w:eastAsia="宋体"/>
          <w:kern w:val="2"/>
          <w:sz w:val="28"/>
          <w:szCs w:val="30"/>
          <w:lang w:eastAsia="zh-CN" w:bidi="ar"/>
        </w:rPr>
      </w:pPr>
      <w:r>
        <w:rPr>
          <w:rFonts w:eastAsia="宋体"/>
          <w:kern w:val="2"/>
          <w:sz w:val="28"/>
          <w:szCs w:val="30"/>
          <w:lang w:eastAsia="zh-CN" w:bidi="ar"/>
        </w:rPr>
        <w:t xml:space="preserve">Phylogenetic relationships and biogeography of Asia </w:t>
      </w:r>
      <w:r>
        <w:rPr>
          <w:rFonts w:eastAsia="宋体"/>
          <w:i/>
          <w:kern w:val="2"/>
          <w:sz w:val="28"/>
          <w:szCs w:val="30"/>
          <w:lang w:eastAsia="zh-CN" w:bidi="ar"/>
        </w:rPr>
        <w:t>Callicarpa</w:t>
      </w:r>
      <w:r>
        <w:rPr>
          <w:rFonts w:eastAsia="宋体"/>
          <w:kern w:val="2"/>
          <w:sz w:val="28"/>
          <w:szCs w:val="30"/>
          <w:lang w:eastAsia="zh-CN" w:bidi="ar"/>
        </w:rPr>
        <w:t xml:space="preserve"> (Lamiaceae), with consideration of a long-distance dispersal across the Pacific Ocean —insights into divergence </w:t>
      </w:r>
      <w:bookmarkStart w:id="0" w:name="OLE_LINK85"/>
      <w:bookmarkStart w:id="1" w:name="OLE_LINK84"/>
      <w:r>
        <w:rPr>
          <w:rFonts w:eastAsia="宋体"/>
          <w:kern w:val="2"/>
          <w:sz w:val="28"/>
          <w:szCs w:val="30"/>
          <w:lang w:eastAsia="zh-CN" w:bidi="ar"/>
        </w:rPr>
        <w:t>mode</w:t>
      </w:r>
      <w:bookmarkEnd w:id="0"/>
      <w:bookmarkEnd w:id="1"/>
      <w:r>
        <w:rPr>
          <w:rFonts w:eastAsia="宋体"/>
          <w:kern w:val="2"/>
          <w:sz w:val="28"/>
          <w:szCs w:val="30"/>
          <w:lang w:eastAsia="zh-CN" w:bidi="ar"/>
        </w:rPr>
        <w:t>s of Pantropical flora</w:t>
      </w:r>
    </w:p>
    <w:p>
      <w:pPr>
        <w:pStyle w:val="55"/>
        <w:widowControl/>
        <w:rPr>
          <w:rFonts w:eastAsia="宋体"/>
          <w:sz w:val="18"/>
          <w:szCs w:val="18"/>
        </w:rPr>
      </w:pPr>
      <w:r>
        <w:rPr>
          <w:rFonts w:eastAsia="宋体"/>
          <w:sz w:val="18"/>
          <w:szCs w:val="18"/>
        </w:rPr>
        <w:t>Huimin Cai, Xing Liu, Wenqiao Wang, Zhonghui Ma*, Bo Li, Gemma L. C. Bramley, Dianxiang Zhang</w:t>
      </w:r>
    </w:p>
    <w:p>
      <w:pPr>
        <w:spacing w:before="240" w:after="0"/>
        <w:rPr>
          <w:rFonts w:cs="Times New Roman"/>
        </w:rPr>
      </w:pPr>
      <w:r>
        <w:rPr>
          <w:rFonts w:cs="Times New Roman"/>
          <w:b/>
        </w:rPr>
        <w:t xml:space="preserve">* Correspondence: </w:t>
      </w:r>
      <w:r>
        <w:rPr>
          <w:rFonts w:cs="Times New Roman"/>
        </w:rPr>
        <w:t xml:space="preserve">Corresponding Author: </w:t>
      </w:r>
      <w:r>
        <w:fldChar w:fldCharType="begin"/>
      </w:r>
      <w:r>
        <w:instrText xml:space="preserve"> HYPERLINK "mailto:mazhonghui@gxu.edu.cn" </w:instrText>
      </w:r>
      <w:r>
        <w:fldChar w:fldCharType="separate"/>
      </w:r>
      <w:r>
        <w:rPr>
          <w:rStyle w:val="28"/>
          <w:rFonts w:eastAsia="宋体" w:cs="Times New Roman"/>
          <w:kern w:val="2"/>
          <w:sz w:val="18"/>
          <w:szCs w:val="18"/>
          <w:lang w:eastAsia="zh-CN" w:bidi="ar"/>
        </w:rPr>
        <w:t>mazhonghui@gxu.edu.cn</w:t>
      </w:r>
      <w:r>
        <w:rPr>
          <w:rStyle w:val="28"/>
          <w:rFonts w:eastAsia="宋体" w:cs="Times New Roman"/>
          <w:kern w:val="2"/>
          <w:sz w:val="18"/>
          <w:szCs w:val="18"/>
          <w:lang w:eastAsia="zh-CN" w:bidi="ar"/>
        </w:rPr>
        <w:fldChar w:fldCharType="end"/>
      </w:r>
    </w:p>
    <w:p>
      <w:pPr>
        <w:spacing w:before="0" w:after="0"/>
        <w:rPr>
          <w:rFonts w:cs="Times New Roman"/>
          <w:sz w:val="18"/>
          <w:szCs w:val="18"/>
        </w:rPr>
      </w:pPr>
      <w:r>
        <w:rPr>
          <w:rFonts w:eastAsia="宋体" w:cs="Times New Roman"/>
          <w:kern w:val="2"/>
          <w:sz w:val="18"/>
          <w:szCs w:val="18"/>
          <w:lang w:eastAsia="zh-CN" w:bidi="ar"/>
        </w:rPr>
        <w:t xml:space="preserve"> </w:t>
      </w:r>
    </w:p>
    <w:p/>
    <w:p>
      <w:pPr>
        <w:pStyle w:val="2"/>
      </w:pPr>
      <w:r>
        <w:t>Supplementary Figures and Tables</w:t>
      </w:r>
    </w:p>
    <w:p>
      <w:pPr>
        <w:pStyle w:val="4"/>
      </w:pPr>
      <w:r>
        <w:t>Supplementary Figures</w:t>
      </w:r>
    </w:p>
    <w:p>
      <w:pPr>
        <w:keepNext/>
        <w:jc w:val="center"/>
        <w:rPr>
          <w:rFonts w:eastAsia="宋体" w:cs="Times New Roman"/>
          <w:szCs w:val="24"/>
          <w:lang w:eastAsia="zh-CN"/>
        </w:rPr>
      </w:pPr>
      <w:r>
        <w:rPr>
          <w:rFonts w:eastAsia="宋体" w:cs="Times New Roman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3455035</wp:posOffset>
            </wp:positionH>
            <wp:positionV relativeFrom="paragraph">
              <wp:posOffset>635</wp:posOffset>
            </wp:positionV>
            <wp:extent cx="2052955" cy="7763510"/>
            <wp:effectExtent l="0" t="0" r="4445" b="889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776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 w:cs="Times New Roman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635</wp:posOffset>
            </wp:positionV>
            <wp:extent cx="2225040" cy="7763510"/>
            <wp:effectExtent l="0" t="0" r="3810" b="889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776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/>
        <w:rPr>
          <w:rFonts w:cs="Times New Roman"/>
          <w:b/>
          <w:szCs w:val="24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widowControl w:val="0"/>
        <w:spacing w:before="0" w:after="0"/>
        <w:jc w:val="both"/>
        <w:rPr>
          <w:rFonts w:cs="Times New Roman"/>
          <w:szCs w:val="24"/>
        </w:rPr>
      </w:pPr>
      <w:bookmarkStart w:id="2" w:name="OLE_LINK3"/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fldChar w:fldCharType="begin"/>
      </w:r>
      <w:r>
        <w:rPr>
          <w:rFonts w:cs="Times New Roman"/>
          <w:b/>
          <w:szCs w:val="24"/>
        </w:rPr>
        <w:instrText xml:space="preserve"> SEQ Figure \* ARABIC </w:instrText>
      </w:r>
      <w:r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szCs w:val="24"/>
        </w:rPr>
        <w:t>1</w:t>
      </w:r>
      <w:r>
        <w:rPr>
          <w:rFonts w:cs="Times New Roman"/>
          <w:b/>
          <w:szCs w:val="24"/>
        </w:rPr>
        <w:fldChar w:fldCharType="end"/>
      </w:r>
      <w:r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>
        <w:rPr>
          <w:rFonts w:eastAsia="宋体" w:cs="Times New Roman"/>
          <w:kern w:val="2"/>
          <w:szCs w:val="24"/>
          <w:lang w:eastAsia="zh-CN" w:bidi="ar"/>
        </w:rPr>
        <w:t xml:space="preserve">1. </w:t>
      </w:r>
      <w:bookmarkStart w:id="3" w:name="OLE_LINK131"/>
      <w:bookmarkStart w:id="4" w:name="OLE_LINK130"/>
      <w:bookmarkStart w:id="5" w:name="OLE_LINK49"/>
      <w:bookmarkStart w:id="6" w:name="OLE_LINK48"/>
      <w:r>
        <w:rPr>
          <w:rFonts w:eastAsia="宋体" w:cs="Times New Roman"/>
          <w:kern w:val="2"/>
          <w:szCs w:val="24"/>
          <w:lang w:eastAsia="zh-CN" w:bidi="ar"/>
        </w:rPr>
        <w:t>Maximum likelihood</w:t>
      </w:r>
      <w:bookmarkEnd w:id="3"/>
      <w:bookmarkEnd w:id="4"/>
      <w:r>
        <w:rPr>
          <w:rFonts w:eastAsia="宋体" w:cs="Times New Roman"/>
          <w:kern w:val="2"/>
          <w:szCs w:val="24"/>
          <w:lang w:eastAsia="zh-CN" w:bidi="ar"/>
        </w:rPr>
        <w:t xml:space="preserve"> tree derived from cpDNA (eight </w:t>
      </w:r>
      <w:r>
        <w:t>chloroplast</w:t>
      </w:r>
      <w:r>
        <w:rPr>
          <w:rFonts w:hint="eastAsia" w:eastAsia="宋体"/>
          <w:lang w:val="en-US" w:eastAsia="zh-CN"/>
        </w:rPr>
        <w:t xml:space="preserve"> </w:t>
      </w:r>
      <w:r>
        <w:rPr>
          <w:rFonts w:eastAsia="宋体" w:cs="Times New Roman"/>
          <w:kern w:val="2"/>
          <w:szCs w:val="24"/>
          <w:lang w:eastAsia="zh-CN" w:bidi="ar"/>
        </w:rPr>
        <w:t>regions)</w:t>
      </w:r>
      <w:bookmarkEnd w:id="5"/>
      <w:bookmarkEnd w:id="6"/>
      <w:r>
        <w:rPr>
          <w:rFonts w:eastAsia="宋体" w:cs="Times New Roman"/>
          <w:kern w:val="2"/>
          <w:szCs w:val="24"/>
          <w:lang w:eastAsia="zh-CN" w:bidi="ar"/>
        </w:rPr>
        <w:t xml:space="preserve">; 2. Maximum likelihood tree derived from nrDNA (two </w:t>
      </w:r>
      <w:r>
        <w:t>nuclear</w:t>
      </w:r>
      <w:r>
        <w:rPr>
          <w:rFonts w:hint="eastAsia" w:eastAsia="宋体"/>
          <w:lang w:val="en-US" w:eastAsia="zh-CN"/>
        </w:rPr>
        <w:t xml:space="preserve"> </w:t>
      </w:r>
      <w:r>
        <w:rPr>
          <w:rFonts w:eastAsia="宋体" w:cs="Times New Roman"/>
          <w:kern w:val="2"/>
          <w:szCs w:val="24"/>
          <w:lang w:eastAsia="zh-CN" w:bidi="ar"/>
        </w:rPr>
        <w:t>regions).</w:t>
      </w:r>
    </w:p>
    <w:bookmarkEnd w:id="2"/>
    <w:p>
      <w:pPr>
        <w:keepNext/>
        <w:rPr>
          <w:rFonts w:eastAsia="宋体" w:cs="Times New Roman"/>
          <w:b/>
          <w:szCs w:val="24"/>
          <w:lang w:eastAsia="zh-CN"/>
        </w:rPr>
      </w:pPr>
      <w:r>
        <w:rPr>
          <w:rFonts w:cs="Times New Roman"/>
          <w:b/>
          <w:szCs w:val="2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0</wp:posOffset>
            </wp:positionV>
            <wp:extent cx="2214880" cy="7653020"/>
            <wp:effectExtent l="0" t="0" r="0" b="508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 w:cs="Times New Roman"/>
          <w:b/>
          <w:szCs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0</wp:posOffset>
            </wp:positionV>
            <wp:extent cx="2209165" cy="7701280"/>
            <wp:effectExtent l="0" t="0" r="635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before="0" w:after="0"/>
        <w:jc w:val="both"/>
        <w:rPr>
          <w:rFonts w:cs="Times New Roman"/>
          <w:b/>
          <w:szCs w:val="24"/>
        </w:rPr>
      </w:pPr>
    </w:p>
    <w:p>
      <w:pPr>
        <w:widowControl w:val="0"/>
        <w:spacing w:before="0" w:after="0"/>
        <w:jc w:val="both"/>
        <w:rPr>
          <w:rFonts w:cs="Times New Roman"/>
          <w:b/>
          <w:szCs w:val="24"/>
        </w:rPr>
      </w:pPr>
    </w:p>
    <w:p>
      <w:pPr>
        <w:widowControl w:val="0"/>
        <w:spacing w:before="0" w:after="0"/>
        <w:jc w:val="both"/>
        <w:rPr>
          <w:rFonts w:cs="Times New Roman"/>
          <w:b/>
          <w:szCs w:val="24"/>
        </w:rPr>
      </w:pPr>
    </w:p>
    <w:p>
      <w:pPr>
        <w:widowControl w:val="0"/>
        <w:spacing w:before="0" w:after="0"/>
        <w:jc w:val="both"/>
        <w:rPr>
          <w:rFonts w:cs="Times New Roman"/>
          <w:b/>
          <w:szCs w:val="24"/>
        </w:rPr>
      </w:pPr>
    </w:p>
    <w:p>
      <w:pPr>
        <w:widowControl w:val="0"/>
        <w:spacing w:before="0" w:after="0"/>
        <w:jc w:val="both"/>
        <w:rPr>
          <w:rFonts w:cs="Times New Roman"/>
          <w:b/>
          <w:szCs w:val="24"/>
        </w:rPr>
      </w:pPr>
    </w:p>
    <w:p>
      <w:pPr>
        <w:widowControl w:val="0"/>
        <w:spacing w:before="0" w:after="0"/>
        <w:jc w:val="both"/>
        <w:rPr>
          <w:rFonts w:cs="Times New Roman"/>
          <w:b/>
          <w:szCs w:val="24"/>
        </w:rPr>
      </w:pPr>
    </w:p>
    <w:p>
      <w:pPr>
        <w:widowControl w:val="0"/>
        <w:spacing w:before="0" w:after="0"/>
        <w:jc w:val="both"/>
        <w:rPr>
          <w:rFonts w:cs="Times New Roman"/>
          <w:b/>
          <w:szCs w:val="24"/>
        </w:rPr>
      </w:pPr>
    </w:p>
    <w:p>
      <w:pPr>
        <w:widowControl w:val="0"/>
        <w:tabs>
          <w:tab w:val="left" w:pos="679"/>
        </w:tabs>
        <w:spacing w:before="0" w:after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</w:p>
    <w:p>
      <w:pPr>
        <w:widowControl w:val="0"/>
        <w:spacing w:before="0" w:after="0"/>
        <w:jc w:val="both"/>
        <w:rPr>
          <w:rFonts w:cs="Times New Roman"/>
          <w:b/>
          <w:szCs w:val="24"/>
        </w:rPr>
      </w:pPr>
    </w:p>
    <w:p>
      <w:pPr>
        <w:widowControl w:val="0"/>
        <w:spacing w:before="0" w:after="0"/>
        <w:jc w:val="both"/>
        <w:rPr>
          <w:rFonts w:cs="Times New Roman"/>
          <w:b/>
          <w:szCs w:val="24"/>
        </w:rPr>
      </w:pPr>
    </w:p>
    <w:p>
      <w:pPr>
        <w:widowControl w:val="0"/>
        <w:spacing w:before="0" w:after="0"/>
        <w:jc w:val="both"/>
        <w:rPr>
          <w:rFonts w:cs="Times New Roman"/>
          <w:b/>
          <w:szCs w:val="24"/>
        </w:rPr>
      </w:pPr>
    </w:p>
    <w:p>
      <w:pPr>
        <w:widowControl w:val="0"/>
        <w:spacing w:before="0" w:after="0"/>
        <w:jc w:val="both"/>
        <w:rPr>
          <w:rFonts w:cs="Times New Roman"/>
          <w:b/>
          <w:szCs w:val="24"/>
        </w:rPr>
      </w:pPr>
    </w:p>
    <w:p>
      <w:pPr>
        <w:widowControl w:val="0"/>
        <w:spacing w:before="0" w:after="0"/>
        <w:jc w:val="both"/>
        <w:rPr>
          <w:rFonts w:cs="Times New Roman"/>
          <w:b/>
          <w:szCs w:val="24"/>
        </w:rPr>
      </w:pPr>
    </w:p>
    <w:p>
      <w:pPr>
        <w:widowControl w:val="0"/>
        <w:spacing w:before="0" w:after="0"/>
        <w:jc w:val="both"/>
        <w:rPr>
          <w:rFonts w:cs="Times New Roman"/>
          <w:b/>
          <w:szCs w:val="24"/>
        </w:rPr>
      </w:pPr>
    </w:p>
    <w:p>
      <w:pPr>
        <w:widowControl w:val="0"/>
        <w:spacing w:before="0" w:after="0"/>
        <w:jc w:val="both"/>
        <w:rPr>
          <w:rFonts w:cs="Times New Roman"/>
          <w:b/>
          <w:szCs w:val="24"/>
        </w:rPr>
      </w:pPr>
    </w:p>
    <w:p>
      <w:pPr>
        <w:widowControl w:val="0"/>
        <w:spacing w:before="0" w:after="0"/>
        <w:jc w:val="both"/>
        <w:rPr>
          <w:rFonts w:cs="Times New Roman"/>
          <w:szCs w:val="24"/>
        </w:rPr>
      </w:pPr>
    </w:p>
    <w:p>
      <w:pPr>
        <w:pStyle w:val="4"/>
        <w:numPr>
          <w:ilvl w:val="0"/>
          <w:numId w:val="0"/>
        </w:numPr>
      </w:pPr>
    </w:p>
    <w:p/>
    <w:p/>
    <w:p/>
    <w:p/>
    <w:p/>
    <w:p/>
    <w:p/>
    <w:p/>
    <w:p/>
    <w:p/>
    <w:p/>
    <w:p/>
    <w:p/>
    <w:p>
      <w:pPr>
        <w:sectPr>
          <w:headerReference r:id="rId5" w:type="first"/>
          <w:footerReference r:id="rId6" w:type="default"/>
          <w:headerReference r:id="rId4" w:type="even"/>
          <w:footerReference r:id="rId7" w:type="even"/>
          <w:pgSz w:w="12240" w:h="15840"/>
          <w:pgMar w:top="1138" w:right="1181" w:bottom="1138" w:left="1282" w:header="720" w:footer="720" w:gutter="0"/>
          <w:cols w:space="720" w:num="1"/>
          <w:titlePg/>
          <w:docGrid w:linePitch="360" w:charSpace="0"/>
        </w:sectPr>
      </w:pPr>
      <w:r>
        <w:rPr>
          <w:b/>
          <w:bCs/>
        </w:rPr>
        <w:t>Supplementary Figure 2.</w:t>
      </w:r>
      <w:r>
        <w:t xml:space="preserve"> 1. The phylogenetic trees using bayesian inference analyses based combined nrDNA and cpDNA (two nuclear and eight chloroplast regions)</w:t>
      </w:r>
      <w:r>
        <w:rPr>
          <w:rFonts w:asciiTheme="minorEastAsia" w:hAnsiTheme="minorEastAsia" w:eastAsiaTheme="minorEastAsia"/>
          <w:lang w:eastAsia="zh-CN"/>
        </w:rPr>
        <w:t xml:space="preserve">; </w:t>
      </w:r>
      <w:r>
        <w:t xml:space="preserve">2. The phylogenetic trees using maximum likelihood analyses based combined nrDNA and cpDNA (two nuclear and eight chloroplast regions). </w:t>
      </w:r>
    </w:p>
    <w:p>
      <w:pPr>
        <w:pStyle w:val="4"/>
      </w:pPr>
      <w:r>
        <w:t>Sup</w:t>
      </w:r>
      <w:bookmarkStart w:id="7" w:name="OLE_LINK147"/>
      <w:bookmarkStart w:id="8" w:name="OLE_LINK148"/>
      <w:r>
        <w:t xml:space="preserve">plementary </w:t>
      </w:r>
      <w:r>
        <w:rPr>
          <w:rFonts w:hint="eastAsia" w:eastAsia="宋体"/>
          <w:lang w:eastAsia="zh-CN"/>
        </w:rPr>
        <w:t>Table</w:t>
      </w:r>
      <w:r>
        <w:t>s</w:t>
      </w:r>
      <w:bookmarkEnd w:id="7"/>
      <w:bookmarkEnd w:id="8"/>
    </w:p>
    <w:tbl>
      <w:tblPr>
        <w:tblStyle w:val="20"/>
        <w:tblW w:w="13467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693"/>
        <w:gridCol w:w="6095"/>
        <w:gridCol w:w="2552"/>
      </w:tblGrid>
      <w:tr>
        <w:trPr>
          <w:trHeight w:val="285" w:hRule="atLeast"/>
        </w:trPr>
        <w:tc>
          <w:tcPr>
            <w:tcW w:w="13467" w:type="dxa"/>
            <w:gridSpan w:val="4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b/>
                <w:bCs/>
                <w:color w:val="000000"/>
                <w:szCs w:val="24"/>
              </w:rPr>
            </w:pPr>
            <w:r>
              <w:rPr>
                <w:rFonts w:eastAsia="等线" w:cs="Times New Roman"/>
                <w:b/>
                <w:bCs/>
                <w:color w:val="000000"/>
                <w:szCs w:val="24"/>
                <w:lang w:eastAsia="zh-CN" w:bidi="ar"/>
              </w:rPr>
              <w:t>Table S1 Primers used to amplify and sequence nrDNA and cpDNA in this study.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8"/>
              </w:rPr>
            </w:pPr>
            <w:r>
              <w:rPr>
                <w:rFonts w:eastAsia="等线" w:cs="Times New Roman"/>
                <w:b/>
                <w:bCs/>
                <w:color w:val="000000"/>
                <w:sz w:val="18"/>
                <w:lang w:eastAsia="zh-CN" w:bidi="ar"/>
              </w:rPr>
              <w:t>Marker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8"/>
              </w:rPr>
            </w:pPr>
            <w:r>
              <w:rPr>
                <w:rFonts w:eastAsia="等线" w:cs="Times New Roman"/>
                <w:b/>
                <w:bCs/>
                <w:color w:val="000000"/>
                <w:sz w:val="18"/>
                <w:lang w:eastAsia="zh-CN" w:bidi="ar"/>
              </w:rPr>
              <w:t>Primer</w:t>
            </w:r>
          </w:p>
        </w:tc>
        <w:tc>
          <w:tcPr>
            <w:tcW w:w="609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8"/>
              </w:rPr>
            </w:pPr>
            <w:r>
              <w:rPr>
                <w:rFonts w:eastAsia="等线" w:cs="Times New Roman"/>
                <w:b/>
                <w:bCs/>
                <w:color w:val="000000"/>
                <w:sz w:val="18"/>
                <w:lang w:eastAsia="zh-CN" w:bidi="ar"/>
              </w:rPr>
              <w:t>Sequence (5’ to 3’)</w:t>
            </w:r>
          </w:p>
        </w:tc>
        <w:tc>
          <w:tcPr>
            <w:tcW w:w="255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8"/>
              </w:rPr>
            </w:pPr>
            <w:r>
              <w:rPr>
                <w:rFonts w:eastAsia="等线" w:cs="Times New Roman"/>
                <w:b/>
                <w:bCs/>
                <w:color w:val="000000"/>
                <w:sz w:val="18"/>
                <w:lang w:eastAsia="zh-CN" w:bidi="ar"/>
              </w:rPr>
              <w:t>Reference</w:t>
            </w:r>
          </w:p>
        </w:tc>
      </w:tr>
      <w:tr>
        <w:trPr>
          <w:trHeight w:val="285" w:hRule="atLeast"/>
        </w:trPr>
        <w:tc>
          <w:tcPr>
            <w:tcW w:w="212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 xml:space="preserve">ITS 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17SE</w:t>
            </w:r>
          </w:p>
        </w:tc>
        <w:tc>
          <w:tcPr>
            <w:tcW w:w="609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ACGAATTCATGGTCCGGTGAAGTGTTCG</w:t>
            </w:r>
          </w:p>
        </w:tc>
        <w:tc>
          <w:tcPr>
            <w:tcW w:w="2552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bookmarkStart w:id="9" w:name="OLE_LINK149"/>
            <w:bookmarkStart w:id="10" w:name="OLE_LINK150"/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Sun</w:t>
            </w:r>
            <w:bookmarkEnd w:id="9"/>
            <w:bookmarkEnd w:id="10"/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 xml:space="preserve"> et al., 1994</w:t>
            </w:r>
          </w:p>
        </w:tc>
      </w:tr>
      <w:tr>
        <w:trPr>
          <w:trHeight w:val="285" w:hRule="atLeast"/>
        </w:trPr>
        <w:tc>
          <w:tcPr>
            <w:tcW w:w="2127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693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26SE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TAGAATTCCCCGGTTCGCTCGCCGTTAC</w:t>
            </w:r>
          </w:p>
        </w:tc>
        <w:tc>
          <w:tcPr>
            <w:tcW w:w="2552" w:type="dxa"/>
            <w:vMerge w:val="continue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7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693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ITS-4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TCCTCCGCTTATTGATATGC</w:t>
            </w:r>
          </w:p>
        </w:tc>
        <w:tc>
          <w:tcPr>
            <w:tcW w:w="2552" w:type="dxa"/>
            <w:vMerge w:val="restart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White et al., 1990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7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693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ITS-5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GGAAGTAAAAGTCGTAACAAGG</w:t>
            </w:r>
          </w:p>
        </w:tc>
        <w:tc>
          <w:tcPr>
            <w:tcW w:w="255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7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ETS</w:t>
            </w:r>
          </w:p>
        </w:tc>
        <w:tc>
          <w:tcPr>
            <w:tcW w:w="2693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18S-IGS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GAGACAAGCATATGACTACTGGCAGGATCAACCAG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Baldwin and Markos, 1998</w:t>
            </w:r>
          </w:p>
        </w:tc>
      </w:tr>
      <w:tr>
        <w:trPr>
          <w:trHeight w:val="285" w:hRule="atLeast"/>
        </w:trPr>
        <w:tc>
          <w:tcPr>
            <w:tcW w:w="2127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693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ETS-B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ATAGAGCGCGTGAGTGGTG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Beardsley and Olmstead., 2002</w:t>
            </w:r>
          </w:p>
        </w:tc>
      </w:tr>
      <w:tr>
        <w:trPr>
          <w:trHeight w:val="285" w:hRule="atLeast"/>
        </w:trPr>
        <w:tc>
          <w:tcPr>
            <w:tcW w:w="2127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matK</w:t>
            </w:r>
          </w:p>
        </w:tc>
        <w:tc>
          <w:tcPr>
            <w:tcW w:w="2693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323f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ATTNTCAAATCNTAKCAGAGGGG</w:t>
            </w:r>
          </w:p>
        </w:tc>
        <w:tc>
          <w:tcPr>
            <w:tcW w:w="2552" w:type="dxa"/>
            <w:vMerge w:val="restart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Andersson, 2006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7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693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1189r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CGGCTTACTAATRGGATGCCC</w:t>
            </w:r>
          </w:p>
        </w:tc>
        <w:tc>
          <w:tcPr>
            <w:tcW w:w="255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7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psbJ</w:t>
            </w: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-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petA</w:t>
            </w:r>
          </w:p>
        </w:tc>
        <w:tc>
          <w:tcPr>
            <w:tcW w:w="2693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psbJ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ATAGGTACTGTARCYGGTATT</w:t>
            </w:r>
          </w:p>
        </w:tc>
        <w:tc>
          <w:tcPr>
            <w:tcW w:w="2552" w:type="dxa"/>
            <w:vMerge w:val="restart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Shaw et al., 2007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7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693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petA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AACARTTYGARAAGGTTCAATT</w:t>
            </w:r>
          </w:p>
        </w:tc>
        <w:tc>
          <w:tcPr>
            <w:tcW w:w="255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7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693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psbJF1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TAGGTTCATCCCTGTAGT</w:t>
            </w:r>
          </w:p>
        </w:tc>
        <w:tc>
          <w:tcPr>
            <w:tcW w:w="2552" w:type="dxa"/>
            <w:vMerge w:val="restart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Designed here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7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693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petAR1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TTTTGTTGTCAATTATGT</w:t>
            </w:r>
          </w:p>
        </w:tc>
        <w:tc>
          <w:tcPr>
            <w:tcW w:w="255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7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rp</w:t>
            </w:r>
            <w:r>
              <w:rPr>
                <w:rFonts w:hint="eastAsia" w:eastAsia="等线" w:cs="Times New Roman"/>
                <w:i/>
                <w:iCs/>
                <w:color w:val="000000"/>
                <w:sz w:val="18"/>
                <w:lang w:val="en-US" w:eastAsia="zh-CN" w:bidi="ar"/>
              </w:rPr>
              <w:t>l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32</w:t>
            </w: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-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trnL</w:t>
            </w:r>
          </w:p>
        </w:tc>
        <w:tc>
          <w:tcPr>
            <w:tcW w:w="2693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trnL(UAG)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CTGCTTCCTAAGAGCAGCGT</w:t>
            </w:r>
          </w:p>
        </w:tc>
        <w:tc>
          <w:tcPr>
            <w:tcW w:w="2552" w:type="dxa"/>
            <w:vMerge w:val="restart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Shaw et al., 2007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7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693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rpL32-F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CAGTTCCAAAAAAACGTACTTC</w:t>
            </w:r>
          </w:p>
        </w:tc>
        <w:tc>
          <w:tcPr>
            <w:tcW w:w="255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7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trnD</w:t>
            </w: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-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trnT</w:t>
            </w:r>
          </w:p>
        </w:tc>
        <w:tc>
          <w:tcPr>
            <w:tcW w:w="2693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trnDF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ACCAATTGAACTACAATCCC</w:t>
            </w:r>
          </w:p>
        </w:tc>
        <w:tc>
          <w:tcPr>
            <w:tcW w:w="2552" w:type="dxa"/>
            <w:vMerge w:val="restart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Demesure et al., 1995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7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693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trnT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CTACCACTGAGTTAAAAGGG</w:t>
            </w:r>
          </w:p>
        </w:tc>
        <w:tc>
          <w:tcPr>
            <w:tcW w:w="255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7" w:type="dxa"/>
            <w:tcBorders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trnG</w:t>
            </w: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-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trnS</w:t>
            </w:r>
          </w:p>
        </w:tc>
        <w:tc>
          <w:tcPr>
            <w:tcW w:w="2693" w:type="dxa"/>
            <w:tcBorders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trnS (GCU)</w:t>
            </w:r>
          </w:p>
        </w:tc>
        <w:tc>
          <w:tcPr>
            <w:tcW w:w="6095" w:type="dxa"/>
            <w:tcBorders>
              <w:bottom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AGATAGGGATTCGAACCCTCGGT</w:t>
            </w:r>
          </w:p>
        </w:tc>
        <w:tc>
          <w:tcPr>
            <w:tcW w:w="2552" w:type="dxa"/>
            <w:vMerge w:val="restart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Shaw et al., 2005</w:t>
            </w:r>
          </w:p>
        </w:tc>
      </w:tr>
      <w:tr>
        <w:trPr>
          <w:trHeight w:val="285" w:hRule="atLeast"/>
        </w:trPr>
        <w:tc>
          <w:tcPr>
            <w:tcW w:w="2127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693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5’trnG2S</w:t>
            </w:r>
          </w:p>
        </w:tc>
        <w:tc>
          <w:tcPr>
            <w:tcW w:w="6095" w:type="dxa"/>
            <w:tcBorders>
              <w:top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TTTTACCACTAAACTATACCCGC</w:t>
            </w:r>
          </w:p>
        </w:tc>
        <w:tc>
          <w:tcPr>
            <w:tcW w:w="2552" w:type="dxa"/>
            <w:vMerge w:val="continue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7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trnH</w:t>
            </w: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-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psbA</w:t>
            </w:r>
          </w:p>
        </w:tc>
        <w:tc>
          <w:tcPr>
            <w:tcW w:w="2693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psbA F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GTTATGCATGAACGTAATGCTC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Sang et al., 1997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7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693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trnH2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CGCGCATGGTGGATTCACAATCC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Tate &amp; Simpson 2003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7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trnQ</w:t>
            </w: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-5'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rps16</w:t>
            </w:r>
          </w:p>
        </w:tc>
        <w:tc>
          <w:tcPr>
            <w:tcW w:w="2693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trnQ(UUG)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GCGTGGCCAAGYGGTAAGGC</w:t>
            </w:r>
          </w:p>
        </w:tc>
        <w:tc>
          <w:tcPr>
            <w:tcW w:w="2552" w:type="dxa"/>
            <w:vMerge w:val="restart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Shaw et al., 2007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7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693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rps16x1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GTTGCTTTYTACCACATCGTTT</w:t>
            </w:r>
          </w:p>
        </w:tc>
        <w:tc>
          <w:tcPr>
            <w:tcW w:w="255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7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3'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trnV</w:t>
            </w: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-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ndhC</w:t>
            </w:r>
          </w:p>
        </w:tc>
        <w:tc>
          <w:tcPr>
            <w:tcW w:w="2693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trnV(UAC) x2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GTCTACGGTTCGARTCCGTA</w:t>
            </w:r>
          </w:p>
        </w:tc>
        <w:tc>
          <w:tcPr>
            <w:tcW w:w="2552" w:type="dxa"/>
            <w:vMerge w:val="restart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Shaw et al., 2007</w:t>
            </w:r>
          </w:p>
        </w:tc>
      </w:tr>
      <w:tr>
        <w:trPr>
          <w:trHeight w:val="285" w:hRule="atLeast"/>
        </w:trPr>
        <w:tc>
          <w:tcPr>
            <w:tcW w:w="2127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693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 xml:space="preserve">ndhC 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TATTATTAGAAATGYCCARAAAATATCATATTC</w:t>
            </w:r>
          </w:p>
        </w:tc>
        <w:tc>
          <w:tcPr>
            <w:tcW w:w="255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27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ascii="Calibri" w:hAnsi="Calibri" w:cs="Times New Roman"/>
                <w:sz w:val="18"/>
                <w:szCs w:val="20"/>
              </w:rPr>
            </w:pPr>
            <w:bookmarkStart w:id="11" w:name="_Hlk122893385"/>
          </w:p>
        </w:tc>
        <w:tc>
          <w:tcPr>
            <w:tcW w:w="2693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</w:rPr>
              <w:t>ndhC-f</w:t>
            </w:r>
          </w:p>
        </w:tc>
        <w:tc>
          <w:tcPr>
            <w:tcW w:w="609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</w:rPr>
              <w:t>AGACCATTCCAATGCCCCCTTTCGCC</w:t>
            </w:r>
          </w:p>
        </w:tc>
        <w:tc>
          <w:tcPr>
            <w:tcW w:w="2552" w:type="dxa"/>
            <w:vMerge w:val="restar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</w:rPr>
              <w:t>Dong et al., 2012</w:t>
            </w:r>
          </w:p>
        </w:tc>
      </w:tr>
      <w:tr>
        <w:trPr>
          <w:trHeight w:val="285" w:hRule="atLeast"/>
        </w:trPr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</w:rPr>
              <w:t>trnV-r</w:t>
            </w:r>
          </w:p>
        </w:tc>
        <w:tc>
          <w:tcPr>
            <w:tcW w:w="609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</w:rPr>
              <w:t>GTTCGAGTCCGTATAGCCCTA</w:t>
            </w:r>
          </w:p>
          <w:bookmarkEnd w:id="11"/>
        </w:tc>
        <w:tc>
          <w:tcPr>
            <w:tcW w:w="255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</w:tr>
    </w:tbl>
    <w:p>
      <w:pPr>
        <w:pStyle w:val="4"/>
        <w:sectPr>
          <w:pgSz w:w="15840" w:h="12240" w:orient="landscape"/>
          <w:pgMar w:top="1282" w:right="1138" w:bottom="1181" w:left="1138" w:header="720" w:footer="720" w:gutter="0"/>
          <w:cols w:space="720" w:num="1"/>
          <w:titlePg/>
          <w:docGrid w:linePitch="360" w:charSpace="0"/>
        </w:sectPr>
      </w:pPr>
    </w:p>
    <w:p>
      <w:pPr>
        <w:widowControl w:val="0"/>
        <w:spacing w:before="0" w:after="0"/>
        <w:jc w:val="both"/>
        <w:rPr>
          <w:rFonts w:cs="Times New Roman"/>
          <w:szCs w:val="30"/>
        </w:rPr>
      </w:pPr>
    </w:p>
    <w:tbl>
      <w:tblPr>
        <w:tblStyle w:val="20"/>
        <w:tblW w:w="734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6"/>
        <w:gridCol w:w="2425"/>
        <w:gridCol w:w="307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7340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b/>
                <w:bCs/>
                <w:color w:val="000000"/>
                <w:szCs w:val="24"/>
              </w:rPr>
            </w:pPr>
            <w:r>
              <w:rPr>
                <w:rFonts w:eastAsia="等线" w:cs="Times New Roman"/>
                <w:b/>
                <w:bCs/>
                <w:color w:val="000000"/>
                <w:szCs w:val="24"/>
                <w:lang w:eastAsia="zh-CN" w:bidi="ar"/>
              </w:rPr>
              <w:t>Table S2 Best fit partition model for Iqtree/Mrbayes analysis.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183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4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8"/>
              </w:rPr>
            </w:pPr>
            <w:r>
              <w:rPr>
                <w:rFonts w:eastAsia="等线" w:cs="Times New Roman"/>
                <w:b/>
                <w:bCs/>
                <w:color w:val="000000"/>
                <w:sz w:val="18"/>
                <w:lang w:eastAsia="zh-CN" w:bidi="ar"/>
              </w:rPr>
              <w:t>Partition</w:t>
            </w:r>
          </w:p>
        </w:tc>
        <w:tc>
          <w:tcPr>
            <w:tcW w:w="307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8"/>
              </w:rPr>
            </w:pPr>
            <w:r>
              <w:rPr>
                <w:rFonts w:eastAsia="等线" w:cs="Times New Roman"/>
                <w:b/>
                <w:bCs/>
                <w:color w:val="000000"/>
                <w:sz w:val="18"/>
                <w:lang w:eastAsia="zh-CN" w:bidi="ar"/>
              </w:rPr>
              <w:t>Model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3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Iqtree</w:t>
            </w:r>
          </w:p>
        </w:tc>
        <w:tc>
          <w:tcPr>
            <w:tcW w:w="242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ETS</w:t>
            </w:r>
          </w:p>
        </w:tc>
        <w:tc>
          <w:tcPr>
            <w:tcW w:w="307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GTR+F+R3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36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42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ITS</w:t>
            </w:r>
          </w:p>
        </w:tc>
        <w:tc>
          <w:tcPr>
            <w:tcW w:w="3079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GTR+F+R3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36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42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psbJ-petA</w:t>
            </w:r>
          </w:p>
        </w:tc>
        <w:tc>
          <w:tcPr>
            <w:tcW w:w="3079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K3Pu+F+R2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36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42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rpl32-trnL</w:t>
            </w:r>
          </w:p>
        </w:tc>
        <w:tc>
          <w:tcPr>
            <w:tcW w:w="3079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TVM+F+R3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36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42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trnG-trnS</w:t>
            </w:r>
          </w:p>
        </w:tc>
        <w:tc>
          <w:tcPr>
            <w:tcW w:w="3079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TVM+F+R3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36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42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trnQ-</w:t>
            </w:r>
            <w:r>
              <w:rPr>
                <w:rFonts w:ascii="Calibri" w:hAnsi="Calibri" w:eastAsia="宋体" w:cs="Times New Roman"/>
                <w:i/>
                <w:iCs/>
                <w:kern w:val="2"/>
                <w:sz w:val="18"/>
                <w:szCs w:val="18"/>
                <w:lang w:eastAsia="zh-CN" w:bidi="ar"/>
              </w:rPr>
              <w:t>5’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rps16</w:t>
            </w:r>
          </w:p>
        </w:tc>
        <w:tc>
          <w:tcPr>
            <w:tcW w:w="3079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TVM+F+R3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36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42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trnD-</w:t>
            </w:r>
            <w:r>
              <w:rPr>
                <w:rFonts w:hint="eastAsia" w:eastAsia="等线" w:cs="Times New Roman"/>
                <w:i/>
                <w:iCs/>
                <w:color w:val="000000"/>
                <w:sz w:val="18"/>
                <w:lang w:val="en-US" w:eastAsia="zh-CN" w:bidi="ar"/>
              </w:rPr>
              <w:t>trn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</w:t>
            </w:r>
          </w:p>
        </w:tc>
        <w:tc>
          <w:tcPr>
            <w:tcW w:w="3079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K3Pu+F+R2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36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42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matK</w:t>
            </w:r>
          </w:p>
        </w:tc>
        <w:tc>
          <w:tcPr>
            <w:tcW w:w="3079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K3Pu+F+R2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36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42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trnH-psbA</w:t>
            </w:r>
          </w:p>
        </w:tc>
        <w:tc>
          <w:tcPr>
            <w:tcW w:w="3079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TN+F+R3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36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42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ascii="Calibri" w:hAnsi="Calibri" w:eastAsia="宋体" w:cs="Times New Roman"/>
                <w:i/>
                <w:iCs/>
                <w:kern w:val="2"/>
                <w:sz w:val="18"/>
                <w:szCs w:val="18"/>
                <w:lang w:eastAsia="zh-CN" w:bidi="ar"/>
              </w:rPr>
              <w:t>3’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trnV-ndhC</w:t>
            </w:r>
          </w:p>
        </w:tc>
        <w:tc>
          <w:tcPr>
            <w:tcW w:w="3079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TPM2u+F+G4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36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425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3079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36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Mrbayes</w:t>
            </w:r>
          </w:p>
        </w:tc>
        <w:tc>
          <w:tcPr>
            <w:tcW w:w="242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ETS</w:t>
            </w:r>
          </w:p>
        </w:tc>
        <w:tc>
          <w:tcPr>
            <w:tcW w:w="3079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GTR+F+I+G4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36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42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ITS</w:t>
            </w:r>
          </w:p>
        </w:tc>
        <w:tc>
          <w:tcPr>
            <w:tcW w:w="3079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GTR+F+I+G4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36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42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hint="eastAsia" w:eastAsia="等线" w:cs="Times New Roman"/>
                <w:i/>
                <w:iCs/>
                <w:color w:val="000000"/>
                <w:sz w:val="18"/>
                <w:lang w:val="en-US" w:eastAsia="zh-CN" w:bidi="ar"/>
              </w:rPr>
              <w:t>p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sbJ</w:t>
            </w:r>
            <w:r>
              <w:rPr>
                <w:rFonts w:hint="eastAsia" w:eastAsia="等线" w:cs="Times New Roman"/>
                <w:i/>
                <w:iCs/>
                <w:color w:val="000000"/>
                <w:sz w:val="18"/>
                <w:lang w:val="en-US" w:eastAsia="zh-CN" w:bidi="ar"/>
              </w:rPr>
              <w:t>-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petA</w:t>
            </w:r>
          </w:p>
        </w:tc>
        <w:tc>
          <w:tcPr>
            <w:tcW w:w="3079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GTR+F+G4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36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42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rpl32-trnL</w:t>
            </w:r>
          </w:p>
        </w:tc>
        <w:tc>
          <w:tcPr>
            <w:tcW w:w="3079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GTR+F+G4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36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42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trnG-trnS</w:t>
            </w:r>
          </w:p>
        </w:tc>
        <w:tc>
          <w:tcPr>
            <w:tcW w:w="3079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GTR+F+G4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36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42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trnD-</w:t>
            </w:r>
            <w:r>
              <w:rPr>
                <w:rFonts w:hint="eastAsia" w:eastAsia="等线" w:cs="Times New Roman"/>
                <w:i/>
                <w:iCs/>
                <w:color w:val="000000"/>
                <w:sz w:val="18"/>
                <w:lang w:val="en-US" w:eastAsia="zh-CN" w:bidi="ar"/>
              </w:rPr>
              <w:t>trn</w:t>
            </w:r>
            <w:bookmarkStart w:id="12" w:name="_GoBack"/>
            <w:bookmarkEnd w:id="12"/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</w:t>
            </w:r>
          </w:p>
        </w:tc>
        <w:tc>
          <w:tcPr>
            <w:tcW w:w="3079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HKY+F+G4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36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42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matK</w:t>
            </w:r>
          </w:p>
        </w:tc>
        <w:tc>
          <w:tcPr>
            <w:tcW w:w="3079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HKY+F+G4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36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42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trnH-psbA</w:t>
            </w:r>
          </w:p>
        </w:tc>
        <w:tc>
          <w:tcPr>
            <w:tcW w:w="3079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F81+F+G4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36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42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trnQ-</w:t>
            </w:r>
            <w:r>
              <w:rPr>
                <w:rFonts w:ascii="Calibri" w:hAnsi="Calibri" w:eastAsia="宋体" w:cs="Times New Roman"/>
                <w:i/>
                <w:iCs/>
                <w:kern w:val="2"/>
                <w:sz w:val="18"/>
                <w:szCs w:val="18"/>
                <w:lang w:eastAsia="zh-CN" w:bidi="ar"/>
              </w:rPr>
              <w:t>5’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rps16</w:t>
            </w:r>
          </w:p>
        </w:tc>
        <w:tc>
          <w:tcPr>
            <w:tcW w:w="3079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GTR+F+G4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83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18"/>
                <w:szCs w:val="20"/>
              </w:rPr>
            </w:pPr>
          </w:p>
        </w:tc>
        <w:tc>
          <w:tcPr>
            <w:tcW w:w="242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ascii="Calibri" w:hAnsi="Calibri" w:eastAsia="宋体" w:cs="Times New Roman"/>
                <w:i/>
                <w:iCs/>
                <w:kern w:val="2"/>
                <w:sz w:val="18"/>
                <w:szCs w:val="18"/>
                <w:lang w:eastAsia="zh-CN" w:bidi="ar"/>
              </w:rPr>
              <w:t>3’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trnV-ndhC</w:t>
            </w:r>
          </w:p>
        </w:tc>
        <w:tc>
          <w:tcPr>
            <w:tcW w:w="307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GTR+F+G4</w:t>
            </w:r>
          </w:p>
        </w:tc>
      </w:tr>
    </w:tbl>
    <w:p>
      <w:pPr>
        <w:widowControl w:val="0"/>
        <w:spacing w:before="0" w:after="0"/>
        <w:jc w:val="both"/>
      </w:pPr>
    </w:p>
    <w:tbl>
      <w:tblPr>
        <w:tblStyle w:val="20"/>
        <w:tblW w:w="5460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5"/>
        <w:gridCol w:w="327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460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b/>
                <w:bCs/>
                <w:color w:val="000000"/>
                <w:szCs w:val="24"/>
              </w:rPr>
            </w:pPr>
            <w:r>
              <w:rPr>
                <w:rFonts w:eastAsia="等线" w:cs="Times New Roman"/>
                <w:b/>
                <w:bCs/>
                <w:color w:val="000000"/>
                <w:szCs w:val="24"/>
                <w:lang w:eastAsia="zh-CN" w:bidi="ar"/>
              </w:rPr>
              <w:t>Table S3 Substitution model for each partition.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18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8"/>
              </w:rPr>
            </w:pPr>
            <w:r>
              <w:rPr>
                <w:rFonts w:eastAsia="等线" w:cs="Times New Roman"/>
                <w:b/>
                <w:bCs/>
                <w:color w:val="000000"/>
                <w:sz w:val="18"/>
                <w:lang w:eastAsia="zh-CN" w:bidi="ar"/>
              </w:rPr>
              <w:t>Partition</w:t>
            </w:r>
          </w:p>
        </w:tc>
        <w:tc>
          <w:tcPr>
            <w:tcW w:w="327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8"/>
              </w:rPr>
            </w:pPr>
            <w:r>
              <w:rPr>
                <w:rFonts w:eastAsia="等线" w:cs="Times New Roman"/>
                <w:b/>
                <w:bCs/>
                <w:color w:val="000000"/>
                <w:sz w:val="18"/>
                <w:lang w:eastAsia="zh-CN" w:bidi="ar"/>
              </w:rPr>
              <w:t>Substitution model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18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 xml:space="preserve">ITS </w:t>
            </w:r>
          </w:p>
        </w:tc>
        <w:tc>
          <w:tcPr>
            <w:tcW w:w="327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GTR+G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18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ETS</w:t>
            </w:r>
          </w:p>
        </w:tc>
        <w:tc>
          <w:tcPr>
            <w:tcW w:w="327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GTR+I+G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18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matK</w:t>
            </w:r>
          </w:p>
        </w:tc>
        <w:tc>
          <w:tcPr>
            <w:tcW w:w="327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GTR+G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18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psbJ</w:t>
            </w: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-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petA</w:t>
            </w:r>
          </w:p>
        </w:tc>
        <w:tc>
          <w:tcPr>
            <w:tcW w:w="327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GTR+G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18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rp</w:t>
            </w:r>
            <w:r>
              <w:rPr>
                <w:rFonts w:hint="eastAsia" w:eastAsia="等线" w:cs="Times New Roman"/>
                <w:i/>
                <w:iCs/>
                <w:color w:val="000000"/>
                <w:sz w:val="18"/>
                <w:lang w:val="en-US" w:eastAsia="zh-CN" w:bidi="ar"/>
              </w:rPr>
              <w:t>l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32</w:t>
            </w: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-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trnL</w:t>
            </w:r>
          </w:p>
        </w:tc>
        <w:tc>
          <w:tcPr>
            <w:tcW w:w="327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GTR+G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18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trnD</w:t>
            </w: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-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trnT</w:t>
            </w:r>
          </w:p>
        </w:tc>
        <w:tc>
          <w:tcPr>
            <w:tcW w:w="327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HKY+G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18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trnG</w:t>
            </w: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-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trnS</w:t>
            </w:r>
          </w:p>
        </w:tc>
        <w:tc>
          <w:tcPr>
            <w:tcW w:w="327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GTR+G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18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trnH</w:t>
            </w: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-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psbA</w:t>
            </w:r>
          </w:p>
        </w:tc>
        <w:tc>
          <w:tcPr>
            <w:tcW w:w="327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HKY+G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18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trnQ</w:t>
            </w: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-5'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rps16</w:t>
            </w:r>
          </w:p>
        </w:tc>
        <w:tc>
          <w:tcPr>
            <w:tcW w:w="3275" w:type="dxa"/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GTR+G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18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3'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trnV</w:t>
            </w: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-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lang w:eastAsia="zh-CN" w:bidi="ar"/>
              </w:rPr>
              <w:t>ndhC</w:t>
            </w:r>
          </w:p>
        </w:tc>
        <w:tc>
          <w:tcPr>
            <w:tcW w:w="327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</w:rPr>
            </w:pPr>
            <w:r>
              <w:rPr>
                <w:rFonts w:eastAsia="等线" w:cs="Times New Roman"/>
                <w:color w:val="000000"/>
                <w:sz w:val="18"/>
                <w:lang w:eastAsia="zh-CN" w:bidi="ar"/>
              </w:rPr>
              <w:t>GTR+G</w:t>
            </w:r>
          </w:p>
        </w:tc>
      </w:tr>
    </w:tbl>
    <w:p>
      <w:pPr>
        <w:widowControl w:val="0"/>
        <w:spacing w:before="0" w:after="0"/>
        <w:jc w:val="both"/>
        <w:sectPr>
          <w:pgSz w:w="12240" w:h="15840"/>
          <w:pgMar w:top="1138" w:right="1181" w:bottom="1138" w:left="1282" w:header="720" w:footer="720" w:gutter="0"/>
          <w:cols w:space="720" w:num="1"/>
          <w:titlePg/>
          <w:docGrid w:linePitch="360" w:charSpace="0"/>
        </w:sectPr>
      </w:pPr>
    </w:p>
    <w:tbl>
      <w:tblPr>
        <w:tblStyle w:val="20"/>
        <w:tblpPr w:leftFromText="180" w:rightFromText="180" w:vertAnchor="text" w:horzAnchor="page" w:tblpX="1176" w:tblpY="-262"/>
        <w:tblOverlap w:val="never"/>
        <w:tblW w:w="1360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3"/>
        <w:gridCol w:w="2264"/>
        <w:gridCol w:w="2551"/>
        <w:gridCol w:w="2702"/>
        <w:gridCol w:w="296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3608" w:type="dxa"/>
            <w:gridSpan w:val="5"/>
            <w:shd w:val="clear" w:color="auto" w:fill="auto"/>
            <w:noWrap/>
            <w:vAlign w:val="bottom"/>
          </w:tcPr>
          <w:p>
            <w:pPr>
              <w:spacing w:before="0" w:after="0"/>
              <w:ind w:right="-4956" w:rightChars="-2065"/>
              <w:rPr>
                <w:rFonts w:eastAsia="等线" w:cs="Times New Roman"/>
                <w:b/>
                <w:bCs/>
                <w:color w:val="000000"/>
                <w:sz w:val="22"/>
                <w:lang w:eastAsia="zh-CN" w:bidi="ar"/>
              </w:rPr>
            </w:pPr>
          </w:p>
          <w:p>
            <w:pPr>
              <w:spacing w:before="0" w:after="0"/>
              <w:ind w:right="-4956" w:rightChars="-2065"/>
              <w:rPr>
                <w:rFonts w:eastAsia="等线" w:cs="Times New Roman"/>
                <w:b/>
                <w:bCs/>
                <w:color w:val="000000"/>
                <w:sz w:val="22"/>
                <w:lang w:eastAsia="zh-CN" w:bidi="ar"/>
              </w:rPr>
            </w:pPr>
          </w:p>
          <w:p>
            <w:pPr>
              <w:spacing w:before="0" w:after="0"/>
              <w:ind w:right="-4956" w:rightChars="-2065"/>
              <w:rPr>
                <w:rFonts w:eastAsia="等线" w:cs="Times New Roman"/>
                <w:b/>
                <w:bCs/>
                <w:color w:val="000000"/>
                <w:szCs w:val="24"/>
              </w:rPr>
            </w:pPr>
            <w:r>
              <w:rPr>
                <w:rFonts w:eastAsia="等线" w:cs="Times New Roman"/>
                <w:b/>
                <w:bCs/>
                <w:color w:val="000000"/>
                <w:szCs w:val="24"/>
                <w:lang w:eastAsia="zh-CN" w:bidi="ar"/>
              </w:rPr>
              <w:t xml:space="preserve">Table S4 Ages of main lineages and species of </w:t>
            </w:r>
            <w:r>
              <w:rPr>
                <w:rFonts w:eastAsia="等线" w:cs="Times New Roman"/>
                <w:b/>
                <w:bCs/>
                <w:i/>
                <w:iCs/>
                <w:color w:val="000000"/>
                <w:szCs w:val="24"/>
                <w:lang w:eastAsia="zh-CN" w:bidi="ar"/>
              </w:rPr>
              <w:t>Callicarpa</w:t>
            </w:r>
            <w:r>
              <w:rPr>
                <w:rFonts w:eastAsia="等线" w:cs="Times New Roman"/>
                <w:b/>
                <w:bCs/>
                <w:color w:val="000000"/>
                <w:szCs w:val="24"/>
                <w:lang w:eastAsia="zh-CN" w:bidi="ar"/>
              </w:rPr>
              <w:t xml:space="preserve"> based on our BEAST analysis.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23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Major species</w:t>
            </w:r>
          </w:p>
        </w:tc>
        <w:tc>
          <w:tcPr>
            <w:tcW w:w="2264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Ages (Ma)</w:t>
            </w:r>
          </w:p>
        </w:tc>
        <w:tc>
          <w:tcPr>
            <w:tcW w:w="2551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95%HPD (Ma)</w:t>
            </w:r>
          </w:p>
        </w:tc>
        <w:tc>
          <w:tcPr>
            <w:tcW w:w="2702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Crown age (Ma)</w:t>
            </w:r>
          </w:p>
        </w:tc>
        <w:tc>
          <w:tcPr>
            <w:tcW w:w="2968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b/>
                <w:bCs/>
                <w:color w:val="000000"/>
                <w:sz w:val="18"/>
                <w:szCs w:val="18"/>
                <w:lang w:eastAsia="zh-CN" w:bidi="ar"/>
              </w:rPr>
              <w:t>95% HPD of crown age (Ma)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maingayi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9.92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1.34, 22.17</w:t>
            </w:r>
          </w:p>
        </w:tc>
        <w:tc>
          <w:tcPr>
            <w:tcW w:w="2702" w:type="dxa"/>
            <w:vMerge w:val="restart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16.51</w:t>
            </w:r>
          </w:p>
        </w:tc>
        <w:tc>
          <w:tcPr>
            <w:tcW w:w="2968" w:type="dxa"/>
            <w:vMerge w:val="restart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3.42, 33.78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furfuracea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9.92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1.34, 22.17</w:t>
            </w:r>
          </w:p>
        </w:tc>
        <w:tc>
          <w:tcPr>
            <w:tcW w:w="27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poilanei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4.37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0.04, 12.99</w:t>
            </w:r>
          </w:p>
        </w:tc>
        <w:tc>
          <w:tcPr>
            <w:tcW w:w="27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angustifolia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4.37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0.04, 12.99</w:t>
            </w:r>
          </w:p>
        </w:tc>
        <w:tc>
          <w:tcPr>
            <w:tcW w:w="27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702" w:type="dxa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americana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27.9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12.89, 41.67</w:t>
            </w:r>
          </w:p>
        </w:tc>
        <w:tc>
          <w:tcPr>
            <w:tcW w:w="2702" w:type="dxa"/>
            <w:vMerge w:val="restart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27.9</w:t>
            </w:r>
          </w:p>
        </w:tc>
        <w:tc>
          <w:tcPr>
            <w:tcW w:w="2968" w:type="dxa"/>
            <w:vMerge w:val="restart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12.89, 41.67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acuminata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27.9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12.89, 41.67</w:t>
            </w:r>
          </w:p>
        </w:tc>
        <w:tc>
          <w:tcPr>
            <w:tcW w:w="27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3123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264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702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arborea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17.03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7.35, 28.3</w:t>
            </w:r>
          </w:p>
        </w:tc>
        <w:tc>
          <w:tcPr>
            <w:tcW w:w="2702" w:type="dxa"/>
            <w:vMerge w:val="restart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17.03</w:t>
            </w:r>
          </w:p>
        </w:tc>
        <w:tc>
          <w:tcPr>
            <w:tcW w:w="2968" w:type="dxa"/>
            <w:vMerge w:val="restart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7.35, 28.3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 xml:space="preserve">C. </w:t>
            </w: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sp5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9.11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2.68, 17.55</w:t>
            </w:r>
          </w:p>
        </w:tc>
        <w:tc>
          <w:tcPr>
            <w:tcW w:w="27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 xml:space="preserve">C. </w:t>
            </w: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sp2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2.72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0.26, 6.92</w:t>
            </w:r>
          </w:p>
        </w:tc>
        <w:tc>
          <w:tcPr>
            <w:tcW w:w="27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erioclona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2.72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0.26, 6.92</w:t>
            </w:r>
          </w:p>
        </w:tc>
        <w:tc>
          <w:tcPr>
            <w:tcW w:w="27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 xml:space="preserve">C. </w:t>
            </w: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sp1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4.02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0.56, 9.26</w:t>
            </w:r>
          </w:p>
        </w:tc>
        <w:tc>
          <w:tcPr>
            <w:tcW w:w="27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 xml:space="preserve">C. </w:t>
            </w: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sp3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4.02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0.56, 9.26</w:t>
            </w:r>
          </w:p>
        </w:tc>
        <w:tc>
          <w:tcPr>
            <w:tcW w:w="27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yunnanensis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8.73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1.89, 15.42</w:t>
            </w:r>
          </w:p>
        </w:tc>
        <w:tc>
          <w:tcPr>
            <w:tcW w:w="27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candicans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8.73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1.89, 15.42</w:t>
            </w:r>
          </w:p>
        </w:tc>
        <w:tc>
          <w:tcPr>
            <w:tcW w:w="27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702" w:type="dxa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stapfii</w:t>
            </w: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 xml:space="preserve"> 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15.31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3.02, 19.56</w:t>
            </w:r>
          </w:p>
        </w:tc>
        <w:tc>
          <w:tcPr>
            <w:tcW w:w="2702" w:type="dxa"/>
            <w:vMerge w:val="restart"/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16.14</w:t>
            </w:r>
          </w:p>
        </w:tc>
        <w:tc>
          <w:tcPr>
            <w:tcW w:w="2968" w:type="dxa"/>
            <w:vMerge w:val="restart"/>
            <w:shd w:val="clear" w:color="auto" w:fill="auto"/>
            <w:noWrap/>
            <w:vAlign w:val="center"/>
          </w:tcPr>
          <w:p>
            <w:pPr>
              <w:spacing w:before="0" w:after="0"/>
              <w:jc w:val="both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6.88, 26.98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scandens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15.31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3.02, 19.56</w:t>
            </w:r>
          </w:p>
        </w:tc>
        <w:tc>
          <w:tcPr>
            <w:tcW w:w="27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pentandra</w:t>
            </w: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 xml:space="preserve"> 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7.01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1.68, 14.33</w:t>
            </w:r>
          </w:p>
        </w:tc>
        <w:tc>
          <w:tcPr>
            <w:tcW w:w="27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havilandii</w:t>
            </w: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 xml:space="preserve"> 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2.1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0.05, 5.64</w:t>
            </w:r>
          </w:p>
        </w:tc>
        <w:tc>
          <w:tcPr>
            <w:tcW w:w="27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hispida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2.1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0.05, 5.64</w:t>
            </w:r>
          </w:p>
        </w:tc>
        <w:tc>
          <w:tcPr>
            <w:tcW w:w="27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tcBorders>
              <w:bottom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264" w:type="dxa"/>
            <w:tcBorders>
              <w:bottom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bottom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tcBorders>
              <w:bottom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luteopunctata</w:t>
            </w:r>
          </w:p>
        </w:tc>
        <w:tc>
          <w:tcPr>
            <w:tcW w:w="2264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23.75</w:t>
            </w:r>
          </w:p>
        </w:tc>
        <w:tc>
          <w:tcPr>
            <w:tcW w:w="2551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13.12, 36.09</w:t>
            </w:r>
          </w:p>
        </w:tc>
        <w:tc>
          <w:tcPr>
            <w:tcW w:w="2702" w:type="dxa"/>
            <w:tcBorders>
              <w:top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tcBorders>
              <w:top w:val="single" w:color="auto" w:sz="4" w:space="0"/>
            </w:tcBorders>
            <w:shd w:val="clear" w:color="auto" w:fill="auto"/>
            <w:noWrap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peichieniana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13.4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2.56, 23.47</w:t>
            </w:r>
          </w:p>
        </w:tc>
        <w:tc>
          <w:tcPr>
            <w:tcW w:w="2702" w:type="dxa"/>
            <w:shd w:val="clear" w:color="auto" w:fill="auto"/>
            <w:noWrap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shd w:val="clear" w:color="auto" w:fill="auto"/>
            <w:noWrap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integerrima</w:t>
            </w: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 xml:space="preserve"> var.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 xml:space="preserve"> chinensis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8.19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1.17, 18.16</w:t>
            </w:r>
          </w:p>
        </w:tc>
        <w:tc>
          <w:tcPr>
            <w:tcW w:w="2702" w:type="dxa"/>
            <w:shd w:val="clear" w:color="auto" w:fill="auto"/>
            <w:noWrap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shd w:val="clear" w:color="auto" w:fill="auto"/>
            <w:noWrap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dichotoma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8.19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1.17, 18.16</w:t>
            </w:r>
          </w:p>
        </w:tc>
        <w:tc>
          <w:tcPr>
            <w:tcW w:w="2702" w:type="dxa"/>
            <w:shd w:val="clear" w:color="auto" w:fill="auto"/>
            <w:noWrap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shd w:val="clear" w:color="auto" w:fill="auto"/>
            <w:noWrap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264" w:type="dxa"/>
            <w:shd w:val="clear" w:color="auto" w:fill="auto"/>
            <w:noWrap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noWrap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702" w:type="dxa"/>
            <w:shd w:val="clear" w:color="auto" w:fill="auto"/>
            <w:noWrap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shd w:val="clear" w:color="auto" w:fill="auto"/>
            <w:noWrap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macrophylla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8.01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0.68, 17.71</w:t>
            </w:r>
          </w:p>
        </w:tc>
        <w:tc>
          <w:tcPr>
            <w:tcW w:w="2702" w:type="dxa"/>
            <w:vMerge w:val="restart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16.51</w:t>
            </w:r>
          </w:p>
        </w:tc>
        <w:tc>
          <w:tcPr>
            <w:tcW w:w="2968" w:type="dxa"/>
            <w:vMerge w:val="restart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9.48, 25.16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nudiflora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8.01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0.68, 17.71</w:t>
            </w:r>
          </w:p>
        </w:tc>
        <w:tc>
          <w:tcPr>
            <w:tcW w:w="27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longissima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8.73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0.58, 15.88</w:t>
            </w:r>
          </w:p>
        </w:tc>
        <w:tc>
          <w:tcPr>
            <w:tcW w:w="27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angusta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8.73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0.58, 15.88</w:t>
            </w:r>
          </w:p>
        </w:tc>
        <w:tc>
          <w:tcPr>
            <w:tcW w:w="27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 xml:space="preserve">C. </w:t>
            </w: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sp4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9.57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5.24, 14.86</w:t>
            </w:r>
          </w:p>
        </w:tc>
        <w:tc>
          <w:tcPr>
            <w:tcW w:w="27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albida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5.78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1.72, 10.2</w:t>
            </w:r>
          </w:p>
        </w:tc>
        <w:tc>
          <w:tcPr>
            <w:tcW w:w="27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longifolia</w:t>
            </w: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 xml:space="preserve"> var. 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lanceolaria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5.78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1.72, 10.2</w:t>
            </w:r>
          </w:p>
        </w:tc>
        <w:tc>
          <w:tcPr>
            <w:tcW w:w="27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longifolia</w:t>
            </w: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 xml:space="preserve"> 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8.56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0.06, 13.09</w:t>
            </w:r>
          </w:p>
        </w:tc>
        <w:tc>
          <w:tcPr>
            <w:tcW w:w="27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loboapiculata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4.97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0.02, 11.3</w:t>
            </w:r>
          </w:p>
        </w:tc>
        <w:tc>
          <w:tcPr>
            <w:tcW w:w="27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kochiana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4.97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0.02, 11.3</w:t>
            </w:r>
          </w:p>
        </w:tc>
        <w:tc>
          <w:tcPr>
            <w:tcW w:w="2702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3123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264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  <w:noWrap/>
            <w:vAlign w:val="bottom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702" w:type="dxa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japonica</w:t>
            </w: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 xml:space="preserve"> f. 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kiruninsularis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10.04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1.45, 16.34</w:t>
            </w:r>
          </w:p>
        </w:tc>
        <w:tc>
          <w:tcPr>
            <w:tcW w:w="2702" w:type="dxa"/>
            <w:vMerge w:val="restar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13.53</w:t>
            </w:r>
          </w:p>
        </w:tc>
        <w:tc>
          <w:tcPr>
            <w:tcW w:w="2968" w:type="dxa"/>
            <w:vMerge w:val="restar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</w:p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6.46, 22.37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 xml:space="preserve">C. brevipes </w:t>
            </w: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f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. annamensis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5.57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0.83, 12.26</w:t>
            </w:r>
          </w:p>
        </w:tc>
        <w:tc>
          <w:tcPr>
            <w:tcW w:w="270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hainanensis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0.1, 7.35</w:t>
            </w:r>
          </w:p>
        </w:tc>
        <w:tc>
          <w:tcPr>
            <w:tcW w:w="270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brevipes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0.1, 7.35</w:t>
            </w:r>
          </w:p>
        </w:tc>
        <w:tc>
          <w:tcPr>
            <w:tcW w:w="270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acutidens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7.96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1.51, 13.37</w:t>
            </w:r>
          </w:p>
        </w:tc>
        <w:tc>
          <w:tcPr>
            <w:tcW w:w="270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giraldii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4.8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0.67, 10.69</w:t>
            </w:r>
          </w:p>
        </w:tc>
        <w:tc>
          <w:tcPr>
            <w:tcW w:w="270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bodinieri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1.91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0.03, 5.34</w:t>
            </w:r>
          </w:p>
        </w:tc>
        <w:tc>
          <w:tcPr>
            <w:tcW w:w="270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glandulosa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1.91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0.03, 5.34</w:t>
            </w:r>
          </w:p>
        </w:tc>
        <w:tc>
          <w:tcPr>
            <w:tcW w:w="270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rubella</w:t>
            </w: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 xml:space="preserve"> f. 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crenata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8.71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3.57, 15.39</w:t>
            </w:r>
          </w:p>
        </w:tc>
        <w:tc>
          <w:tcPr>
            <w:tcW w:w="270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japonica</w:t>
            </w:r>
          </w:p>
        </w:tc>
        <w:tc>
          <w:tcPr>
            <w:tcW w:w="2264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3.9</w:t>
            </w:r>
          </w:p>
        </w:tc>
        <w:tc>
          <w:tcPr>
            <w:tcW w:w="2551" w:type="dxa"/>
            <w:tcBorders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0.65, 8.46</w:t>
            </w:r>
          </w:p>
        </w:tc>
        <w:tc>
          <w:tcPr>
            <w:tcW w:w="270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rubella</w:t>
            </w: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 xml:space="preserve"> f. 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angustata</w:t>
            </w:r>
          </w:p>
        </w:tc>
        <w:tc>
          <w:tcPr>
            <w:tcW w:w="2264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1.41</w:t>
            </w:r>
          </w:p>
        </w:tc>
        <w:tc>
          <w:tcPr>
            <w:tcW w:w="2551" w:type="dxa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0.07, 3.75</w:t>
            </w:r>
          </w:p>
        </w:tc>
        <w:tc>
          <w:tcPr>
            <w:tcW w:w="2702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rubella</w:t>
            </w: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 xml:space="preserve"> 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1.41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0.07, 3.75</w:t>
            </w:r>
          </w:p>
        </w:tc>
        <w:tc>
          <w:tcPr>
            <w:tcW w:w="2702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longipes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5.26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0.27, 7,11</w:t>
            </w:r>
          </w:p>
        </w:tc>
        <w:tc>
          <w:tcPr>
            <w:tcW w:w="270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mollis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5.26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0.27, 7,11</w:t>
            </w:r>
          </w:p>
        </w:tc>
        <w:tc>
          <w:tcPr>
            <w:tcW w:w="270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prolifera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2.42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0.2, 5.07</w:t>
            </w:r>
          </w:p>
        </w:tc>
        <w:tc>
          <w:tcPr>
            <w:tcW w:w="270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pauciflora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1.13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0, 2.32</w:t>
            </w:r>
          </w:p>
        </w:tc>
        <w:tc>
          <w:tcPr>
            <w:tcW w:w="270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kwangtunensis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1.13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0, 2.32</w:t>
            </w:r>
          </w:p>
        </w:tc>
        <w:tc>
          <w:tcPr>
            <w:tcW w:w="270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bodinieri</w:t>
            </w: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 xml:space="preserve"> var.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 xml:space="preserve"> rosthornii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2.91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0.38, 4.86</w:t>
            </w:r>
          </w:p>
        </w:tc>
        <w:tc>
          <w:tcPr>
            <w:tcW w:w="270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erythrosticta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0.86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0.03, 2.35</w:t>
            </w:r>
          </w:p>
        </w:tc>
        <w:tc>
          <w:tcPr>
            <w:tcW w:w="270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cathayana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0.86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0.03, 2.35</w:t>
            </w:r>
          </w:p>
        </w:tc>
        <w:tc>
          <w:tcPr>
            <w:tcW w:w="270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pedunculata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2.64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0.66, 5.28</w:t>
            </w:r>
          </w:p>
        </w:tc>
        <w:tc>
          <w:tcPr>
            <w:tcW w:w="270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pedunculata</w:t>
            </w: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 xml:space="preserve"> var. </w:t>
            </w: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longifolia</w:t>
            </w:r>
          </w:p>
        </w:tc>
        <w:tc>
          <w:tcPr>
            <w:tcW w:w="2264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1.5</w:t>
            </w:r>
          </w:p>
        </w:tc>
        <w:tc>
          <w:tcPr>
            <w:tcW w:w="2551" w:type="dxa"/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0.16, 3.33</w:t>
            </w:r>
          </w:p>
        </w:tc>
        <w:tc>
          <w:tcPr>
            <w:tcW w:w="270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312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i/>
                <w:iCs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i/>
                <w:iCs/>
                <w:color w:val="000000"/>
                <w:sz w:val="18"/>
                <w:szCs w:val="18"/>
                <w:lang w:eastAsia="zh-CN" w:bidi="ar"/>
              </w:rPr>
              <w:t>C. formosana</w:t>
            </w:r>
          </w:p>
        </w:tc>
        <w:tc>
          <w:tcPr>
            <w:tcW w:w="2264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1.5</w:t>
            </w:r>
          </w:p>
        </w:tc>
        <w:tc>
          <w:tcPr>
            <w:tcW w:w="2551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spacing w:before="0" w:after="0"/>
              <w:rPr>
                <w:rFonts w:eastAsia="等线" w:cs="Times New Roman"/>
                <w:color w:val="000000"/>
                <w:sz w:val="18"/>
                <w:szCs w:val="18"/>
              </w:rPr>
            </w:pPr>
            <w:r>
              <w:rPr>
                <w:rFonts w:eastAsia="等线" w:cs="Times New Roman"/>
                <w:color w:val="000000"/>
                <w:sz w:val="18"/>
                <w:szCs w:val="18"/>
                <w:lang w:eastAsia="zh-CN" w:bidi="ar"/>
              </w:rPr>
              <w:t>0.16, 3.33</w:t>
            </w:r>
          </w:p>
        </w:tc>
        <w:tc>
          <w:tcPr>
            <w:tcW w:w="270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296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rPr>
                <w:rFonts w:ascii="Calibri" w:hAnsi="Calibri" w:cs="Times New Roman"/>
                <w:sz w:val="20"/>
                <w:szCs w:val="20"/>
              </w:rPr>
            </w:pPr>
          </w:p>
        </w:tc>
      </w:tr>
    </w:tbl>
    <w:p>
      <w:pPr>
        <w:widowControl w:val="0"/>
        <w:spacing w:before="0" w:after="0"/>
        <w:ind w:right="122" w:rightChars="51"/>
        <w:jc w:val="both"/>
      </w:pPr>
    </w:p>
    <w:p>
      <w:pPr>
        <w:widowControl w:val="0"/>
        <w:spacing w:before="0" w:after="0"/>
        <w:jc w:val="both"/>
      </w:pPr>
    </w:p>
    <w:p>
      <w:pPr>
        <w:widowControl w:val="0"/>
        <w:spacing w:before="0" w:after="0"/>
        <w:jc w:val="both"/>
        <w:rPr>
          <w:rFonts w:cs="Times New Roman"/>
        </w:rPr>
      </w:pPr>
    </w:p>
    <w:p/>
    <w:p>
      <w:pPr>
        <w:spacing w:before="240"/>
      </w:pPr>
    </w:p>
    <w:sectPr>
      <w:pgSz w:w="15840" w:h="12240" w:orient="landscape"/>
      <w:pgMar w:top="1282" w:right="1138" w:bottom="1181" w:left="1138" w:header="720" w:footer="72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10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10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eastAsia="zh-CN"/>
      </w:rPr>
      <w:drawing>
        <wp:inline distT="0" distB="0" distL="0" distR="0">
          <wp:extent cx="1382395" cy="496570"/>
          <wp:effectExtent l="0" t="0" r="0" b="0"/>
          <wp:docPr id="23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720"/>
  <w:evenAndOddHeaders w:val="1"/>
  <w:displayHorizontalDrawingGridEvery w:val="0"/>
  <w:displayVerticalDrawingGridEvery w:val="2"/>
  <w:characterSpacingControl w:val="doNotCompress"/>
  <w:footnotePr>
    <w:footnote w:id="0"/>
    <w:footnote w:id="1"/>
  </w:foot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Q4NzA1YjdjNzdkMTM4YWJkZGYzOGQ2NDdiMGUyODYifQ=="/>
  </w:docVars>
  <w:rsids>
    <w:rsidRoot w:val="00803D24"/>
    <w:rsid w:val="0001436A"/>
    <w:rsid w:val="00034304"/>
    <w:rsid w:val="00035434"/>
    <w:rsid w:val="00052A14"/>
    <w:rsid w:val="000662EE"/>
    <w:rsid w:val="00077D53"/>
    <w:rsid w:val="000A512B"/>
    <w:rsid w:val="00105FD9"/>
    <w:rsid w:val="00117666"/>
    <w:rsid w:val="001549D3"/>
    <w:rsid w:val="00160065"/>
    <w:rsid w:val="00161AC5"/>
    <w:rsid w:val="00177D84"/>
    <w:rsid w:val="00267D18"/>
    <w:rsid w:val="0027223A"/>
    <w:rsid w:val="0028460B"/>
    <w:rsid w:val="002868E2"/>
    <w:rsid w:val="002869C3"/>
    <w:rsid w:val="002936E4"/>
    <w:rsid w:val="002A43D1"/>
    <w:rsid w:val="002B4A57"/>
    <w:rsid w:val="002C74CA"/>
    <w:rsid w:val="003544FB"/>
    <w:rsid w:val="003D2F2D"/>
    <w:rsid w:val="00401590"/>
    <w:rsid w:val="00447801"/>
    <w:rsid w:val="00452E9C"/>
    <w:rsid w:val="004735C8"/>
    <w:rsid w:val="0049216F"/>
    <w:rsid w:val="004961FF"/>
    <w:rsid w:val="004E5270"/>
    <w:rsid w:val="00517A89"/>
    <w:rsid w:val="005250F2"/>
    <w:rsid w:val="00593EEA"/>
    <w:rsid w:val="005A5EEE"/>
    <w:rsid w:val="005C0533"/>
    <w:rsid w:val="005D510D"/>
    <w:rsid w:val="006375C7"/>
    <w:rsid w:val="00654E8F"/>
    <w:rsid w:val="00660D05"/>
    <w:rsid w:val="006820B1"/>
    <w:rsid w:val="006A77DA"/>
    <w:rsid w:val="006B7D14"/>
    <w:rsid w:val="00701727"/>
    <w:rsid w:val="0070566C"/>
    <w:rsid w:val="00714C50"/>
    <w:rsid w:val="00725A7D"/>
    <w:rsid w:val="007501BE"/>
    <w:rsid w:val="00790BB3"/>
    <w:rsid w:val="007C206C"/>
    <w:rsid w:val="007D79C3"/>
    <w:rsid w:val="00803D24"/>
    <w:rsid w:val="00817DD6"/>
    <w:rsid w:val="00885156"/>
    <w:rsid w:val="00886C36"/>
    <w:rsid w:val="009151AA"/>
    <w:rsid w:val="00915D31"/>
    <w:rsid w:val="0093429D"/>
    <w:rsid w:val="00943573"/>
    <w:rsid w:val="00970F7D"/>
    <w:rsid w:val="00994A3D"/>
    <w:rsid w:val="009C2B12"/>
    <w:rsid w:val="009C70F3"/>
    <w:rsid w:val="00A174D9"/>
    <w:rsid w:val="00A569CD"/>
    <w:rsid w:val="00A77280"/>
    <w:rsid w:val="00AB6715"/>
    <w:rsid w:val="00B1671E"/>
    <w:rsid w:val="00B25EB8"/>
    <w:rsid w:val="00B354E1"/>
    <w:rsid w:val="00B37F4D"/>
    <w:rsid w:val="00C20A83"/>
    <w:rsid w:val="00C52A7B"/>
    <w:rsid w:val="00C56BAF"/>
    <w:rsid w:val="00C679AA"/>
    <w:rsid w:val="00C75972"/>
    <w:rsid w:val="00CC0A3A"/>
    <w:rsid w:val="00CD066B"/>
    <w:rsid w:val="00CE4FEE"/>
    <w:rsid w:val="00DB59C3"/>
    <w:rsid w:val="00DC03C7"/>
    <w:rsid w:val="00DC259A"/>
    <w:rsid w:val="00DE23E8"/>
    <w:rsid w:val="00E40E61"/>
    <w:rsid w:val="00E52377"/>
    <w:rsid w:val="00E64E17"/>
    <w:rsid w:val="00E866C9"/>
    <w:rsid w:val="00E9587E"/>
    <w:rsid w:val="00EA3D3C"/>
    <w:rsid w:val="00F46900"/>
    <w:rsid w:val="00F61D89"/>
    <w:rsid w:val="07417BC7"/>
    <w:rsid w:val="084E5ED0"/>
    <w:rsid w:val="0F3A26DF"/>
    <w:rsid w:val="20AF2B96"/>
    <w:rsid w:val="23544AD9"/>
    <w:rsid w:val="43004301"/>
    <w:rsid w:val="4651388E"/>
    <w:rsid w:val="54E23E5C"/>
    <w:rsid w:val="57730905"/>
    <w:rsid w:val="5F845BA8"/>
    <w:rsid w:val="624F2F20"/>
    <w:rsid w:val="71E75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w14:defaultImageDpi w14:val="33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styleId="9">
    <w:name w:val="No Spacing"/>
    <w:unhideWhenUsed/>
    <w:qFormat/>
    <w:uiPriority w:val="99"/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semiHidden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semiHidden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semiHidden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semiHidden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39"/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semiHidden/>
    <w:unhideWhenUsed/>
    <w:qFormat/>
    <w:uiPriority w:val="99"/>
    <w:rPr>
      <w:vertAlign w:val="superscript"/>
    </w:rPr>
  </w:style>
  <w:style w:type="character" w:styleId="25">
    <w:name w:val="FollowedHyperlink"/>
    <w:basedOn w:val="2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semiHidden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semiHidden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semiHidden/>
    <w:unhideWhenUsed/>
    <w:qFormat/>
    <w:uiPriority w:val="99"/>
    <w:rPr>
      <w:vertAlign w:val="superscript"/>
    </w:rPr>
  </w:style>
  <w:style w:type="character" w:customStyle="1" w:styleId="31">
    <w:name w:val="Heading 1 Char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Heading 2 Char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Subtitle Char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Balloon Text Char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书籍标题1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Comment Text Char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Comment Subject Char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Endnote Text Char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Footer Char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Footnote Text Char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Header Char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明显强调1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明显参考1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Heading 3 Char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Heading 4 Char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Heading 5 Char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styleId="48">
    <w:name w:val="Quote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Quote Char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不明显强调1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Title Char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  <w:style w:type="paragraph" w:customStyle="1" w:styleId="53">
    <w:name w:val="修订1"/>
    <w:hidden/>
    <w:semiHidden/>
    <w:qFormat/>
    <w:uiPriority w:val="99"/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character" w:customStyle="1" w:styleId="54">
    <w:name w:val="样式1 字符"/>
    <w:basedOn w:val="22"/>
    <w:link w:val="55"/>
    <w:qFormat/>
    <w:uiPriority w:val="0"/>
    <w:rPr>
      <w:rFonts w:hint="default" w:ascii="Times New Roman" w:hAnsi="Times New Roman" w:eastAsia="Times New Roman" w:cs="Times New Roman"/>
      <w:kern w:val="2"/>
      <w:sz w:val="28"/>
      <w:szCs w:val="30"/>
    </w:rPr>
  </w:style>
  <w:style w:type="paragraph" w:customStyle="1" w:styleId="55">
    <w:name w:val="样式1"/>
    <w:basedOn w:val="1"/>
    <w:link w:val="54"/>
    <w:qFormat/>
    <w:uiPriority w:val="0"/>
    <w:pPr>
      <w:widowControl w:val="0"/>
      <w:spacing w:before="0" w:after="0"/>
      <w:jc w:val="both"/>
    </w:pPr>
    <w:rPr>
      <w:rFonts w:eastAsia="Times New Roman" w:cs="Times New Roman"/>
      <w:kern w:val="2"/>
      <w:sz w:val="28"/>
      <w:szCs w:val="30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6.xml"/><Relationship Id="rId18" Type="http://schemas.openxmlformats.org/officeDocument/2006/relationships/customXml" Target="../customXml/item5.xml"/><Relationship Id="rId17" Type="http://schemas.openxmlformats.org/officeDocument/2006/relationships/customXml" Target="../customXml/item4.xml"/><Relationship Id="rId16" Type="http://schemas.openxmlformats.org/officeDocument/2006/relationships/customXml" Target="../customXml/item3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/>
</ds:datastoreItem>
</file>

<file path=customXml/itemProps3.xml><?xml version="1.0" encoding="utf-8"?>
<ds:datastoreItem xmlns:ds="http://schemas.openxmlformats.org/officeDocument/2006/customXml" ds:itemID="{2558679B-78FB-42CD-A1EA-A99096AF5568}">
  <ds:schemaRefs/>
</ds:datastoreItem>
</file>

<file path=customXml/itemProps4.xml><?xml version="1.0" encoding="utf-8"?>
<ds:datastoreItem xmlns:ds="http://schemas.openxmlformats.org/officeDocument/2006/customXml" ds:itemID="{F791EFA1-2745-4081-8536-C9E09C4DB912}">
  <ds:schemaRefs/>
</ds:datastoreItem>
</file>

<file path=customXml/itemProps5.xml><?xml version="1.0" encoding="utf-8"?>
<ds:datastoreItem xmlns:ds="http://schemas.openxmlformats.org/officeDocument/2006/customXml" ds:itemID="{4B2E0E22-D442-4EBE-AAA2-EDC8871E7B41}">
  <ds:schemaRefs/>
</ds:datastoreItem>
</file>

<file path=customXml/itemProps6.xml><?xml version="1.0" encoding="utf-8"?>
<ds:datastoreItem xmlns:ds="http://schemas.openxmlformats.org/officeDocument/2006/customXml" ds:itemID="{A3D4929F-83D0-432F-8F82-6D4423C25F5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Pages>11</Pages>
  <Words>689</Words>
  <Characters>4221</Characters>
  <Lines>45</Lines>
  <Paragraphs>12</Paragraphs>
  <TotalTime>14</TotalTime>
  <ScaleCrop>false</ScaleCrop>
  <LinksUpToDate>false</LinksUpToDate>
  <CharactersWithSpaces>4576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2022-12-27T11:50:00Z</dcterms:created>
  <dc:creator>Frontiers</dc:creator>
  <cp:lastModifiedBy>tick tick</cp:lastModifiedBy>
  <cp:lastPrinted>2013-10-03T12:51:00Z</cp:lastPrinted>
  <dcterms:modified xsi:type="dcterms:W3CDTF">2023-05-05T13:56:21Z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KSOProductBuildVer">
    <vt:lpwstr>2052-11.1.0.14309</vt:lpwstr>
  </property>
  <property fmtid="{D5CDD505-2E9C-101B-9397-08002B2CF9AE}" pid="11" name="ICV">
    <vt:lpwstr>A41F2CBB8D9D48DEB3DAB9D333F3F6E0_13</vt:lpwstr>
  </property>
</Properties>
</file>