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AF" w:rsidRPr="00191418" w:rsidRDefault="00A84BAF" w:rsidP="006B549C">
      <w:pPr>
        <w:rPr>
          <w:b/>
        </w:rPr>
      </w:pPr>
      <w:bookmarkStart w:id="0" w:name="_GoBack"/>
      <w:r>
        <w:rPr>
          <w:b/>
        </w:rPr>
        <w:t>Supplementary material</w:t>
      </w:r>
      <w:r w:rsidR="00191418">
        <w:rPr>
          <w:b/>
        </w:rPr>
        <w:t xml:space="preserve"> – Table 1 and references taken from original primary study (O’Shea et al 2021</w:t>
      </w:r>
      <w:r w:rsidR="00191418">
        <w:rPr>
          <w:b/>
          <w:vertAlign w:val="superscript"/>
        </w:rPr>
        <w:t>41</w:t>
      </w:r>
      <w:r w:rsidR="00191418">
        <w:rPr>
          <w:b/>
        </w:rPr>
        <w:t>)</w:t>
      </w:r>
    </w:p>
    <w:bookmarkEnd w:id="0"/>
    <w:p w:rsidR="006B549C" w:rsidRPr="0014046E" w:rsidRDefault="006B549C" w:rsidP="006B549C">
      <w:pPr>
        <w:rPr>
          <w:b/>
        </w:rPr>
      </w:pPr>
      <w:r>
        <w:rPr>
          <w:b/>
        </w:rPr>
        <w:t xml:space="preserve">Table 1. </w:t>
      </w:r>
      <w:r w:rsidRPr="0014046E">
        <w:rPr>
          <w:b/>
        </w:rPr>
        <w:t>In</w:t>
      </w:r>
      <w:r>
        <w:rPr>
          <w:b/>
        </w:rPr>
        <w:t>clusion and exclusion criteria for routine genetic testing integration i</w:t>
      </w:r>
      <w:r w:rsidRPr="0014046E">
        <w:rPr>
          <w:b/>
        </w:rPr>
        <w:t>ntervention studies</w:t>
      </w:r>
      <w:r>
        <w:rPr>
          <w:b/>
        </w:rPr>
        <w:t xml:space="preserve"> in oncology</w:t>
      </w:r>
    </w:p>
    <w:p w:rsidR="006B549C" w:rsidRPr="0014046E" w:rsidRDefault="006B549C" w:rsidP="006B549C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94"/>
        <w:gridCol w:w="3522"/>
        <w:gridCol w:w="3405"/>
      </w:tblGrid>
      <w:tr w:rsidR="006B549C" w:rsidRPr="0014046E" w:rsidTr="00971652"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bookmarkStart w:id="1" w:name="_Hlk534703226"/>
            <w:r w:rsidRPr="0014046E">
              <w:rPr>
                <w:b/>
                <w:lang w:val="en-GB"/>
              </w:rPr>
              <w:t xml:space="preserve">Selection criteria </w:t>
            </w:r>
          </w:p>
        </w:tc>
        <w:tc>
          <w:tcPr>
            <w:tcW w:w="382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>Inclusion criteria</w:t>
            </w:r>
          </w:p>
        </w:tc>
        <w:tc>
          <w:tcPr>
            <w:tcW w:w="3820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 xml:space="preserve">Exclusion criteria </w:t>
            </w:r>
          </w:p>
        </w:tc>
      </w:tr>
      <w:tr w:rsidR="006B549C" w:rsidRPr="0014046E" w:rsidTr="00971652"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 xml:space="preserve">Study type </w:t>
            </w:r>
          </w:p>
        </w:tc>
        <w:tc>
          <w:tcPr>
            <w:tcW w:w="3828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 xml:space="preserve">Interventions 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</w:p>
        </w:tc>
      </w:tr>
      <w:tr w:rsidR="006B549C" w:rsidRPr="0014046E" w:rsidTr="00971652"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>Study design</w:t>
            </w:r>
          </w:p>
        </w:tc>
        <w:tc>
          <w:tcPr>
            <w:tcW w:w="3828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Randomised control trials (RCTs) – including step wedge and cluster RCT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Non-randomised quasi-experimental design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9572F5">
              <w:rPr>
                <w:lang w:val="en-GB"/>
              </w:rPr>
              <w:t xml:space="preserve">Cohort study 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9572F5">
              <w:rPr>
                <w:lang w:val="en-GB"/>
              </w:rPr>
              <w:t xml:space="preserve">Before and after study </w:t>
            </w:r>
            <w:r>
              <w:rPr>
                <w:lang w:val="en-GB"/>
              </w:rPr>
              <w:t>(</w:t>
            </w:r>
            <w:r w:rsidRPr="009572F5">
              <w:rPr>
                <w:lang w:val="en-GB"/>
              </w:rPr>
              <w:t xml:space="preserve">including 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interrupted time series and multiple baseline design</w:t>
            </w:r>
            <w:r>
              <w:rPr>
                <w:lang w:val="en-GB"/>
              </w:rPr>
              <w:t>)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Observational studies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-cohort studies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9572F5">
              <w:rPr>
                <w:lang w:val="en-GB"/>
              </w:rPr>
              <w:t>Case series for intervention outcomes only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 xml:space="preserve">Qualitative- 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Qualitative studies that report on implementation outcomes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Case reports, case series, case-control, cross-sectional, designed with no comparator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Cross</w:t>
            </w:r>
            <w:r>
              <w:rPr>
                <w:lang w:val="en-GB"/>
              </w:rPr>
              <w:t>-s</w:t>
            </w:r>
            <w:r w:rsidRPr="009572F5">
              <w:rPr>
                <w:lang w:val="en-GB"/>
              </w:rPr>
              <w:t>ectional: Single point in time knowledge study no before or after (no comparison)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BC6FFD">
              <w:rPr>
                <w:lang w:val="en-GB"/>
              </w:rPr>
              <w:t>Case series (no comparator) except if report on an intervention outcome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Qualitative studies if they do not report on implementation or intervention outcomes</w:t>
            </w:r>
          </w:p>
        </w:tc>
      </w:tr>
      <w:tr w:rsidR="006B549C" w:rsidRPr="0014046E" w:rsidTr="00971652"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>Population</w:t>
            </w:r>
          </w:p>
        </w:tc>
        <w:tc>
          <w:tcPr>
            <w:tcW w:w="3828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Health providers of genetic testing and/or counselling for HBOC/LS including (but not limited to);</w:t>
            </w:r>
          </w:p>
          <w:p w:rsidR="006B549C" w:rsidRPr="009572F5" w:rsidRDefault="006B549C" w:rsidP="006B549C">
            <w:pPr>
              <w:numPr>
                <w:ilvl w:val="0"/>
                <w:numId w:val="2"/>
              </w:num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 xml:space="preserve">genetic counsellors, </w:t>
            </w:r>
          </w:p>
          <w:p w:rsidR="006B549C" w:rsidRPr="009572F5" w:rsidRDefault="006B549C" w:rsidP="006B549C">
            <w:pPr>
              <w:numPr>
                <w:ilvl w:val="0"/>
                <w:numId w:val="2"/>
              </w:num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 xml:space="preserve">clinical geneticists, </w:t>
            </w:r>
          </w:p>
          <w:p w:rsidR="006B549C" w:rsidRPr="009572F5" w:rsidRDefault="006B549C" w:rsidP="006B549C">
            <w:pPr>
              <w:numPr>
                <w:ilvl w:val="0"/>
                <w:numId w:val="2"/>
              </w:num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oncologists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FOR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 xml:space="preserve">Adult patients (&gt;18 years old) diagnosed with the following cancers; </w:t>
            </w:r>
          </w:p>
          <w:p w:rsidR="006B549C" w:rsidRPr="009572F5" w:rsidRDefault="006B549C" w:rsidP="006B549C">
            <w:pPr>
              <w:numPr>
                <w:ilvl w:val="0"/>
                <w:numId w:val="1"/>
              </w:num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ovarian</w:t>
            </w:r>
          </w:p>
          <w:p w:rsidR="006B549C" w:rsidRPr="009572F5" w:rsidRDefault="006B549C" w:rsidP="006B549C">
            <w:pPr>
              <w:numPr>
                <w:ilvl w:val="0"/>
                <w:numId w:val="1"/>
              </w:num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breast</w:t>
            </w:r>
          </w:p>
          <w:p w:rsidR="006B549C" w:rsidRPr="009572F5" w:rsidRDefault="006B549C" w:rsidP="006B549C">
            <w:pPr>
              <w:numPr>
                <w:ilvl w:val="0"/>
                <w:numId w:val="1"/>
              </w:num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 xml:space="preserve">colorectal </w:t>
            </w:r>
          </w:p>
          <w:p w:rsidR="006B549C" w:rsidRPr="009572F5" w:rsidRDefault="006B549C" w:rsidP="006B549C">
            <w:pPr>
              <w:numPr>
                <w:ilvl w:val="0"/>
                <w:numId w:val="1"/>
              </w:num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lastRenderedPageBreak/>
              <w:t xml:space="preserve">endometrial 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Minimum of 80% of population has to have the above cancers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lastRenderedPageBreak/>
              <w:t>Health providers with no involvement in mainstreaming genetic testing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Patients with other cancers not related to hereditary cancer syndromes HBOC and hereditary colorectal cancer LS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No specific data for the subgroup of interest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Paediatric cancer patients &lt;18 years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Asymptomatic individuals at high risk of HBOC and LS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Asymptomatic relatives of HBOC and LS identified families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</w:p>
        </w:tc>
      </w:tr>
      <w:tr w:rsidR="006B549C" w:rsidRPr="00FC6ED2" w:rsidTr="00971652">
        <w:tc>
          <w:tcPr>
            <w:tcW w:w="2268" w:type="dxa"/>
          </w:tcPr>
          <w:p w:rsidR="006B549C" w:rsidRPr="006A3E26" w:rsidRDefault="006B549C" w:rsidP="00971652">
            <w:pPr>
              <w:spacing w:after="160"/>
              <w:rPr>
                <w:b/>
                <w:u w:val="single"/>
                <w:lang w:val="en-GB"/>
              </w:rPr>
            </w:pPr>
            <w:r w:rsidRPr="006A3E26">
              <w:rPr>
                <w:b/>
                <w:u w:val="single"/>
                <w:lang w:val="en-GB"/>
              </w:rPr>
              <w:lastRenderedPageBreak/>
              <w:t>Intervention</w:t>
            </w:r>
          </w:p>
        </w:tc>
        <w:tc>
          <w:tcPr>
            <w:tcW w:w="3828" w:type="dxa"/>
          </w:tcPr>
          <w:p w:rsidR="006B549C" w:rsidRPr="008F3632" w:rsidRDefault="006B549C" w:rsidP="00971652">
            <w:pPr>
              <w:spacing w:after="160"/>
              <w:rPr>
                <w:bCs/>
                <w:lang w:val="en-GB"/>
              </w:rPr>
            </w:pPr>
            <w:r w:rsidRPr="008F3632">
              <w:rPr>
                <w:bCs/>
                <w:lang w:val="en-GB"/>
              </w:rPr>
              <w:t>Interventions aiming to implement pre-test genetic counselling and genetic or genomic testing through mainstreaming* for breast and ovarian cancer</w:t>
            </w:r>
          </w:p>
          <w:p w:rsidR="006B549C" w:rsidRPr="006A3E26" w:rsidRDefault="006B549C" w:rsidP="00971652">
            <w:pPr>
              <w:spacing w:after="160"/>
              <w:rPr>
                <w:bCs/>
                <w:u w:val="single"/>
                <w:lang w:val="en-GB"/>
              </w:rPr>
            </w:pPr>
            <w:r w:rsidRPr="006A3E26">
              <w:rPr>
                <w:bCs/>
                <w:u w:val="single"/>
                <w:lang w:val="en-GB"/>
              </w:rPr>
              <w:t>OR</w:t>
            </w:r>
          </w:p>
          <w:p w:rsidR="006B549C" w:rsidRPr="008F3632" w:rsidRDefault="006B549C" w:rsidP="00971652">
            <w:pPr>
              <w:spacing w:after="160"/>
              <w:rPr>
                <w:bCs/>
                <w:lang w:val="en-GB"/>
              </w:rPr>
            </w:pPr>
            <w:r w:rsidRPr="008F3632">
              <w:rPr>
                <w:bCs/>
                <w:lang w:val="en-GB"/>
              </w:rPr>
              <w:t>Interventions to increase pre-test genetic counselling and genetic testing completion rates after universal tumour screening (UTS) for colorectal and endometrial cancer.</w:t>
            </w:r>
          </w:p>
          <w:p w:rsidR="006B549C" w:rsidRPr="006A3E26" w:rsidRDefault="006B549C" w:rsidP="00971652">
            <w:pPr>
              <w:spacing w:after="160"/>
              <w:rPr>
                <w:bCs/>
                <w:u w:val="single"/>
                <w:lang w:val="en-GB"/>
              </w:rPr>
            </w:pPr>
            <w:r w:rsidRPr="006A3E26">
              <w:rPr>
                <w:bCs/>
                <w:u w:val="single"/>
                <w:lang w:val="en-GB"/>
              </w:rPr>
              <w:t>For example, through increasing;</w:t>
            </w:r>
          </w:p>
          <w:p w:rsidR="006B549C" w:rsidRPr="008F3632" w:rsidRDefault="006B549C" w:rsidP="00971652">
            <w:pPr>
              <w:spacing w:after="160"/>
              <w:rPr>
                <w:bCs/>
                <w:lang w:val="en-GB"/>
              </w:rPr>
            </w:pPr>
            <w:r w:rsidRPr="006A3E26">
              <w:rPr>
                <w:bCs/>
                <w:u w:val="single"/>
                <w:lang w:val="en-GB"/>
              </w:rPr>
              <w:t>-</w:t>
            </w:r>
            <w:r w:rsidRPr="008F3632">
              <w:rPr>
                <w:bCs/>
                <w:lang w:val="en-GB"/>
              </w:rPr>
              <w:t xml:space="preserve"> the knowledge/awareness of health providers re HBOC or LS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- patient access to genetic testing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- identification of hereditary cancer such as HBOC and LS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- follow up of HBOC/LS patients getting through the health system</w:t>
            </w:r>
          </w:p>
          <w:p w:rsidR="006B549C" w:rsidRPr="006A3E26" w:rsidRDefault="006B549C" w:rsidP="00971652">
            <w:pPr>
              <w:spacing w:after="160"/>
              <w:rPr>
                <w:u w:val="single"/>
                <w:lang w:val="en-GB"/>
              </w:rPr>
            </w:pPr>
            <w:r w:rsidRPr="006A3E26">
              <w:rPr>
                <w:u w:val="single"/>
                <w:lang w:val="en-GB"/>
              </w:rPr>
              <w:t>OR</w:t>
            </w:r>
          </w:p>
          <w:p w:rsidR="006B549C" w:rsidRPr="008F3632" w:rsidRDefault="006B549C" w:rsidP="00971652">
            <w:pPr>
              <w:spacing w:after="160"/>
              <w:rPr>
                <w:bCs/>
                <w:lang w:val="en-GB"/>
              </w:rPr>
            </w:pPr>
            <w:r w:rsidRPr="008F3632">
              <w:rPr>
                <w:bCs/>
                <w:lang w:val="en-GB"/>
              </w:rPr>
              <w:t>Multicomponent interventions that target the health provider and patient to achieve the above</w:t>
            </w:r>
          </w:p>
        </w:tc>
        <w:tc>
          <w:tcPr>
            <w:tcW w:w="3820" w:type="dxa"/>
            <w:shd w:val="clear" w:color="auto" w:fill="auto"/>
          </w:tcPr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Interventions not used to increase identification of HBOC or LS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Research genetic or genomic testing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Laboratory methods of genetic testing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 xml:space="preserve">Data on likelihood of HBOC/LS mutation detection, mutation incidence or phenotype without any information on mainstreaming of genetic testing for the patient or health provider  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Childhood-onset hereditary cancer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 xml:space="preserve">Multi component interventions aimed 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solely at the patient except if the patient intervention is targeted to influence the health system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Studies with UTS steps not involved in mainstreaming</w:t>
            </w:r>
          </w:p>
          <w:p w:rsidR="006B549C" w:rsidRPr="008F3632" w:rsidRDefault="006B549C" w:rsidP="00971652">
            <w:pPr>
              <w:spacing w:after="160"/>
              <w:rPr>
                <w:lang w:val="en-GB"/>
              </w:rPr>
            </w:pPr>
            <w:r w:rsidRPr="008F3632">
              <w:rPr>
                <w:lang w:val="en-GB"/>
              </w:rPr>
              <w:t>Physician discretionary referral to genetic counselling</w:t>
            </w:r>
          </w:p>
          <w:p w:rsidR="006B549C" w:rsidRPr="006A3E26" w:rsidRDefault="006B549C" w:rsidP="00971652">
            <w:pPr>
              <w:spacing w:after="160"/>
              <w:rPr>
                <w:u w:val="single"/>
                <w:lang w:val="en-GB"/>
              </w:rPr>
            </w:pPr>
          </w:p>
        </w:tc>
      </w:tr>
      <w:tr w:rsidR="006B549C" w:rsidRPr="0014046E" w:rsidTr="00971652"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 xml:space="preserve">Comparator </w:t>
            </w:r>
          </w:p>
        </w:tc>
        <w:tc>
          <w:tcPr>
            <w:tcW w:w="3828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Standard care/no intervention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Another Intervention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 xml:space="preserve"> </w:t>
            </w:r>
          </w:p>
        </w:tc>
      </w:tr>
      <w:tr w:rsidR="006B549C" w:rsidRPr="0014046E" w:rsidTr="00971652">
        <w:trPr>
          <w:trHeight w:val="1369"/>
        </w:trPr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 xml:space="preserve">Outcomes </w:t>
            </w:r>
          </w:p>
        </w:tc>
        <w:tc>
          <w:tcPr>
            <w:tcW w:w="3828" w:type="dxa"/>
          </w:tcPr>
          <w:p w:rsidR="006B549C" w:rsidRDefault="006B549C" w:rsidP="00971652">
            <w:pPr>
              <w:spacing w:after="160"/>
              <w:rPr>
                <w:lang w:val="en-GB"/>
              </w:rPr>
            </w:pPr>
            <w:r w:rsidRPr="00CF09EF">
              <w:rPr>
                <w:i/>
                <w:u w:val="single"/>
                <w:lang w:val="en-GB"/>
              </w:rPr>
              <w:t>Implementation</w:t>
            </w:r>
            <w:r w:rsidRPr="00CF09EF">
              <w:rPr>
                <w:u w:val="single"/>
                <w:lang w:val="en-GB"/>
              </w:rPr>
              <w:t xml:space="preserve"> </w:t>
            </w:r>
            <w:r w:rsidRPr="00CF09EF">
              <w:rPr>
                <w:i/>
                <w:u w:val="single"/>
                <w:lang w:val="en-GB"/>
              </w:rPr>
              <w:t>Outcomes</w:t>
            </w:r>
            <w:r w:rsidRPr="009572F5">
              <w:rPr>
                <w:lang w:val="en-GB"/>
              </w:rPr>
              <w:t>–</w:t>
            </w:r>
            <w:r w:rsidRPr="006B7375">
              <w:rPr>
                <w:lang w:val="en-GB"/>
              </w:rPr>
              <w:t xml:space="preserve"> </w:t>
            </w:r>
          </w:p>
          <w:p w:rsidR="006B549C" w:rsidRPr="009572F5" w:rsidRDefault="006B549C" w:rsidP="00971652">
            <w:pPr>
              <w:spacing w:after="160"/>
              <w:rPr>
                <w:i/>
                <w:lang w:val="en-GB"/>
              </w:rPr>
            </w:pPr>
            <w:r>
              <w:rPr>
                <w:lang w:val="en-GB"/>
              </w:rPr>
              <w:t>-</w:t>
            </w:r>
            <w:r w:rsidRPr="006A3E26">
              <w:rPr>
                <w:lang w:val="en-GB"/>
              </w:rPr>
              <w:t>Acceptability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-</w:t>
            </w:r>
            <w:r w:rsidRPr="006A3E26">
              <w:rPr>
                <w:lang w:val="en-GB"/>
              </w:rPr>
              <w:t>Adoption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-Appropriateness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-</w:t>
            </w:r>
            <w:r w:rsidRPr="006A3E26">
              <w:rPr>
                <w:lang w:val="en-GB"/>
              </w:rPr>
              <w:t>Feasibility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-Cost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-Fidelity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-Penetration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-Sustainability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</w:p>
          <w:p w:rsidR="006B549C" w:rsidRDefault="006B549C" w:rsidP="00971652">
            <w:pPr>
              <w:spacing w:after="160"/>
              <w:rPr>
                <w:lang w:val="en-GB"/>
              </w:rPr>
            </w:pP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 w:rsidRPr="00CF09EF">
              <w:rPr>
                <w:i/>
                <w:u w:val="single"/>
                <w:lang w:val="en-GB"/>
              </w:rPr>
              <w:t>Service Outcomes</w:t>
            </w:r>
            <w:r>
              <w:rPr>
                <w:lang w:val="en-GB"/>
              </w:rPr>
              <w:t xml:space="preserve"> 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6A3E26">
              <w:rPr>
                <w:lang w:val="en-GB"/>
              </w:rPr>
              <w:t>Efficiency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-Safety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-Effectiveness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-Equity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-</w:t>
            </w:r>
            <w:r w:rsidRPr="006A3E26">
              <w:rPr>
                <w:lang w:val="en-GB"/>
              </w:rPr>
              <w:t>Patient centeredness</w:t>
            </w:r>
          </w:p>
          <w:p w:rsidR="006B549C" w:rsidRPr="009572F5" w:rsidRDefault="006B549C" w:rsidP="00971652">
            <w:pPr>
              <w:spacing w:after="160"/>
              <w:rPr>
                <w:i/>
                <w:u w:val="single"/>
                <w:lang w:val="en-GB"/>
              </w:rPr>
            </w:pPr>
            <w:r>
              <w:rPr>
                <w:lang w:val="en-GB"/>
              </w:rPr>
              <w:t>-Timeliness</w:t>
            </w:r>
          </w:p>
          <w:p w:rsidR="006B549C" w:rsidRPr="00CF09EF" w:rsidRDefault="006B549C" w:rsidP="00971652">
            <w:pPr>
              <w:spacing w:after="160"/>
              <w:rPr>
                <w:i/>
                <w:u w:val="single"/>
                <w:lang w:val="en-GB"/>
              </w:rPr>
            </w:pPr>
            <w:r w:rsidRPr="00CF09EF">
              <w:rPr>
                <w:i/>
                <w:u w:val="single"/>
                <w:lang w:val="en-GB"/>
              </w:rPr>
              <w:t>Client outcomes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-Satisfaction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-Function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-Symptomatology</w:t>
            </w:r>
          </w:p>
          <w:p w:rsidR="006B549C" w:rsidRPr="00CF09EF" w:rsidRDefault="006B549C" w:rsidP="00971652">
            <w:pPr>
              <w:spacing w:after="160"/>
              <w:rPr>
                <w:b/>
                <w:u w:val="single"/>
                <w:lang w:val="en-GB"/>
              </w:rPr>
            </w:pPr>
            <w:r w:rsidRPr="00CF09EF">
              <w:rPr>
                <w:b/>
                <w:u w:val="single"/>
                <w:lang w:val="en-GB"/>
              </w:rPr>
              <w:t>CFIR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-Intervention Characteristics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-Inner Setting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-Outer Setting</w:t>
            </w:r>
          </w:p>
          <w:p w:rsidR="006B549C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-Characteristics of Individuals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>
              <w:rPr>
                <w:lang w:val="en-GB"/>
              </w:rPr>
              <w:t>-Process</w:t>
            </w:r>
            <w:r w:rsidRPr="009572F5">
              <w:rPr>
                <w:lang w:val="en-GB"/>
              </w:rPr>
              <w:t xml:space="preserve"> 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 xml:space="preserve">Outcomes not linked to mainstreaming of genetic or genomic testing or enhancing the uptake of universal tumour screening to improve identification of HBOC and LS  </w:t>
            </w:r>
          </w:p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</w:p>
        </w:tc>
      </w:tr>
      <w:tr w:rsidR="006B549C" w:rsidRPr="0014046E" w:rsidTr="00971652"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>Language</w:t>
            </w:r>
          </w:p>
        </w:tc>
        <w:tc>
          <w:tcPr>
            <w:tcW w:w="3828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English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Not in English</w:t>
            </w:r>
          </w:p>
        </w:tc>
      </w:tr>
      <w:tr w:rsidR="006B549C" w:rsidRPr="0014046E" w:rsidTr="00971652">
        <w:trPr>
          <w:trHeight w:val="453"/>
        </w:trPr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>Publication period</w:t>
            </w:r>
          </w:p>
        </w:tc>
        <w:tc>
          <w:tcPr>
            <w:tcW w:w="3828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From January 1</w:t>
            </w:r>
            <w:r w:rsidRPr="009572F5">
              <w:rPr>
                <w:vertAlign w:val="superscript"/>
                <w:lang w:val="en-GB"/>
              </w:rPr>
              <w:t>st</w:t>
            </w:r>
            <w:r w:rsidRPr="009572F5">
              <w:rPr>
                <w:lang w:val="en-GB"/>
              </w:rPr>
              <w:t xml:space="preserve"> 1980 - present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Before 1980</w:t>
            </w:r>
          </w:p>
        </w:tc>
      </w:tr>
      <w:tr w:rsidR="006B549C" w:rsidRPr="0014046E" w:rsidTr="00971652">
        <w:trPr>
          <w:trHeight w:val="1880"/>
        </w:trPr>
        <w:tc>
          <w:tcPr>
            <w:tcW w:w="2268" w:type="dxa"/>
          </w:tcPr>
          <w:p w:rsidR="006B549C" w:rsidRPr="0014046E" w:rsidRDefault="006B549C" w:rsidP="00971652">
            <w:pPr>
              <w:spacing w:after="160"/>
              <w:rPr>
                <w:b/>
                <w:lang w:val="en-GB"/>
              </w:rPr>
            </w:pPr>
            <w:r w:rsidRPr="0014046E">
              <w:rPr>
                <w:b/>
                <w:lang w:val="en-GB"/>
              </w:rPr>
              <w:t>Publication type</w:t>
            </w:r>
          </w:p>
        </w:tc>
        <w:tc>
          <w:tcPr>
            <w:tcW w:w="3828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Journal article</w:t>
            </w:r>
          </w:p>
        </w:tc>
        <w:tc>
          <w:tcPr>
            <w:tcW w:w="3820" w:type="dxa"/>
          </w:tcPr>
          <w:p w:rsidR="006B549C" w:rsidRPr="009572F5" w:rsidRDefault="006B549C" w:rsidP="00971652">
            <w:pPr>
              <w:spacing w:after="160"/>
              <w:rPr>
                <w:lang w:val="en-GB"/>
              </w:rPr>
            </w:pPr>
            <w:r w:rsidRPr="009572F5">
              <w:rPr>
                <w:lang w:val="en-GB"/>
              </w:rPr>
              <w:t>Conference proceedings, posters, comments or editorials, letters, news, editorials, narrative reviews, theses, review</w:t>
            </w:r>
          </w:p>
        </w:tc>
      </w:tr>
      <w:bookmarkEnd w:id="1"/>
    </w:tbl>
    <w:p w:rsidR="006B549C" w:rsidRPr="0014046E" w:rsidRDefault="006B549C" w:rsidP="006B549C">
      <w:pPr>
        <w:rPr>
          <w:b/>
        </w:rPr>
      </w:pPr>
    </w:p>
    <w:p w:rsidR="006B549C" w:rsidRPr="00F7374F" w:rsidRDefault="006B549C" w:rsidP="006B549C">
      <w:pPr>
        <w:pStyle w:val="ListParagraph"/>
        <w:numPr>
          <w:ilvl w:val="0"/>
          <w:numId w:val="3"/>
        </w:numPr>
        <w:rPr>
          <w:b/>
        </w:rPr>
      </w:pPr>
      <w:r>
        <w:t>For the purposes of this systematic review m</w:t>
      </w:r>
      <w:r w:rsidRPr="009572F5">
        <w:t xml:space="preserve">ainstreaming is </w:t>
      </w:r>
      <w:r>
        <w:t>the process where</w:t>
      </w:r>
      <w:r w:rsidRPr="009572F5">
        <w:t xml:space="preserve"> all patients with a particular cancer are offered </w:t>
      </w:r>
      <w:r>
        <w:t xml:space="preserve">direct access to genetic testing in oncology care through </w:t>
      </w:r>
      <w:r w:rsidRPr="009572F5">
        <w:t>pre-test genetic counselling regardless of who does the genetic counselling (</w:t>
      </w:r>
      <w:proofErr w:type="spellStart"/>
      <w:r w:rsidRPr="009572F5">
        <w:t>eg</w:t>
      </w:r>
      <w:proofErr w:type="spellEnd"/>
      <w:r w:rsidRPr="009572F5">
        <w:t>. could be specialist or genetic counsellor).</w:t>
      </w:r>
    </w:p>
    <w:p w:rsidR="006B549C" w:rsidRDefault="006B549C" w:rsidP="006B549C">
      <w:pPr>
        <w:rPr>
          <w:b/>
        </w:rPr>
      </w:pPr>
      <w:r w:rsidRPr="0014046E">
        <w:rPr>
          <w:b/>
        </w:rPr>
        <w:br w:type="page"/>
      </w:r>
    </w:p>
    <w:p w:rsidR="006B549C" w:rsidRPr="0078575E" w:rsidRDefault="00A84BAF" w:rsidP="006B549C">
      <w:pPr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6B549C" w:rsidRPr="0078575E">
        <w:rPr>
          <w:b/>
          <w:lang w:val="en-US"/>
        </w:rPr>
        <w:t xml:space="preserve">References: Included </w:t>
      </w:r>
      <w:r>
        <w:rPr>
          <w:b/>
          <w:lang w:val="en-US"/>
        </w:rPr>
        <w:t xml:space="preserve">systematic review </w:t>
      </w:r>
      <w:r w:rsidR="006B549C" w:rsidRPr="0078575E">
        <w:rPr>
          <w:b/>
          <w:lang w:val="en-US"/>
        </w:rPr>
        <w:t>studies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122C">
        <w:rPr>
          <w:rFonts w:ascii="Times New Roman" w:hAnsi="Times New Roman" w:cs="Times New Roman"/>
          <w:sz w:val="24"/>
          <w:szCs w:val="24"/>
        </w:rPr>
        <w:t xml:space="preserve">29. George A, Riddell D, Seal S, </w:t>
      </w:r>
      <w:proofErr w:type="spellStart"/>
      <w:r w:rsidRPr="0041122C">
        <w:rPr>
          <w:rFonts w:ascii="Times New Roman" w:hAnsi="Times New Roman" w:cs="Times New Roman"/>
          <w:sz w:val="24"/>
          <w:szCs w:val="24"/>
        </w:rPr>
        <w:t>Talukdar</w:t>
      </w:r>
      <w:proofErr w:type="spellEnd"/>
      <w:r w:rsidRPr="0041122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41122C">
        <w:rPr>
          <w:rFonts w:ascii="Times New Roman" w:hAnsi="Times New Roman" w:cs="Times New Roman"/>
          <w:sz w:val="24"/>
          <w:szCs w:val="24"/>
        </w:rPr>
        <w:t>Mahamdallie</w:t>
      </w:r>
      <w:proofErr w:type="spellEnd"/>
      <w:r w:rsidRPr="0041122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41122C">
        <w:rPr>
          <w:rFonts w:ascii="Times New Roman" w:hAnsi="Times New Roman" w:cs="Times New Roman"/>
          <w:sz w:val="24"/>
          <w:szCs w:val="24"/>
        </w:rPr>
        <w:t>Ruark</w:t>
      </w:r>
      <w:proofErr w:type="spellEnd"/>
      <w:r w:rsidRPr="0041122C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41122C">
        <w:rPr>
          <w:rFonts w:ascii="Times New Roman" w:hAnsi="Times New Roman" w:cs="Times New Roman"/>
          <w:sz w:val="24"/>
          <w:szCs w:val="24"/>
        </w:rPr>
        <w:t>Clo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V, Slade I, Kemp Z, Gore M, </w:t>
      </w:r>
      <w:proofErr w:type="spellStart"/>
      <w:r w:rsidRPr="0041122C">
        <w:rPr>
          <w:rFonts w:ascii="Times New Roman" w:hAnsi="Times New Roman" w:cs="Times New Roman"/>
          <w:sz w:val="24"/>
          <w:szCs w:val="24"/>
        </w:rPr>
        <w:t>Strydom</w:t>
      </w:r>
      <w:proofErr w:type="spellEnd"/>
      <w:r w:rsidRPr="0041122C">
        <w:rPr>
          <w:rFonts w:ascii="Times New Roman" w:hAnsi="Times New Roman" w:cs="Times New Roman"/>
          <w:sz w:val="24"/>
          <w:szCs w:val="24"/>
        </w:rPr>
        <w:t xml:space="preserve"> A, Banerjee S, Hanson H, Rahman N.  Implementing rapid, robust, </w:t>
      </w:r>
      <w:proofErr w:type="spellStart"/>
      <w:r w:rsidRPr="0041122C">
        <w:rPr>
          <w:rFonts w:ascii="Times New Roman" w:hAnsi="Times New Roman" w:cs="Times New Roman"/>
          <w:sz w:val="24"/>
          <w:szCs w:val="24"/>
        </w:rPr>
        <w:t>costeffective</w:t>
      </w:r>
      <w:proofErr w:type="spellEnd"/>
      <w:r w:rsidRPr="0041122C">
        <w:rPr>
          <w:rFonts w:ascii="Times New Roman" w:hAnsi="Times New Roman" w:cs="Times New Roman"/>
          <w:sz w:val="24"/>
          <w:szCs w:val="24"/>
        </w:rPr>
        <w:t xml:space="preserve">, patient-centred, routine genetic testing in ovarian cancer patients. Sci. Rep. </w:t>
      </w:r>
      <w:r>
        <w:rPr>
          <w:rFonts w:ascii="Times New Roman" w:hAnsi="Times New Roman" w:cs="Times New Roman"/>
          <w:sz w:val="24"/>
          <w:szCs w:val="24"/>
        </w:rPr>
        <w:t xml:space="preserve">2016; </w:t>
      </w:r>
      <w:proofErr w:type="spellStart"/>
      <w:r w:rsidRPr="0041122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41122C">
        <w:rPr>
          <w:rFonts w:ascii="Times New Roman" w:hAnsi="Times New Roman" w:cs="Times New Roman"/>
          <w:sz w:val="24"/>
          <w:szCs w:val="24"/>
        </w:rPr>
        <w:t>: 10.1038/srep29506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Percival N, George A,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Gyertson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Hamill M,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Davies E, Rahman N, Banerjee </w:t>
      </w:r>
      <w:r w:rsidRPr="0041122C">
        <w:rPr>
          <w:rFonts w:ascii="Times New Roman" w:hAnsi="Times New Roman" w:cs="Times New Roman"/>
          <w:sz w:val="24"/>
          <w:szCs w:val="24"/>
        </w:rPr>
        <w:t>S.  The integration of BRCA testing into oncology clinics British Journal of Nursing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2016;</w:t>
      </w:r>
      <w:r w:rsidRPr="0041122C">
        <w:rPr>
          <w:rFonts w:ascii="Times New Roman" w:hAnsi="Times New Roman" w:cs="Times New Roman"/>
          <w:sz w:val="24"/>
          <w:szCs w:val="24"/>
        </w:rPr>
        <w:t>12:690</w:t>
      </w:r>
      <w:proofErr w:type="gramEnd"/>
      <w:r w:rsidRPr="0041122C">
        <w:rPr>
          <w:rFonts w:ascii="Times New Roman" w:hAnsi="Times New Roman" w:cs="Times New Roman"/>
          <w:sz w:val="24"/>
          <w:szCs w:val="24"/>
        </w:rPr>
        <w:t>-694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Plaskocinska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Shipman H, Drummond J, Thompson E, Buchanan V,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Newcombe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</w:rPr>
        <w:t>Tischkowitz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94">
        <w:rPr>
          <w:rFonts w:ascii="Times New Roman" w:hAnsi="Times New Roman" w:cs="Times New Roman"/>
          <w:sz w:val="24"/>
          <w:szCs w:val="24"/>
        </w:rPr>
        <w:t>New paradigms for BRCA1/BRCA2 testing in women with ovarian cancer: results of the Genetic Testing in Epithelial Ovarian Cancer (GTEOC) study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2A94">
        <w:rPr>
          <w:rFonts w:ascii="Times New Roman" w:hAnsi="Times New Roman" w:cs="Times New Roman"/>
          <w:sz w:val="24"/>
          <w:szCs w:val="24"/>
        </w:rPr>
        <w:t>J Med Ge</w:t>
      </w:r>
      <w:r>
        <w:rPr>
          <w:rFonts w:ascii="Times New Roman" w:hAnsi="Times New Roman" w:cs="Times New Roman"/>
          <w:sz w:val="24"/>
          <w:szCs w:val="24"/>
        </w:rPr>
        <w:t>net. 2016</w:t>
      </w:r>
      <w:r w:rsidRPr="00902A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94">
        <w:rPr>
          <w:rFonts w:ascii="Times New Roman" w:hAnsi="Times New Roman" w:cs="Times New Roman"/>
          <w:sz w:val="24"/>
          <w:szCs w:val="24"/>
        </w:rPr>
        <w:t>doi:10.1136/jmedgenet-2016-10390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Rahman B,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Kristeleit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RS, Ledermann, JA, McCormack M, Mould T, Side L.  </w:t>
      </w:r>
      <w:r w:rsidRPr="00902A94">
        <w:rPr>
          <w:rFonts w:ascii="Times New Roman" w:hAnsi="Times New Roman" w:cs="Times New Roman"/>
          <w:sz w:val="24"/>
          <w:szCs w:val="24"/>
        </w:rPr>
        <w:t>Mainstreamed genetic testing for women with ovaria</w:t>
      </w:r>
      <w:r>
        <w:rPr>
          <w:rFonts w:ascii="Times New Roman" w:hAnsi="Times New Roman" w:cs="Times New Roman"/>
          <w:sz w:val="24"/>
          <w:szCs w:val="24"/>
        </w:rPr>
        <w:t>n cancer: first-year experience. J Med Genet 2019</w:t>
      </w:r>
      <w:r w:rsidRPr="00902A9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94">
        <w:rPr>
          <w:rFonts w:ascii="Times New Roman" w:hAnsi="Times New Roman" w:cs="Times New Roman"/>
          <w:sz w:val="24"/>
          <w:szCs w:val="24"/>
        </w:rPr>
        <w:t>56:</w:t>
      </w:r>
      <w:r>
        <w:rPr>
          <w:rFonts w:ascii="Times New Roman" w:hAnsi="Times New Roman" w:cs="Times New Roman"/>
          <w:sz w:val="24"/>
          <w:szCs w:val="24"/>
        </w:rPr>
        <w:t xml:space="preserve"> 195–198. 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902A94">
        <w:rPr>
          <w:rFonts w:ascii="Times New Roman" w:hAnsi="Times New Roman" w:cs="Times New Roman"/>
          <w:sz w:val="24"/>
          <w:szCs w:val="24"/>
        </w:rPr>
        <w:t xml:space="preserve">Kentwell M, Dow E, </w:t>
      </w:r>
      <w:proofErr w:type="spellStart"/>
      <w:r w:rsidRPr="00902A94">
        <w:rPr>
          <w:rFonts w:ascii="Times New Roman" w:hAnsi="Times New Roman" w:cs="Times New Roman"/>
          <w:sz w:val="24"/>
          <w:szCs w:val="24"/>
        </w:rPr>
        <w:t>Antill</w:t>
      </w:r>
      <w:proofErr w:type="spellEnd"/>
      <w:r w:rsidRPr="00902A94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902A94">
        <w:rPr>
          <w:rFonts w:ascii="Times New Roman" w:hAnsi="Times New Roman" w:cs="Times New Roman"/>
          <w:sz w:val="24"/>
          <w:szCs w:val="24"/>
        </w:rPr>
        <w:t>Wrede</w:t>
      </w:r>
      <w:proofErr w:type="spellEnd"/>
      <w:r w:rsidRPr="00902A94">
        <w:rPr>
          <w:rFonts w:ascii="Times New Roman" w:hAnsi="Times New Roman" w:cs="Times New Roman"/>
          <w:sz w:val="24"/>
          <w:szCs w:val="24"/>
        </w:rPr>
        <w:t xml:space="preserve"> C D, McNally O, Higgs E, Hamilton A, </w:t>
      </w:r>
      <w:r>
        <w:rPr>
          <w:rFonts w:ascii="Times New Roman" w:hAnsi="Times New Roman" w:cs="Times New Roman"/>
          <w:sz w:val="24"/>
          <w:szCs w:val="24"/>
        </w:rPr>
        <w:t>Ananda S, Lindeman GJ, Scott CL</w:t>
      </w:r>
      <w:r w:rsidRPr="00902A94">
        <w:rPr>
          <w:rFonts w:ascii="Times New Roman" w:hAnsi="Times New Roman" w:cs="Times New Roman"/>
          <w:sz w:val="24"/>
          <w:szCs w:val="24"/>
        </w:rPr>
        <w:t xml:space="preserve">. Mainstreaming cancer genetics: A model integrating germline BRCA testing into routine ovarian cancer clinics. </w:t>
      </w:r>
      <w:proofErr w:type="spellStart"/>
      <w:r w:rsidRPr="00902A94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902A94">
        <w:rPr>
          <w:rFonts w:ascii="Times New Roman" w:hAnsi="Times New Roman" w:cs="Times New Roman"/>
          <w:sz w:val="24"/>
          <w:szCs w:val="24"/>
        </w:rPr>
        <w:t xml:space="preserve"> Oncology</w:t>
      </w:r>
      <w:r>
        <w:rPr>
          <w:rFonts w:ascii="Times New Roman" w:hAnsi="Times New Roman" w:cs="Times New Roman"/>
          <w:sz w:val="24"/>
          <w:szCs w:val="24"/>
        </w:rPr>
        <w:t>. 2017</w:t>
      </w:r>
      <w:r w:rsidRPr="00902A94">
        <w:rPr>
          <w:rFonts w:ascii="Times New Roman" w:hAnsi="Times New Roman" w:cs="Times New Roman"/>
          <w:sz w:val="24"/>
          <w:szCs w:val="24"/>
        </w:rPr>
        <w:t xml:space="preserve"> 145: 130-136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O'Malley DM,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Backes</w:t>
      </w:r>
      <w:proofErr w:type="spellEnd"/>
      <w:r w:rsidRPr="00902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FJ, Copeland</w:t>
      </w:r>
      <w:r w:rsidRPr="00902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LJ, </w:t>
      </w:r>
      <w:r w:rsidRPr="00902A94">
        <w:rPr>
          <w:rFonts w:ascii="Times New Roman" w:hAnsi="Times New Roman" w:cs="Times New Roman"/>
          <w:sz w:val="24"/>
          <w:szCs w:val="24"/>
        </w:rPr>
        <w:t>Fowl</w:t>
      </w:r>
      <w:r>
        <w:rPr>
          <w:rFonts w:ascii="Times New Roman" w:hAnsi="Times New Roman" w:cs="Times New Roman"/>
          <w:sz w:val="24"/>
          <w:szCs w:val="24"/>
        </w:rPr>
        <w:t xml:space="preserve">er JM,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Salani</w:t>
      </w:r>
      <w:proofErr w:type="spellEnd"/>
      <w:r w:rsidRPr="00902A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R, </w:t>
      </w:r>
      <w:r w:rsidRPr="00902A94">
        <w:rPr>
          <w:rFonts w:ascii="Times New Roman" w:hAnsi="Times New Roman" w:cs="Times New Roman"/>
          <w:sz w:val="24"/>
          <w:szCs w:val="24"/>
        </w:rPr>
        <w:t>Cohn</w:t>
      </w:r>
      <w:r>
        <w:rPr>
          <w:rFonts w:ascii="Times New Roman" w:hAnsi="Times New Roman" w:cs="Times New Roman"/>
          <w:sz w:val="24"/>
          <w:szCs w:val="24"/>
        </w:rPr>
        <w:t xml:space="preserve"> DE. </w:t>
      </w:r>
      <w:r w:rsidRPr="00902A94">
        <w:rPr>
          <w:rFonts w:ascii="Times New Roman" w:hAnsi="Times New Roman" w:cs="Times New Roman"/>
          <w:sz w:val="24"/>
          <w:szCs w:val="24"/>
        </w:rPr>
        <w:t xml:space="preserve">Genetic consultation embedded in a </w:t>
      </w:r>
      <w:proofErr w:type="spellStart"/>
      <w:r w:rsidRPr="00902A94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902A94">
        <w:rPr>
          <w:rFonts w:ascii="Times New Roman" w:hAnsi="Times New Roman" w:cs="Times New Roman"/>
          <w:sz w:val="24"/>
          <w:szCs w:val="24"/>
        </w:rPr>
        <w:t xml:space="preserve"> oncology clinic improves compliance with guideline-based care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2A94">
        <w:t xml:space="preserve"> </w:t>
      </w:r>
      <w:proofErr w:type="spellStart"/>
      <w:r w:rsidRPr="00902A94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902A94">
        <w:rPr>
          <w:rFonts w:ascii="Times New Roman" w:hAnsi="Times New Roman" w:cs="Times New Roman"/>
          <w:sz w:val="24"/>
          <w:szCs w:val="24"/>
        </w:rPr>
        <w:t xml:space="preserve"> Oncology</w:t>
      </w:r>
      <w:r>
        <w:rPr>
          <w:rFonts w:ascii="Times New Roman" w:hAnsi="Times New Roman" w:cs="Times New Roman"/>
          <w:sz w:val="24"/>
          <w:szCs w:val="24"/>
        </w:rPr>
        <w:t xml:space="preserve">. 2017; 147: </w:t>
      </w:r>
      <w:r w:rsidRPr="00902A94">
        <w:rPr>
          <w:rFonts w:ascii="Times New Roman" w:hAnsi="Times New Roman" w:cs="Times New Roman"/>
          <w:sz w:val="24"/>
          <w:szCs w:val="24"/>
        </w:rPr>
        <w:t>110–114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Bednar EM, Oakley HD, Sun CC, Burke CC,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Munsell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MF, Westin SN, Lu KH.  </w:t>
      </w:r>
      <w:r w:rsidRPr="00902A94">
        <w:rPr>
          <w:rFonts w:ascii="Times New Roman" w:hAnsi="Times New Roman" w:cs="Times New Roman"/>
          <w:sz w:val="24"/>
          <w:szCs w:val="24"/>
        </w:rPr>
        <w:t>A universal genetic testing initiative for patients with high-grade, non-mucinous epithelial ovarian cancer and the i</w:t>
      </w:r>
      <w:r>
        <w:rPr>
          <w:rFonts w:ascii="Times New Roman" w:hAnsi="Times New Roman" w:cs="Times New Roman"/>
          <w:sz w:val="24"/>
          <w:szCs w:val="24"/>
        </w:rPr>
        <w:t xml:space="preserve">mplications for cancer treatment.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Oncology</w:t>
      </w:r>
      <w:r>
        <w:rPr>
          <w:rFonts w:ascii="Times New Roman" w:hAnsi="Times New Roman" w:cs="Times New Roman"/>
          <w:sz w:val="24"/>
          <w:szCs w:val="24"/>
        </w:rPr>
        <w:t xml:space="preserve">. 2017;146 </w:t>
      </w:r>
      <w:r w:rsidRPr="00C776B9">
        <w:rPr>
          <w:rFonts w:ascii="Times New Roman" w:hAnsi="Times New Roman" w:cs="Times New Roman"/>
          <w:sz w:val="24"/>
          <w:szCs w:val="24"/>
        </w:rPr>
        <w:t>399–404</w:t>
      </w:r>
    </w:p>
    <w:p w:rsidR="006B549C" w:rsidRPr="00C776B9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Uyar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Neary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J, Monroe A, Nugent M, Simpson P,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Geurts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JL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76B9">
        <w:rPr>
          <w:rFonts w:ascii="Times New Roman" w:hAnsi="Times New Roman" w:cs="Times New Roman"/>
          <w:sz w:val="24"/>
          <w:szCs w:val="24"/>
        </w:rPr>
        <w:t xml:space="preserve"> Implementing a quality improvement project for universal genetic testing in women with ovarian cancer.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oncology</w:t>
      </w:r>
      <w:r>
        <w:rPr>
          <w:rFonts w:ascii="Times New Roman" w:hAnsi="Times New Roman" w:cs="Times New Roman"/>
          <w:sz w:val="24"/>
          <w:szCs w:val="24"/>
        </w:rPr>
        <w:t>. 2018</w:t>
      </w:r>
      <w:r w:rsidRPr="00C77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10.1016/j.ygyno.2018.03.0590090-8258/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Swanson CL, Kumar</w:t>
      </w:r>
      <w:r w:rsidRPr="00C77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JM,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Kemppai</w:t>
      </w:r>
      <w:r>
        <w:rPr>
          <w:rFonts w:ascii="Times New Roman" w:hAnsi="Times New Roman" w:cs="Times New Roman"/>
          <w:sz w:val="24"/>
          <w:szCs w:val="24"/>
        </w:rPr>
        <w:t>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JL, Thomas BC,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KM, Mara KC, </w:t>
      </w:r>
      <w:r w:rsidRPr="00C776B9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 xml:space="preserve">ck MJ,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Bakkum-Gamez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JN. </w:t>
      </w:r>
      <w:r w:rsidRPr="00C776B9">
        <w:rPr>
          <w:rFonts w:ascii="Times New Roman" w:hAnsi="Times New Roman" w:cs="Times New Roman"/>
          <w:sz w:val="24"/>
          <w:szCs w:val="24"/>
        </w:rPr>
        <w:t xml:space="preserve">Increasing genetic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referral rates through bundled interventions after ovarian cancer diagnosis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Oncology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77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; 149:</w:t>
      </w:r>
      <w:r w:rsidRPr="00C776B9">
        <w:rPr>
          <w:rFonts w:ascii="Times New Roman" w:hAnsi="Times New Roman" w:cs="Times New Roman"/>
          <w:sz w:val="24"/>
          <w:szCs w:val="24"/>
        </w:rPr>
        <w:t xml:space="preserve"> 121–126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Brown J, Athens A, Tait DL, Crane EK, Higgins RVR, </w:t>
      </w:r>
      <w:proofErr w:type="spellStart"/>
      <w:r>
        <w:rPr>
          <w:rFonts w:ascii="Times New Roman" w:hAnsi="Times New Roman" w:cs="Times New Roman"/>
          <w:sz w:val="24"/>
          <w:szCs w:val="24"/>
        </w:rPr>
        <w:t>Naumann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>
        <w:rPr>
          <w:rFonts w:ascii="Times New Roman" w:hAnsi="Times New Roman" w:cs="Times New Roman"/>
          <w:sz w:val="24"/>
          <w:szCs w:val="24"/>
        </w:rPr>
        <w:t>Hadzikadic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-North, L. </w:t>
      </w:r>
      <w:r w:rsidRPr="00C776B9">
        <w:rPr>
          <w:rFonts w:ascii="Times New Roman" w:hAnsi="Times New Roman" w:cs="Times New Roman"/>
          <w:sz w:val="24"/>
          <w:szCs w:val="24"/>
        </w:rPr>
        <w:t xml:space="preserve">A Comprehensive Program Enabling Effective Delivery of Regional Genetic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C776B9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C776B9">
        <w:rPr>
          <w:rFonts w:ascii="Times New Roman" w:hAnsi="Times New Roman" w:cs="Times New Roman"/>
          <w:sz w:val="24"/>
          <w:szCs w:val="24"/>
        </w:rPr>
        <w:t xml:space="preserve"> Cancer 201</w:t>
      </w:r>
      <w:r>
        <w:rPr>
          <w:rFonts w:ascii="Times New Roman" w:hAnsi="Times New Roman" w:cs="Times New Roman"/>
          <w:sz w:val="24"/>
          <w:szCs w:val="24"/>
        </w:rPr>
        <w:t>8;28: 996-1002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Bednar EM, Sun CC, Camacho B, Terrell J, </w:t>
      </w:r>
      <w:proofErr w:type="spellStart"/>
      <w:r>
        <w:rPr>
          <w:rFonts w:ascii="Times New Roman" w:hAnsi="Times New Roman" w:cs="Times New Roman"/>
          <w:sz w:val="24"/>
          <w:szCs w:val="24"/>
        </w:rPr>
        <w:t>Rieber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Ramondetta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Freedman RS, Lu KH.  </w:t>
      </w:r>
      <w:r w:rsidRPr="005F755E">
        <w:rPr>
          <w:rFonts w:ascii="Times New Roman" w:hAnsi="Times New Roman" w:cs="Times New Roman"/>
          <w:sz w:val="24"/>
          <w:szCs w:val="24"/>
        </w:rPr>
        <w:t xml:space="preserve">Disseminating universal genetic testing to a diverse, indigent patient population at a county hospital </w:t>
      </w:r>
      <w:proofErr w:type="spellStart"/>
      <w:r w:rsidRPr="005F755E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5F755E">
        <w:rPr>
          <w:rFonts w:ascii="Times New Roman" w:hAnsi="Times New Roman" w:cs="Times New Roman"/>
          <w:sz w:val="24"/>
          <w:szCs w:val="24"/>
        </w:rPr>
        <w:t xml:space="preserve"> oncology clinic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755E">
        <w:t xml:space="preserve"> </w:t>
      </w:r>
      <w:proofErr w:type="spellStart"/>
      <w:r w:rsidRPr="005F755E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5F755E">
        <w:rPr>
          <w:rFonts w:ascii="Times New Roman" w:hAnsi="Times New Roman" w:cs="Times New Roman"/>
          <w:sz w:val="24"/>
          <w:szCs w:val="24"/>
        </w:rPr>
        <w:t xml:space="preserve"> Oncology</w:t>
      </w:r>
      <w:r>
        <w:rPr>
          <w:rFonts w:ascii="Times New Roman" w:hAnsi="Times New Roman" w:cs="Times New Roman"/>
          <w:sz w:val="24"/>
          <w:szCs w:val="24"/>
        </w:rPr>
        <w:t>. 2019;</w:t>
      </w:r>
      <w:r w:rsidRPr="005F755E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F755E">
        <w:rPr>
          <w:rFonts w:ascii="Times New Roman" w:hAnsi="Times New Roman" w:cs="Times New Roman"/>
          <w:sz w:val="24"/>
          <w:szCs w:val="24"/>
        </w:rPr>
        <w:t xml:space="preserve"> 328–333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Kemp Z, Turnbull A, Yost S, Seal 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Mahamdallie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Poyastro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-Pearson E, Warren-Perry M,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Eccleston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Tan M, Hwang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Turner N, </w:t>
      </w:r>
      <w:proofErr w:type="spellStart"/>
      <w:r w:rsidRPr="005F755E">
        <w:rPr>
          <w:rFonts w:ascii="Times New Roman" w:hAnsi="Times New Roman" w:cs="Times New Roman"/>
          <w:sz w:val="24"/>
          <w:szCs w:val="24"/>
        </w:rPr>
        <w:t>Stryd</w:t>
      </w:r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George A, Rahman N. </w:t>
      </w:r>
      <w:r w:rsidRPr="005F755E">
        <w:rPr>
          <w:rFonts w:ascii="Times New Roman" w:hAnsi="Times New Roman" w:cs="Times New Roman"/>
          <w:sz w:val="24"/>
          <w:szCs w:val="24"/>
        </w:rPr>
        <w:t xml:space="preserve">Evaluation of Cancer-Based Criteria for Use in Mainstream BRCA1 and BRCA2 Genetic Testing in Patients </w:t>
      </w:r>
      <w:proofErr w:type="gramStart"/>
      <w:r w:rsidRPr="005F755E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5F755E">
        <w:rPr>
          <w:rFonts w:ascii="Times New Roman" w:hAnsi="Times New Roman" w:cs="Times New Roman"/>
          <w:sz w:val="24"/>
          <w:szCs w:val="24"/>
        </w:rPr>
        <w:t xml:space="preserve"> Breast Cancer</w:t>
      </w:r>
      <w:r>
        <w:rPr>
          <w:rFonts w:ascii="Times New Roman" w:hAnsi="Times New Roman" w:cs="Times New Roman"/>
          <w:sz w:val="24"/>
          <w:szCs w:val="24"/>
        </w:rPr>
        <w:t>. J</w:t>
      </w:r>
      <w:r w:rsidRPr="005F755E">
        <w:rPr>
          <w:rFonts w:ascii="Times New Roman" w:hAnsi="Times New Roman" w:cs="Times New Roman"/>
          <w:sz w:val="24"/>
          <w:szCs w:val="24"/>
        </w:rPr>
        <w:t>AMA Network Open.</w:t>
      </w:r>
      <w:r>
        <w:rPr>
          <w:rFonts w:ascii="Times New Roman" w:hAnsi="Times New Roman" w:cs="Times New Roman"/>
          <w:sz w:val="24"/>
          <w:szCs w:val="24"/>
        </w:rPr>
        <w:t xml:space="preserve"> 2019; e194428. doi:10.1001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Miesfeldt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Feero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WG, Lucas FL, Rasmussen K. </w:t>
      </w:r>
      <w:r w:rsidRPr="005F755E">
        <w:rPr>
          <w:rFonts w:ascii="Times New Roman" w:hAnsi="Times New Roman" w:cs="Times New Roman"/>
          <w:sz w:val="24"/>
          <w:szCs w:val="24"/>
        </w:rPr>
        <w:t>Association of patient navigation with care coordination in a Lynch syndrome screening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Med. 2018 </w:t>
      </w:r>
      <w:proofErr w:type="gramStart"/>
      <w:r>
        <w:rPr>
          <w:rFonts w:ascii="Times New Roman" w:hAnsi="Times New Roman" w:cs="Times New Roman"/>
          <w:sz w:val="24"/>
          <w:szCs w:val="24"/>
        </w:rPr>
        <w:t>23;8</w:t>
      </w:r>
      <w:r w:rsidRPr="00363F46">
        <w:rPr>
          <w:rFonts w:ascii="Times New Roman" w:hAnsi="Times New Roman" w:cs="Times New Roman"/>
          <w:sz w:val="24"/>
          <w:szCs w:val="24"/>
        </w:rPr>
        <w:t>:4</w:t>
      </w:r>
      <w:r>
        <w:rPr>
          <w:rFonts w:ascii="Times New Roman" w:hAnsi="Times New Roman" w:cs="Times New Roman"/>
          <w:sz w:val="24"/>
          <w:szCs w:val="24"/>
        </w:rPr>
        <w:t>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-455. 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Long JC,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Williams R, Salisbury E, O’Neill S, </w:t>
      </w:r>
      <w:proofErr w:type="spellStart"/>
      <w:r>
        <w:rPr>
          <w:rFonts w:ascii="Times New Roman" w:hAnsi="Times New Roman" w:cs="Times New Roman"/>
          <w:sz w:val="24"/>
          <w:szCs w:val="24"/>
        </w:rPr>
        <w:t>Eykman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Butler J, Rawson R, Phan-Thien K, Stephen R. Thompson SR, Braithwaite I, Chin JM, Taylor N. </w:t>
      </w:r>
      <w:r w:rsidRPr="005F755E">
        <w:rPr>
          <w:rFonts w:ascii="Times New Roman" w:hAnsi="Times New Roman" w:cs="Times New Roman"/>
          <w:sz w:val="24"/>
          <w:szCs w:val="24"/>
        </w:rPr>
        <w:t>Using behaviour change and implementation science to address low referral rates in oncology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755E">
        <w:rPr>
          <w:rFonts w:ascii="Times New Roman" w:hAnsi="Times New Roman" w:cs="Times New Roman"/>
          <w:sz w:val="24"/>
          <w:szCs w:val="24"/>
        </w:rPr>
        <w:t xml:space="preserve"> BMC H</w:t>
      </w:r>
      <w:r>
        <w:rPr>
          <w:rFonts w:ascii="Times New Roman" w:hAnsi="Times New Roman" w:cs="Times New Roman"/>
          <w:sz w:val="24"/>
          <w:szCs w:val="24"/>
        </w:rPr>
        <w:t xml:space="preserve">ealth Services Research. </w:t>
      </w:r>
      <w:r w:rsidRPr="005F755E">
        <w:rPr>
          <w:rFonts w:ascii="Times New Roman" w:hAnsi="Times New Roman" w:cs="Times New Roman"/>
          <w:sz w:val="24"/>
          <w:szCs w:val="24"/>
        </w:rPr>
        <w:t>2018 18:904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Cohen PA, </w:t>
      </w:r>
      <w:r w:rsidRPr="00007CE1">
        <w:rPr>
          <w:rFonts w:ascii="Times New Roman" w:hAnsi="Times New Roman" w:cs="Times New Roman"/>
          <w:sz w:val="24"/>
          <w:szCs w:val="24"/>
        </w:rPr>
        <w:t>Nicho</w:t>
      </w:r>
      <w:r>
        <w:rPr>
          <w:rFonts w:ascii="Times New Roman" w:hAnsi="Times New Roman" w:cs="Times New Roman"/>
          <w:sz w:val="24"/>
          <w:szCs w:val="24"/>
        </w:rPr>
        <w:t xml:space="preserve">ls CB, Schofield L, Van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Pachter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 </w:t>
      </w:r>
      <w:r w:rsidRPr="00007CE1">
        <w:rPr>
          <w:rFonts w:ascii="Times New Roman" w:hAnsi="Times New Roman" w:cs="Times New Roman"/>
          <w:sz w:val="24"/>
          <w:szCs w:val="24"/>
        </w:rPr>
        <w:t xml:space="preserve">Impact of Clinical Genetics Attendance at a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Oncology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Board on Referrals for Genetic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and BRCA Mutation Testing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CE1">
        <w:rPr>
          <w:rFonts w:ascii="Times New Roman" w:hAnsi="Times New Roman" w:cs="Times New Roman"/>
          <w:sz w:val="24"/>
          <w:szCs w:val="24"/>
        </w:rPr>
        <w:t>International Journal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Cancer. 2016; 26: 892-897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Plesec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T, Liu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X, </w:t>
      </w:r>
      <w:proofErr w:type="spellStart"/>
      <w:r>
        <w:rPr>
          <w:rFonts w:ascii="Times New Roman" w:hAnsi="Times New Roman" w:cs="Times New Roman"/>
          <w:sz w:val="24"/>
          <w:szCs w:val="24"/>
        </w:rPr>
        <w:t>Pai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Moline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J, Sharp RR, Burke</w:t>
      </w:r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Kalady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MF, Church J,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00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007CE1">
        <w:rPr>
          <w:rFonts w:ascii="Times New Roman" w:hAnsi="Times New Roman" w:cs="Times New Roman"/>
          <w:sz w:val="24"/>
          <w:szCs w:val="24"/>
        </w:rPr>
        <w:t xml:space="preserve">Implementation of Universal Microsatellite Instability and Immunohistochemistry Screening for Diagnosing Lynch Syndrome in a Large Academic Medical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>. Journal of Clinical Oncology. 2013; 31: 1336-1340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Hanley GE, </w:t>
      </w:r>
      <w:proofErr w:type="spellStart"/>
      <w:r>
        <w:rPr>
          <w:rFonts w:ascii="Times New Roman" w:hAnsi="Times New Roman" w:cs="Times New Roman"/>
          <w:sz w:val="24"/>
          <w:szCs w:val="24"/>
        </w:rPr>
        <w:t>McAlpine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JN, Miller D, Huntsman D, Schrader KA,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CB, Mitchell G. </w:t>
      </w:r>
      <w:r w:rsidRPr="00007CE1">
        <w:rPr>
          <w:rFonts w:ascii="Times New Roman" w:hAnsi="Times New Roman" w:cs="Times New Roman"/>
          <w:sz w:val="24"/>
          <w:szCs w:val="24"/>
        </w:rPr>
        <w:t xml:space="preserve">A population-based analysis of germline BRCA1 and BRCA2 testing among ovarian cancer patients in an era of </w:t>
      </w:r>
      <w:proofErr w:type="spellStart"/>
      <w:r w:rsidRPr="00007CE1">
        <w:rPr>
          <w:rFonts w:ascii="Times New Roman" w:hAnsi="Times New Roman" w:cs="Times New Roman"/>
          <w:sz w:val="24"/>
          <w:szCs w:val="24"/>
        </w:rPr>
        <w:t>histotype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07CE1">
        <w:rPr>
          <w:rFonts w:ascii="Times New Roman" w:hAnsi="Times New Roman" w:cs="Times New Roman"/>
          <w:sz w:val="24"/>
          <w:szCs w:val="24"/>
        </w:rPr>
        <w:t>specific approaches to ovarian cancer prevention</w:t>
      </w:r>
      <w:r>
        <w:rPr>
          <w:rFonts w:ascii="Times New Roman" w:hAnsi="Times New Roman" w:cs="Times New Roman"/>
          <w:sz w:val="24"/>
          <w:szCs w:val="24"/>
        </w:rPr>
        <w:t xml:space="preserve">. BMC Cancer. 2018; </w:t>
      </w:r>
      <w:r w:rsidRPr="00007CE1">
        <w:rPr>
          <w:rFonts w:ascii="Times New Roman" w:hAnsi="Times New Roman" w:cs="Times New Roman"/>
          <w:sz w:val="24"/>
          <w:szCs w:val="24"/>
        </w:rPr>
        <w:t xml:space="preserve">18:254 </w:t>
      </w:r>
      <w:hyperlink r:id="rId5" w:history="1">
        <w:r w:rsidRPr="00A2174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https://doi.org/10.1186/s12885-018-4153-8</w:t>
        </w:r>
      </w:hyperlink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SV, Vogel RI, </w:t>
      </w:r>
      <w:proofErr w:type="spellStart"/>
      <w:r>
        <w:rPr>
          <w:rFonts w:ascii="Times New Roman" w:hAnsi="Times New Roman" w:cs="Times New Roman"/>
          <w:sz w:val="24"/>
          <w:szCs w:val="24"/>
        </w:rPr>
        <w:t>McNiel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PA, Geller MA. </w:t>
      </w:r>
      <w:r w:rsidRPr="00E33261">
        <w:rPr>
          <w:rFonts w:ascii="Times New Roman" w:hAnsi="Times New Roman" w:cs="Times New Roman"/>
          <w:sz w:val="24"/>
          <w:szCs w:val="24"/>
        </w:rPr>
        <w:t>Improving Referral for Genetic Risk Assessment in Ovarian Cancer Using an Electronic Medical Record System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E33261">
        <w:rPr>
          <w:rFonts w:ascii="Times New Roman" w:hAnsi="Times New Roman" w:cs="Times New Roman"/>
          <w:sz w:val="24"/>
          <w:szCs w:val="24"/>
        </w:rPr>
        <w:t>nternational Journal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Gynecological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Cancer. 2014; 24:1003-1009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Cohen SA,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Bowen DJ, Upton MP, Pritchard C, Grady WM.</w:t>
      </w:r>
      <w:r w:rsidRPr="00E33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261">
        <w:rPr>
          <w:rFonts w:ascii="Times New Roman" w:hAnsi="Times New Roman" w:cs="Times New Roman"/>
          <w:sz w:val="24"/>
          <w:szCs w:val="24"/>
        </w:rPr>
        <w:t xml:space="preserve">Initiation of Universal </w:t>
      </w:r>
      <w:proofErr w:type="spellStart"/>
      <w:r w:rsidRPr="00E3326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E33261">
        <w:rPr>
          <w:rFonts w:ascii="Times New Roman" w:hAnsi="Times New Roman" w:cs="Times New Roman"/>
          <w:sz w:val="24"/>
          <w:szCs w:val="24"/>
        </w:rPr>
        <w:t xml:space="preserve"> Screening for Lynch Syndrome in Colorectal Cancer Patients as a Model for the Implementation of Genetic Information </w:t>
      </w:r>
      <w:proofErr w:type="gramStart"/>
      <w:r w:rsidRPr="00E33261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E33261">
        <w:rPr>
          <w:rFonts w:ascii="Times New Roman" w:hAnsi="Times New Roman" w:cs="Times New Roman"/>
          <w:sz w:val="24"/>
          <w:szCs w:val="24"/>
        </w:rPr>
        <w:t xml:space="preserve"> Clinical Oncology Practice</w:t>
      </w:r>
      <w:r>
        <w:rPr>
          <w:rFonts w:ascii="Times New Roman" w:hAnsi="Times New Roman" w:cs="Times New Roman"/>
          <w:sz w:val="24"/>
          <w:szCs w:val="24"/>
        </w:rPr>
        <w:t>. Cancer. 2016; 393-401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Tutty E,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McKinley J, Young M, </w:t>
      </w:r>
      <w:proofErr w:type="spellStart"/>
      <w:r>
        <w:rPr>
          <w:rFonts w:ascii="Times New Roman" w:hAnsi="Times New Roman" w:cs="Times New Roman"/>
          <w:sz w:val="24"/>
          <w:szCs w:val="24"/>
        </w:rPr>
        <w:t>Meiser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Rasmussen VM, Forbes Shepherd R, James PA, </w:t>
      </w:r>
      <w:r w:rsidRPr="00C020C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orrest LE. </w:t>
      </w:r>
      <w:r w:rsidRPr="00C020CF">
        <w:rPr>
          <w:rFonts w:ascii="Times New Roman" w:hAnsi="Times New Roman" w:cs="Times New Roman"/>
          <w:sz w:val="24"/>
          <w:szCs w:val="24"/>
        </w:rPr>
        <w:t>Evaluation of telephone genetic counselling to facilitate germline BRCA1/2 testing in women with h</w:t>
      </w:r>
      <w:r>
        <w:rPr>
          <w:rFonts w:ascii="Times New Roman" w:hAnsi="Times New Roman" w:cs="Times New Roman"/>
          <w:sz w:val="24"/>
          <w:szCs w:val="24"/>
        </w:rPr>
        <w:t xml:space="preserve">igh-grade serous ovarian cancer. </w:t>
      </w:r>
      <w:r w:rsidRPr="00C020CF">
        <w:rPr>
          <w:rFonts w:ascii="Times New Roman" w:hAnsi="Times New Roman" w:cs="Times New Roman"/>
          <w:sz w:val="24"/>
          <w:szCs w:val="24"/>
        </w:rPr>
        <w:t>European Jo</w:t>
      </w:r>
      <w:r>
        <w:rPr>
          <w:rFonts w:ascii="Times New Roman" w:hAnsi="Times New Roman" w:cs="Times New Roman"/>
          <w:sz w:val="24"/>
          <w:szCs w:val="24"/>
        </w:rPr>
        <w:t xml:space="preserve">urnal of Human Genetics. 2019; </w:t>
      </w:r>
      <w:r w:rsidRPr="00C020CF">
        <w:rPr>
          <w:rFonts w:ascii="Times New Roman" w:hAnsi="Times New Roman" w:cs="Times New Roman"/>
          <w:sz w:val="24"/>
          <w:szCs w:val="24"/>
        </w:rPr>
        <w:t>doi.org/10.1038/s41431-019-0390-9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>
        <w:rPr>
          <w:rFonts w:ascii="Times New Roman" w:hAnsi="Times New Roman" w:cs="Times New Roman"/>
          <w:sz w:val="24"/>
          <w:szCs w:val="24"/>
        </w:rPr>
        <w:t>Meiser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Gleeson M, Kasparian N, Barlow-Stewart K, Ryan M, Watts K,</w:t>
      </w:r>
      <w:r w:rsidRPr="00A75644">
        <w:rPr>
          <w:rFonts w:ascii="Times New Roman" w:hAnsi="Times New Roman" w:cs="Times New Roman"/>
          <w:sz w:val="24"/>
          <w:szCs w:val="24"/>
        </w:rPr>
        <w:t xml:space="preserve"> Menon</w:t>
      </w:r>
      <w:r>
        <w:rPr>
          <w:rFonts w:ascii="Times New Roman" w:hAnsi="Times New Roman" w:cs="Times New Roman"/>
          <w:sz w:val="24"/>
          <w:szCs w:val="24"/>
        </w:rPr>
        <w:t xml:space="preserve"> D, Mitchell G, </w:t>
      </w:r>
      <w:r w:rsidRPr="00A75644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 xml:space="preserve"> K.</w:t>
      </w:r>
      <w:r w:rsidRPr="00A75644">
        <w:rPr>
          <w:rFonts w:ascii="Times New Roman" w:hAnsi="Times New Roman" w:cs="Times New Roman"/>
          <w:sz w:val="24"/>
          <w:szCs w:val="24"/>
        </w:rPr>
        <w:t xml:space="preserve"> There is no decision to make: Experiences and attitudes toward treatment-focused genetic testing among wom</w:t>
      </w:r>
      <w:r>
        <w:rPr>
          <w:rFonts w:ascii="Times New Roman" w:hAnsi="Times New Roman" w:cs="Times New Roman"/>
          <w:sz w:val="24"/>
          <w:szCs w:val="24"/>
        </w:rPr>
        <w:t>en diagnosed with ovarian cancer. Gynaecologic Oncology. 2012; 124: 153-157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Shipman H, Flynn S, MacDonald-Smith CF, Brenton J, Crawford R, </w:t>
      </w:r>
      <w:proofErr w:type="spellStart"/>
      <w:r>
        <w:rPr>
          <w:rFonts w:ascii="Times New Roman" w:hAnsi="Times New Roman" w:cs="Times New Roman"/>
          <w:sz w:val="24"/>
          <w:szCs w:val="24"/>
        </w:rPr>
        <w:t>Tischkowitz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Hulbert-Williams NJ. </w:t>
      </w:r>
      <w:r w:rsidRPr="00A75644">
        <w:rPr>
          <w:rFonts w:ascii="Times New Roman" w:hAnsi="Times New Roman" w:cs="Times New Roman"/>
          <w:sz w:val="24"/>
          <w:szCs w:val="24"/>
        </w:rPr>
        <w:t>Universal BRCA1/BRCA2 Testing for Ovarian Cancer Patients is Welcomed, but with Care: How Women and Staff Contextualize Experiences of Exp</w:t>
      </w:r>
      <w:r>
        <w:rPr>
          <w:rFonts w:ascii="Times New Roman" w:hAnsi="Times New Roman" w:cs="Times New Roman"/>
          <w:sz w:val="24"/>
          <w:szCs w:val="24"/>
        </w:rPr>
        <w:t xml:space="preserve">anded Access. J Genet Counsel. 2017; </w:t>
      </w:r>
      <w:r w:rsidRPr="00A75644">
        <w:rPr>
          <w:rFonts w:ascii="Times New Roman" w:hAnsi="Times New Roman" w:cs="Times New Roman"/>
          <w:sz w:val="24"/>
          <w:szCs w:val="24"/>
        </w:rPr>
        <w:t>26:1280–12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6B549C" w:rsidRPr="003D0202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>
        <w:rPr>
          <w:rFonts w:ascii="Times New Roman" w:hAnsi="Times New Roman" w:cs="Times New Roman"/>
          <w:sz w:val="24"/>
          <w:szCs w:val="24"/>
        </w:rPr>
        <w:t>McLeavy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Rahman B,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Kristeleit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Ledermann J, Lockley M, McCormack M, Mould T, Side L, </w:t>
      </w:r>
      <w:proofErr w:type="spellStart"/>
      <w:r w:rsidRPr="003D0202">
        <w:rPr>
          <w:rFonts w:ascii="Times New Roman" w:hAnsi="Times New Roman" w:cs="Times New Roman"/>
          <w:sz w:val="24"/>
          <w:szCs w:val="24"/>
        </w:rPr>
        <w:t>Lanceley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3D0202">
        <w:rPr>
          <w:rFonts w:ascii="Times New Roman" w:hAnsi="Times New Roman" w:cs="Times New Roman"/>
          <w:sz w:val="24"/>
          <w:szCs w:val="24"/>
        </w:rPr>
        <w:t xml:space="preserve"> Mainstreamed genetic testing in ovarian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202">
        <w:rPr>
          <w:rFonts w:ascii="Times New Roman" w:hAnsi="Times New Roman" w:cs="Times New Roman"/>
          <w:sz w:val="24"/>
          <w:szCs w:val="24"/>
        </w:rPr>
        <w:t>cancer: patient experience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202">
        <w:rPr>
          <w:rFonts w:ascii="Times New Roman" w:hAnsi="Times New Roman" w:cs="Times New Roman"/>
          <w:sz w:val="24"/>
          <w:szCs w:val="24"/>
        </w:rPr>
        <w:t>testing process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Cancer </w:t>
      </w:r>
      <w:proofErr w:type="gramStart"/>
      <w:r>
        <w:rPr>
          <w:rFonts w:ascii="Times New Roman" w:hAnsi="Times New Roman" w:cs="Times New Roman"/>
          <w:sz w:val="24"/>
          <w:szCs w:val="24"/>
        </w:rPr>
        <w:t>2020</w:t>
      </w:r>
      <w:r w:rsidRPr="003D0202">
        <w:rPr>
          <w:rFonts w:ascii="Times New Roman" w:hAnsi="Times New Roman" w:cs="Times New Roman"/>
          <w:sz w:val="24"/>
          <w:szCs w:val="24"/>
        </w:rPr>
        <w:t>;30:221</w:t>
      </w:r>
      <w:proofErr w:type="gramEnd"/>
      <w:r w:rsidRPr="003D0202">
        <w:rPr>
          <w:rFonts w:ascii="Times New Roman" w:hAnsi="Times New Roman" w:cs="Times New Roman"/>
          <w:sz w:val="24"/>
          <w:szCs w:val="24"/>
        </w:rPr>
        <w:t>–2</w:t>
      </w:r>
      <w:r>
        <w:rPr>
          <w:rFonts w:ascii="Times New Roman" w:hAnsi="Times New Roman" w:cs="Times New Roman"/>
          <w:sz w:val="24"/>
          <w:szCs w:val="24"/>
        </w:rPr>
        <w:t xml:space="preserve">26. 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Rumford M, </w:t>
      </w:r>
      <w:proofErr w:type="spellStart"/>
      <w:r>
        <w:rPr>
          <w:rFonts w:ascii="Times New Roman" w:hAnsi="Times New Roman" w:cs="Times New Roman"/>
          <w:sz w:val="24"/>
          <w:szCs w:val="24"/>
        </w:rPr>
        <w:t>Lythgoe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McNeish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Rahman N, George A,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3D020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Oncologist-led BRCA ‘mainstreaming’ in the ovarian cancer clinic: A study of 255 </w:t>
      </w:r>
      <w:r w:rsidRPr="003D02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atients and its impact on their </w:t>
      </w:r>
      <w:r w:rsidRPr="003D0202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3D0202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 Nat Res</w:t>
      </w:r>
      <w:r w:rsidRPr="003D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C237C2">
        <w:rPr>
          <w:rFonts w:ascii="MyriadPro-It" w:hAnsi="MyriadPro-It" w:cs="MyriadPro-It"/>
          <w:i/>
          <w:iCs/>
          <w:sz w:val="16"/>
          <w:szCs w:val="16"/>
        </w:rPr>
        <w:t xml:space="preserve"> </w:t>
      </w:r>
      <w:r w:rsidRPr="00307C6B">
        <w:rPr>
          <w:rFonts w:ascii="Times New Roman" w:hAnsi="Times New Roman" w:cs="Times New Roman"/>
          <w:iCs/>
          <w:sz w:val="24"/>
          <w:szCs w:val="24"/>
        </w:rPr>
        <w:t xml:space="preserve">10:3390 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Grindedal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EM,</w:t>
      </w:r>
      <w:r w:rsidRPr="00C23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Jørgensen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r w:rsidRPr="00C237C2">
        <w:rPr>
          <w:rFonts w:ascii="Times New Roman" w:hAnsi="Times New Roman" w:cs="Times New Roman"/>
          <w:sz w:val="24"/>
          <w:szCs w:val="24"/>
        </w:rPr>
        <w:t>Olsson</w:t>
      </w:r>
      <w:r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Gravdehaug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Lurås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Schlichting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Vamre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</w:t>
      </w:r>
      <w:r w:rsidRPr="00C23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Wangensteen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Heramb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Mæhle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r w:rsidRPr="00C237C2">
        <w:rPr>
          <w:rFonts w:ascii="Times New Roman" w:hAnsi="Times New Roman" w:cs="Times New Roman"/>
          <w:sz w:val="24"/>
          <w:szCs w:val="24"/>
        </w:rPr>
        <w:t xml:space="preserve"> Mainstreamed genetic testing of breast cancer patients in 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C2">
        <w:rPr>
          <w:rFonts w:ascii="Times New Roman" w:hAnsi="Times New Roman" w:cs="Times New Roman"/>
          <w:sz w:val="24"/>
          <w:szCs w:val="24"/>
        </w:rPr>
        <w:t>hospitals in South Eastern Norway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7C2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 xml:space="preserve">milial Cancer 2020; 19:133–142 </w:t>
      </w:r>
    </w:p>
    <w:p w:rsidR="006B549C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Richardson M, Jung Min H, Hong Q, Compton K, Wing Mung S, </w:t>
      </w:r>
      <w:proofErr w:type="spellStart"/>
      <w:r>
        <w:rPr>
          <w:rFonts w:ascii="Times New Roman" w:hAnsi="Times New Roman" w:cs="Times New Roman"/>
          <w:sz w:val="24"/>
          <w:szCs w:val="24"/>
        </w:rPr>
        <w:t>Lohn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McCullum M,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Portigal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-Todd C,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LA, Sun S</w:t>
      </w:r>
      <w:r w:rsidRPr="00C23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Kasmintan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Schrader KA.</w:t>
      </w:r>
      <w:r w:rsidRPr="00C237C2">
        <w:rPr>
          <w:rFonts w:ascii="Times New Roman" w:hAnsi="Times New Roman" w:cs="Times New Roman"/>
          <w:sz w:val="24"/>
          <w:szCs w:val="24"/>
        </w:rPr>
        <w:t xml:space="preserve"> Oncology Clinic-</w:t>
      </w:r>
      <w:r>
        <w:rPr>
          <w:rFonts w:ascii="Times New Roman" w:hAnsi="Times New Roman" w:cs="Times New Roman"/>
          <w:sz w:val="24"/>
          <w:szCs w:val="24"/>
        </w:rPr>
        <w:t xml:space="preserve">Based Hereditary Cancer Genetic </w:t>
      </w:r>
      <w:r w:rsidRPr="00C237C2">
        <w:rPr>
          <w:rFonts w:ascii="Times New Roman" w:hAnsi="Times New Roman" w:cs="Times New Roman"/>
          <w:sz w:val="24"/>
          <w:szCs w:val="24"/>
        </w:rPr>
        <w:t>Testing in a Population-Based Health Care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1A0A">
        <w:rPr>
          <w:rFonts w:ascii="Times New Roman" w:hAnsi="Times New Roman" w:cs="Times New Roman"/>
          <w:sz w:val="24"/>
          <w:szCs w:val="24"/>
        </w:rPr>
        <w:t xml:space="preserve">Cancers </w:t>
      </w:r>
      <w:proofErr w:type="gramStart"/>
      <w:r w:rsidRPr="00307C6B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37C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:338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9C" w:rsidRPr="00C237C2" w:rsidRDefault="006B549C" w:rsidP="006B549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Pr="00C237C2">
        <w:rPr>
          <w:rFonts w:ascii="Times New Roman" w:hAnsi="Times New Roman" w:cs="Times New Roman"/>
          <w:sz w:val="24"/>
          <w:szCs w:val="24"/>
        </w:rPr>
        <w:t>Lobo</w:t>
      </w:r>
      <w:r>
        <w:rPr>
          <w:rFonts w:ascii="Times New Roman" w:hAnsi="Times New Roman" w:cs="Times New Roman"/>
          <w:sz w:val="24"/>
          <w:szCs w:val="24"/>
        </w:rPr>
        <w:t xml:space="preserve"> M,</w:t>
      </w:r>
      <w:r w:rsidRPr="00C23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López-Tarruella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Luque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Lizarraga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r w:rsidRPr="00C237C2">
        <w:rPr>
          <w:rFonts w:ascii="Times New Roman" w:hAnsi="Times New Roman" w:cs="Times New Roman"/>
          <w:sz w:val="24"/>
          <w:szCs w:val="24"/>
        </w:rPr>
        <w:t>Flores-Sánchez</w:t>
      </w:r>
      <w:r>
        <w:rPr>
          <w:rFonts w:ascii="Times New Roman" w:hAnsi="Times New Roman" w:cs="Times New Roman"/>
          <w:sz w:val="24"/>
          <w:szCs w:val="24"/>
        </w:rPr>
        <w:t xml:space="preserve"> C, </w:t>
      </w:r>
      <w:r w:rsidRPr="00C237C2">
        <w:rPr>
          <w:rFonts w:ascii="Times New Roman" w:hAnsi="Times New Roman" w:cs="Times New Roman"/>
          <w:sz w:val="24"/>
          <w:szCs w:val="24"/>
        </w:rPr>
        <w:t>Bueno</w:t>
      </w:r>
      <w:r>
        <w:rPr>
          <w:rFonts w:ascii="Times New Roman" w:hAnsi="Times New Roman" w:cs="Times New Roman"/>
          <w:sz w:val="24"/>
          <w:szCs w:val="24"/>
        </w:rPr>
        <w:t xml:space="preserve"> O, </w:t>
      </w:r>
      <w:r w:rsidRPr="00C237C2">
        <w:rPr>
          <w:rFonts w:ascii="Times New Roman" w:hAnsi="Times New Roman" w:cs="Times New Roman"/>
          <w:sz w:val="24"/>
          <w:szCs w:val="24"/>
        </w:rPr>
        <w:t>Solera</w:t>
      </w:r>
      <w:r>
        <w:rPr>
          <w:rFonts w:ascii="Times New Roman" w:hAnsi="Times New Roman" w:cs="Times New Roman"/>
          <w:sz w:val="24"/>
          <w:szCs w:val="24"/>
        </w:rPr>
        <w:t xml:space="preserve"> J, </w:t>
      </w:r>
      <w:r w:rsidRPr="00C237C2">
        <w:rPr>
          <w:rFonts w:ascii="Times New Roman" w:hAnsi="Times New Roman" w:cs="Times New Roman"/>
          <w:sz w:val="24"/>
          <w:szCs w:val="24"/>
        </w:rPr>
        <w:t>Jerez</w:t>
      </w:r>
      <w:r>
        <w:rPr>
          <w:rFonts w:ascii="Times New Roman" w:hAnsi="Times New Roman" w:cs="Times New Roman"/>
          <w:sz w:val="24"/>
          <w:szCs w:val="24"/>
        </w:rPr>
        <w:t xml:space="preserve"> Y, </w:t>
      </w:r>
      <w:r w:rsidRPr="00C237C2">
        <w:rPr>
          <w:rFonts w:ascii="Times New Roman" w:hAnsi="Times New Roman" w:cs="Times New Roman"/>
          <w:sz w:val="24"/>
          <w:szCs w:val="24"/>
        </w:rPr>
        <w:t>González del Val</w:t>
      </w:r>
      <w:r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Palomero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Cebollero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Echavarría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r w:rsidRPr="00C237C2">
        <w:rPr>
          <w:rFonts w:ascii="Times New Roman" w:hAnsi="Times New Roman" w:cs="Times New Roman"/>
          <w:sz w:val="24"/>
          <w:szCs w:val="24"/>
        </w:rPr>
        <w:t>Torres</w:t>
      </w:r>
      <w:r>
        <w:rPr>
          <w:rFonts w:ascii="Times New Roman" w:hAnsi="Times New Roman" w:cs="Times New Roman"/>
          <w:sz w:val="24"/>
          <w:szCs w:val="24"/>
        </w:rPr>
        <w:t xml:space="preserve"> G, </w:t>
      </w:r>
      <w:r w:rsidRPr="00C237C2">
        <w:rPr>
          <w:rFonts w:ascii="Times New Roman" w:hAnsi="Times New Roman" w:cs="Times New Roman"/>
          <w:sz w:val="24"/>
          <w:szCs w:val="24"/>
        </w:rPr>
        <w:t>Martín</w:t>
      </w:r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Márquez</w:t>
      </w:r>
      <w:proofErr w:type="spellEnd"/>
      <w:r w:rsidRPr="00C237C2">
        <w:rPr>
          <w:rFonts w:ascii="Times New Roman" w:hAnsi="Times New Roman" w:cs="Times New Roman"/>
          <w:sz w:val="24"/>
          <w:szCs w:val="24"/>
        </w:rPr>
        <w:t>-Rod</w:t>
      </w:r>
      <w:r>
        <w:rPr>
          <w:rFonts w:ascii="Times New Roman" w:hAnsi="Times New Roman" w:cs="Times New Roman"/>
          <w:sz w:val="24"/>
          <w:szCs w:val="24"/>
        </w:rPr>
        <w:t xml:space="preserve"> I. </w:t>
      </w:r>
      <w:r w:rsidRPr="00C237C2">
        <w:rPr>
          <w:rFonts w:ascii="Times New Roman" w:hAnsi="Times New Roman" w:cs="Times New Roman"/>
          <w:sz w:val="24"/>
          <w:szCs w:val="24"/>
        </w:rPr>
        <w:t>Evaluation of Breast Cancer Patients with Genetic Risk in a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C2">
        <w:rPr>
          <w:rFonts w:ascii="Times New Roman" w:hAnsi="Times New Roman" w:cs="Times New Roman"/>
          <w:sz w:val="24"/>
          <w:szCs w:val="24"/>
        </w:rPr>
        <w:t xml:space="preserve">Hospital: Before and After the Implementation of a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Heredofamilial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C2">
        <w:rPr>
          <w:rFonts w:ascii="Times New Roman" w:hAnsi="Times New Roman" w:cs="Times New Roman"/>
          <w:sz w:val="24"/>
          <w:szCs w:val="24"/>
        </w:rPr>
        <w:t>Cancer Unit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7C2">
        <w:rPr>
          <w:rFonts w:ascii="Times New Roman" w:hAnsi="Times New Roman" w:cs="Times New Roman"/>
          <w:sz w:val="24"/>
          <w:szCs w:val="24"/>
        </w:rPr>
        <w:t xml:space="preserve">Journal of Genetic </w:t>
      </w:r>
      <w:proofErr w:type="spellStart"/>
      <w:r w:rsidRPr="00C237C2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C23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2018;</w:t>
      </w:r>
      <w:r w:rsidRPr="00C237C2">
        <w:rPr>
          <w:rFonts w:ascii="Times New Roman" w:hAnsi="Times New Roman" w:cs="Times New Roman"/>
          <w:sz w:val="24"/>
          <w:szCs w:val="24"/>
        </w:rPr>
        <w:t xml:space="preserve"> 27:854–</w:t>
      </w:r>
      <w:r>
        <w:rPr>
          <w:rFonts w:ascii="Times New Roman" w:hAnsi="Times New Roman" w:cs="Times New Roman"/>
          <w:sz w:val="24"/>
          <w:szCs w:val="24"/>
        </w:rPr>
        <w:t>862</w:t>
      </w:r>
    </w:p>
    <w:p w:rsidR="006B549C" w:rsidRPr="0014046E" w:rsidRDefault="006B549C" w:rsidP="006B549C">
      <w:pPr>
        <w:rPr>
          <w:b/>
        </w:rPr>
      </w:pPr>
    </w:p>
    <w:p w:rsidR="006B549C" w:rsidRDefault="006B549C" w:rsidP="006B549C">
      <w:pPr>
        <w:rPr>
          <w:b/>
        </w:rPr>
      </w:pPr>
    </w:p>
    <w:p w:rsidR="006B549C" w:rsidRDefault="006B549C" w:rsidP="006B549C">
      <w:pPr>
        <w:rPr>
          <w:b/>
        </w:rPr>
      </w:pPr>
    </w:p>
    <w:p w:rsidR="006B549C" w:rsidRDefault="006B549C" w:rsidP="006B549C">
      <w:pPr>
        <w:rPr>
          <w:b/>
        </w:rPr>
      </w:pPr>
    </w:p>
    <w:p w:rsidR="006B549C" w:rsidRDefault="006B549C" w:rsidP="006B549C">
      <w:pPr>
        <w:rPr>
          <w:b/>
        </w:rPr>
      </w:pPr>
    </w:p>
    <w:p w:rsidR="006B549C" w:rsidRDefault="006B549C" w:rsidP="006B549C">
      <w:pPr>
        <w:rPr>
          <w:b/>
        </w:rPr>
      </w:pPr>
    </w:p>
    <w:p w:rsidR="00B360CE" w:rsidRDefault="00774420"/>
    <w:sectPr w:rsidR="00B36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139A"/>
    <w:multiLevelType w:val="hybridMultilevel"/>
    <w:tmpl w:val="AE522990"/>
    <w:lvl w:ilvl="0" w:tplc="9C54C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B4F8F"/>
    <w:multiLevelType w:val="hybridMultilevel"/>
    <w:tmpl w:val="45F2BB86"/>
    <w:lvl w:ilvl="0" w:tplc="D8A26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93AE4"/>
    <w:multiLevelType w:val="hybridMultilevel"/>
    <w:tmpl w:val="DC7896CC"/>
    <w:lvl w:ilvl="0" w:tplc="E6341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9C"/>
    <w:rsid w:val="00191418"/>
    <w:rsid w:val="004E00B6"/>
    <w:rsid w:val="006B549C"/>
    <w:rsid w:val="00774420"/>
    <w:rsid w:val="008F1C00"/>
    <w:rsid w:val="00A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484C"/>
  <w15:chartTrackingRefBased/>
  <w15:docId w15:val="{3413E0AD-1B60-4092-A987-63223A85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86/s12885-018-4153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O'Shea</dc:creator>
  <cp:keywords/>
  <dc:description/>
  <cp:lastModifiedBy>Rosie O'Shea</cp:lastModifiedBy>
  <cp:revision>3</cp:revision>
  <dcterms:created xsi:type="dcterms:W3CDTF">2023-04-10T09:35:00Z</dcterms:created>
  <dcterms:modified xsi:type="dcterms:W3CDTF">2023-05-07T14:42:00Z</dcterms:modified>
</cp:coreProperties>
</file>