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06B" w:rsidRPr="005C4F8D" w:rsidRDefault="00A5006B" w:rsidP="00A5006B">
      <w:pPr>
        <w:spacing w:line="480" w:lineRule="auto"/>
        <w:rPr>
          <w:rFonts w:ascii="Times New Roman" w:hAnsi="Times New Roman" w:cs="Times New Roman"/>
          <w:szCs w:val="21"/>
        </w:rPr>
      </w:pPr>
      <w:r w:rsidRPr="005C4F8D">
        <w:rPr>
          <w:rFonts w:ascii="Times New Roman" w:hAnsi="Times New Roman" w:cs="Times New Roman"/>
          <w:szCs w:val="21"/>
        </w:rPr>
        <w:t>Table S2 Significantly different KEGG functions and related strategies in high and low salinity soils.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64"/>
        <w:gridCol w:w="1297"/>
        <w:gridCol w:w="1152"/>
        <w:gridCol w:w="1269"/>
        <w:gridCol w:w="1269"/>
        <w:gridCol w:w="1104"/>
        <w:gridCol w:w="2503"/>
      </w:tblGrid>
      <w:tr w:rsidR="00A5006B" w:rsidRPr="005C4F8D" w:rsidTr="006B30B0">
        <w:trPr>
          <w:trHeight w:val="276"/>
        </w:trPr>
        <w:tc>
          <w:tcPr>
            <w:tcW w:w="1937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KEGG_Level</w:t>
            </w:r>
            <w:proofErr w:type="spellEnd"/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3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Strategy</w:t>
            </w:r>
          </w:p>
        </w:tc>
        <w:tc>
          <w:tcPr>
            <w:tcW w:w="1779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Average gene counts</w:t>
            </w:r>
          </w:p>
        </w:tc>
        <w:tc>
          <w:tcPr>
            <w:tcW w:w="804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Reference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HSC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HSCNP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LSC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LSCNP</w:t>
            </w:r>
          </w:p>
        </w:tc>
        <w:tc>
          <w:tcPr>
            <w:tcW w:w="804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RNA polymerase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3099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3096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3551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3446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>Malik et al., 2020</w:t>
            </w: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Pyrimidine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5471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5497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5669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5589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>Li et al., 2022a</w:t>
            </w: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One carbon pool by folate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2784 ab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2799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2777 ab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2753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(Li et al., 2022a)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Carbon fixation pathways in prokaryotes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3757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3774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4097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4034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(Li et al., 2022a)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Two-component system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  <w:bookmarkStart w:id="0" w:name="_GoBack"/>
            <w:bookmarkEnd w:id="0"/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9220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9250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9411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9339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(Li et al., 2022a)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Cell cycle - Caulobacter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5192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5168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5387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5358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(Li et al., 2022a)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Glyoxylate and dicarboxylate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2511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2551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2626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2613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Pentose phosphate pathway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2523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2520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2695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2670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Amino sugar and nucleotide sugar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2804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2795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2903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2898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Starch and sucrose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5311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5345 ab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5442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5408 ab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Phenylalanine, tyrosine and tryptophan biosynthesis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2876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2890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2790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2789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(Li et al., 2022a)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Histidine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3403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3416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3046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3033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(Li et al., 2022a)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Arginine biosynthesis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2814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2842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3103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3051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(Li et al., 2022a)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Arginine and proline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3512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3514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3417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3376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 xml:space="preserve">Malik and </w:t>
            </w:r>
            <w:proofErr w:type="spellStart"/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>Bouskill</w:t>
            </w:r>
            <w:proofErr w:type="spellEnd"/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>, 2022</w:t>
            </w: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Glycine, serine and threonine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4343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4365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3826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3790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(Malik and </w:t>
            </w:r>
            <w:proofErr w:type="spellStart"/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Bouskill</w:t>
            </w:r>
            <w:proofErr w:type="spellEnd"/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2022)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Cysteine and methionine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4489 ab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4527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4459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4461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Alanine, aspartate and glutamate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4851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4902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5213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5158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Chloroalkane and chloroalkene degradation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1901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1922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2204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2194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Benzoate degradation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2586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2622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2913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2907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Flagellar assembly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2766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2870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2298 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2313 c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Bacterial chemotaxis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3377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3386 c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3584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3638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(Li et al., 2022a)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 transporters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8439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8575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8024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7974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(Malik and </w:t>
            </w:r>
            <w:proofErr w:type="spellStart"/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Bouskill</w:t>
            </w:r>
            <w:proofErr w:type="spellEnd"/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2022)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Biofilm formation - Vibrio cholerae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2546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2579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2456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2418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 xml:space="preserve">Malik and </w:t>
            </w:r>
            <w:proofErr w:type="spellStart"/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>Bouskill</w:t>
            </w:r>
            <w:proofErr w:type="spellEnd"/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>, 2022</w:t>
            </w: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Ubiquinone and other terpenoid-quinone biosynthesis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2767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2770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2641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2642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>Zhao et al., 2022</w:t>
            </w: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Pantothenate and CoA biosynthesis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3493 ab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3526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3417 </w:t>
            </w:r>
            <w:proofErr w:type="spellStart"/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bc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3375 c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color w:val="000000"/>
                <w:szCs w:val="21"/>
              </w:rPr>
              <w:t>Wang et al., 2020</w:t>
            </w:r>
            <w:r w:rsidRPr="005C4F8D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Peptidoglycan biosynthesis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3281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3269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3193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3163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O-Antigen nucleotide sugar biosynthesis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3944 ab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3906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3968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3980a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Base excision repair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2129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2142 a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2052 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2030 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76"/>
        </w:trPr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Mismatch repair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3102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3130 b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3201 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3190 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  <w:tr w:rsidR="00A5006B" w:rsidRPr="005C4F8D" w:rsidTr="006B30B0">
        <w:trPr>
          <w:trHeight w:val="288"/>
        </w:trPr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Homologous recombination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7356 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7410 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6934 b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006B" w:rsidRPr="005C4F8D" w:rsidRDefault="00A5006B" w:rsidP="006B30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6914 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5006B" w:rsidRPr="005C4F8D" w:rsidRDefault="00A5006B" w:rsidP="006B30B0">
            <w:pPr>
              <w:rPr>
                <w:rFonts w:ascii="Times New Roman" w:hAnsi="Times New Roman" w:cs="Times New Roman"/>
                <w:szCs w:val="21"/>
              </w:rPr>
            </w:pPr>
            <w:r w:rsidRPr="005C4F8D">
              <w:rPr>
                <w:rFonts w:ascii="Times New Roman" w:hAnsi="Times New Roman" w:cs="Times New Roman"/>
                <w:szCs w:val="21"/>
              </w:rPr>
              <w:t>(Malik et al., 2020)</w:t>
            </w:r>
          </w:p>
        </w:tc>
      </w:tr>
    </w:tbl>
    <w:p w:rsidR="00A5006B" w:rsidRPr="005C4F8D" w:rsidRDefault="00A5006B" w:rsidP="00A5006B">
      <w:pPr>
        <w:rPr>
          <w:rFonts w:ascii="Times New Roman" w:hAnsi="Times New Roman" w:cs="Times New Roman"/>
          <w:szCs w:val="21"/>
        </w:rPr>
      </w:pPr>
      <w:r w:rsidRPr="005C4F8D">
        <w:rPr>
          <w:rFonts w:ascii="Times New Roman" w:hAnsi="Times New Roman" w:cs="Times New Roman"/>
          <w:szCs w:val="21"/>
        </w:rPr>
        <w:t xml:space="preserve">Note: Y, growth yield strategy; A, resource acquisition strategy; S, stress tolerance strategy. Different letters in a same row indicate significant difference at 0.05 level. </w:t>
      </w:r>
      <w:r w:rsidRPr="005063EA">
        <w:rPr>
          <w:rFonts w:ascii="Times New Roman" w:hAnsi="Times New Roman" w:cs="Times New Roman"/>
          <w:szCs w:val="21"/>
        </w:rPr>
        <w:t xml:space="preserve">HSC, high-salinity soil added with </w:t>
      </w:r>
      <w:r w:rsidRPr="005063EA">
        <w:rPr>
          <w:rFonts w:ascii="Times New Roman" w:hAnsi="Times New Roman" w:cs="Times New Roman"/>
          <w:szCs w:val="21"/>
          <w:vertAlign w:val="superscript"/>
        </w:rPr>
        <w:t>13</w:t>
      </w:r>
      <w:r w:rsidRPr="005063EA">
        <w:rPr>
          <w:rFonts w:ascii="Times New Roman" w:hAnsi="Times New Roman" w:cs="Times New Roman"/>
          <w:szCs w:val="21"/>
        </w:rPr>
        <w:t xml:space="preserve">C-glucose; HSCNP, high-salinity soil added with </w:t>
      </w:r>
      <w:r w:rsidRPr="005063EA">
        <w:rPr>
          <w:rFonts w:ascii="Times New Roman" w:hAnsi="Times New Roman" w:cs="Times New Roman"/>
          <w:szCs w:val="21"/>
          <w:vertAlign w:val="superscript"/>
        </w:rPr>
        <w:t>13</w:t>
      </w:r>
      <w:r w:rsidRPr="005063EA">
        <w:rPr>
          <w:rFonts w:ascii="Times New Roman" w:hAnsi="Times New Roman" w:cs="Times New Roman"/>
          <w:szCs w:val="21"/>
        </w:rPr>
        <w:t xml:space="preserve">C-glucose and NP nutrients; LSC, low-salinity soil added with </w:t>
      </w:r>
      <w:r w:rsidRPr="005063EA">
        <w:rPr>
          <w:rFonts w:ascii="Times New Roman" w:hAnsi="Times New Roman" w:cs="Times New Roman"/>
          <w:szCs w:val="21"/>
          <w:vertAlign w:val="superscript"/>
        </w:rPr>
        <w:t>13</w:t>
      </w:r>
      <w:r w:rsidRPr="005063EA">
        <w:rPr>
          <w:rFonts w:ascii="Times New Roman" w:hAnsi="Times New Roman" w:cs="Times New Roman"/>
          <w:szCs w:val="21"/>
        </w:rPr>
        <w:t xml:space="preserve">C-glucose; LSCNP low-salinity soil added with </w:t>
      </w:r>
      <w:r w:rsidRPr="005063EA">
        <w:rPr>
          <w:rFonts w:ascii="Times New Roman" w:hAnsi="Times New Roman" w:cs="Times New Roman"/>
          <w:szCs w:val="21"/>
          <w:vertAlign w:val="superscript"/>
        </w:rPr>
        <w:t>13</w:t>
      </w:r>
      <w:r w:rsidRPr="005063EA">
        <w:rPr>
          <w:rFonts w:ascii="Times New Roman" w:hAnsi="Times New Roman" w:cs="Times New Roman"/>
          <w:szCs w:val="21"/>
        </w:rPr>
        <w:t>C-glucose and NP nutrients.</w:t>
      </w:r>
    </w:p>
    <w:p w:rsidR="00A5006B" w:rsidRPr="005C4F8D" w:rsidRDefault="00A5006B" w:rsidP="00A5006B">
      <w:pPr>
        <w:rPr>
          <w:rFonts w:ascii="Times New Roman" w:hAnsi="Times New Roman" w:cs="Times New Roman"/>
          <w:szCs w:val="21"/>
        </w:rPr>
      </w:pPr>
    </w:p>
    <w:p w:rsidR="006F1831" w:rsidRPr="00A5006B" w:rsidRDefault="006F1831"/>
    <w:sectPr w:rsidR="006F1831" w:rsidRPr="00A5006B" w:rsidSect="00A500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6B"/>
    <w:rsid w:val="006F1831"/>
    <w:rsid w:val="00A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80FF4-A5AA-409A-9511-AF629458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0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Qi</dc:creator>
  <cp:keywords/>
  <dc:description/>
  <cp:lastModifiedBy>Ning Qi</cp:lastModifiedBy>
  <cp:revision>1</cp:revision>
  <dcterms:created xsi:type="dcterms:W3CDTF">2023-02-24T01:12:00Z</dcterms:created>
  <dcterms:modified xsi:type="dcterms:W3CDTF">2023-02-24T01:13:00Z</dcterms:modified>
</cp:coreProperties>
</file>