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b w:val="0"/>
        </w:rPr>
      </w:pPr>
      <w:r>
        <w:t>Supplementary Material</w:t>
      </w:r>
    </w:p>
    <w:p>
      <w:pPr>
        <w:pStyle w:val="18"/>
      </w:pPr>
      <w:r>
        <w:rPr>
          <w:rFonts w:hint="eastAsia"/>
        </w:rPr>
        <w:t>Overexpression of plastid-lipid-associated protein in marine diatom enhances the xanthophyll synthesis and storage</w:t>
      </w:r>
    </w:p>
    <w:p>
      <w:pPr>
        <w:pStyle w:val="34"/>
      </w:pPr>
      <w:r>
        <w:t>E</w:t>
      </w:r>
      <w:r>
        <w:rPr>
          <w:rFonts w:hint="eastAsia"/>
        </w:rPr>
        <w:t>r</w:t>
      </w:r>
      <w:r>
        <w:t>-Y</w:t>
      </w:r>
      <w:r>
        <w:rPr>
          <w:rFonts w:hint="eastAsia"/>
        </w:rPr>
        <w:t>ing</w:t>
      </w:r>
      <w:r>
        <w:t xml:space="preserve"> J</w:t>
      </w:r>
      <w:r>
        <w:rPr>
          <w:rFonts w:hint="eastAsia"/>
        </w:rPr>
        <w:t>iang</w:t>
      </w:r>
      <w:r>
        <w:rPr>
          <w:vertAlign w:val="superscript"/>
        </w:rPr>
        <w:t>1,4</w:t>
      </w:r>
      <w:r>
        <w:t>, Yong Fan</w:t>
      </w:r>
      <w:r>
        <w:rPr>
          <w:vertAlign w:val="superscript"/>
        </w:rPr>
        <w:t>1,</w:t>
      </w:r>
      <w:r>
        <w:rPr>
          <w:rFonts w:hint="eastAsia"/>
          <w:vertAlign w:val="superscript"/>
        </w:rPr>
        <w:t>*</w:t>
      </w:r>
      <w:r>
        <w:t>, Nghi-Van Phung</w:t>
      </w:r>
      <w:r>
        <w:rPr>
          <w:vertAlign w:val="superscript"/>
        </w:rPr>
        <w:t>1</w:t>
      </w:r>
      <w:r>
        <w:t>, Wan-Yue Xia</w:t>
      </w:r>
      <w:r>
        <w:rPr>
          <w:vertAlign w:val="superscript"/>
        </w:rPr>
        <w:t>1</w:t>
      </w:r>
      <w:r>
        <w:t>, Guang-Rong Hu</w:t>
      </w:r>
      <w:r>
        <w:rPr>
          <w:vertAlign w:val="superscript"/>
        </w:rPr>
        <w:t>1</w:t>
      </w:r>
      <w:r>
        <w:t>, Fu-Li Li</w:t>
      </w:r>
      <w:r>
        <w:rPr>
          <w:vertAlign w:val="superscript"/>
        </w:rPr>
        <w:t>1,2,3,</w:t>
      </w:r>
      <w:r>
        <w:rPr>
          <w:rFonts w:hint="eastAsia"/>
          <w:vertAlign w:val="superscript"/>
        </w:rPr>
        <w:t>*</w:t>
      </w:r>
    </w:p>
    <w:p>
      <w:pPr>
        <w:spacing w:line="360" w:lineRule="auto"/>
        <w:rPr>
          <w:rFonts w:ascii="Times New Roman" w:hAnsi="Times New Roman" w:eastAsia="宋体" w:cs="Times New Roman"/>
          <w:color w:val="000000"/>
          <w:sz w:val="24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kern w:val="0"/>
          <w:sz w:val="24"/>
          <w:lang w:eastAsia="en-US"/>
        </w:rPr>
      </w:pPr>
      <w:r>
        <w:rPr>
          <w:rFonts w:ascii="Times New Roman" w:hAnsi="Times New Roman" w:eastAsia="宋体" w:cs="Times New Roman"/>
          <w:color w:val="000000"/>
          <w:sz w:val="24"/>
        </w:rPr>
        <w:t>*</w:t>
      </w:r>
      <w:r>
        <w:rPr>
          <w:rFonts w:ascii="Times New Roman" w:hAnsi="Times New Roman" w:eastAsia="宋体" w:cs="Times New Roman"/>
          <w:b/>
          <w:kern w:val="0"/>
          <w:sz w:val="24"/>
          <w:lang w:eastAsia="en-US"/>
        </w:rPr>
        <w:t xml:space="preserve"> Correspondence: </w:t>
      </w:r>
    </w:p>
    <w:p>
      <w:pPr>
        <w:spacing w:line="360" w:lineRule="auto"/>
        <w:rPr>
          <w:rFonts w:hint="eastAsia" w:ascii="Times New Roman" w:hAnsi="Times New Roman" w:eastAsia="宋体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>Fu-Li Li</w:t>
      </w:r>
      <w:r>
        <w:rPr>
          <w:rFonts w:ascii="Times New Roman" w:hAnsi="Times New Roman" w:eastAsia="宋体" w:cs="Times New Roman"/>
          <w:color w:val="000000"/>
          <w:sz w:val="24"/>
        </w:rPr>
        <w:t xml:space="preserve">: </w:t>
      </w:r>
      <w:r>
        <w:rPr>
          <w:rFonts w:ascii="Times New Roman" w:hAnsi="Times New Roman" w:eastAsia="宋体" w:cs="Times New Roman"/>
          <w:color w:val="000000"/>
          <w:sz w:val="24"/>
        </w:rPr>
        <w:fldChar w:fldCharType="begin"/>
      </w:r>
      <w:r>
        <w:rPr>
          <w:rFonts w:ascii="Times New Roman" w:hAnsi="Times New Roman" w:eastAsia="宋体" w:cs="Times New Roman"/>
          <w:color w:val="000000"/>
          <w:sz w:val="24"/>
        </w:rPr>
        <w:instrText xml:space="preserve"> HYPERLINK "mailto:lifl@qibebt.ac.cn;" </w:instrText>
      </w:r>
      <w:r>
        <w:rPr>
          <w:rFonts w:ascii="Times New Roman" w:hAnsi="Times New Roman" w:eastAsia="宋体" w:cs="Times New Roman"/>
          <w:color w:val="000000"/>
          <w:sz w:val="24"/>
        </w:rPr>
        <w:fldChar w:fldCharType="separate"/>
      </w:r>
      <w:r>
        <w:rPr>
          <w:rStyle w:val="28"/>
          <w:rFonts w:ascii="Times New Roman" w:hAnsi="Times New Roman" w:eastAsia="宋体" w:cs="Times New Roman"/>
          <w:color w:val="000000"/>
          <w:sz w:val="24"/>
        </w:rPr>
        <w:t>lifl@qibebt.ac.cn;</w:t>
      </w:r>
      <w:r>
        <w:rPr>
          <w:rFonts w:ascii="Times New Roman" w:hAnsi="Times New Roman" w:eastAsia="宋体" w:cs="Times New Roman"/>
          <w:color w:val="000000"/>
          <w:sz w:val="24"/>
        </w:rPr>
        <w:fldChar w:fldCharType="end"/>
      </w:r>
      <w:r>
        <w:rPr>
          <w:rFonts w:hint="eastAsia" w:eastAsia="宋体" w:cs="Times New Roman"/>
          <w:color w:val="000000"/>
          <w:sz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</w:rPr>
        <w:t xml:space="preserve">Yong Fan: </w:t>
      </w:r>
      <w:r>
        <w:rPr>
          <w:rFonts w:hint="eastAsia" w:ascii="Times New Roman" w:hAnsi="Times New Roman" w:eastAsia="宋体" w:cs="Times New Roman"/>
          <w:color w:val="000000"/>
          <w:sz w:val="24"/>
        </w:rPr>
        <w:fldChar w:fldCharType="begin"/>
      </w:r>
      <w:r>
        <w:rPr>
          <w:rFonts w:hint="eastAsia" w:ascii="Times New Roman" w:hAnsi="Times New Roman" w:eastAsia="宋体" w:cs="Times New Roman"/>
          <w:color w:val="000000"/>
          <w:sz w:val="24"/>
        </w:rPr>
        <w:instrText xml:space="preserve"> HYPERLINK "mailto:fanyong@qibebt.ac.cn" </w:instrText>
      </w:r>
      <w:r>
        <w:rPr>
          <w:rFonts w:hint="eastAsia" w:ascii="Times New Roman" w:hAnsi="Times New Roman" w:eastAsia="宋体" w:cs="Times New Roman"/>
          <w:color w:val="000000"/>
          <w:sz w:val="24"/>
        </w:rPr>
        <w:fldChar w:fldCharType="separate"/>
      </w:r>
      <w:r>
        <w:rPr>
          <w:rStyle w:val="28"/>
          <w:rFonts w:hint="eastAsia" w:ascii="Times New Roman" w:hAnsi="Times New Roman" w:eastAsia="宋体" w:cs="Times New Roman"/>
          <w:color w:val="000000"/>
          <w:sz w:val="24"/>
        </w:rPr>
        <w:t>f</w:t>
      </w:r>
      <w:r>
        <w:rPr>
          <w:rStyle w:val="28"/>
          <w:rFonts w:ascii="Times New Roman" w:hAnsi="Times New Roman" w:eastAsia="宋体" w:cs="Times New Roman"/>
          <w:color w:val="000000"/>
          <w:sz w:val="24"/>
        </w:rPr>
        <w:t>anyong@qibebt.ac.cn</w:t>
      </w:r>
      <w:r>
        <w:rPr>
          <w:rFonts w:hint="eastAsia" w:ascii="Times New Roman" w:hAnsi="Times New Roman" w:eastAsia="宋体" w:cs="Times New Roman"/>
          <w:color w:val="000000"/>
          <w:sz w:val="24"/>
        </w:rPr>
        <w:fldChar w:fldCharType="end"/>
      </w:r>
    </w:p>
    <w:p>
      <w:pPr>
        <w:spacing w:line="360" w:lineRule="auto"/>
        <w:rPr>
          <w:rFonts w:hint="eastAsia" w:ascii="Times New Roman" w:hAnsi="Times New Roman" w:eastAsia="宋体" w:cs="Times New Roman"/>
          <w:color w:val="000000"/>
          <w:sz w:val="24"/>
        </w:rPr>
      </w:pPr>
    </w:p>
    <w:p>
      <w:pPr>
        <w:pStyle w:val="2"/>
      </w:pPr>
      <w:r>
        <w:t>Supplementary Data</w:t>
      </w:r>
      <w:r>
        <w:rPr>
          <w:rFonts w:hint="eastAsia" w:eastAsia="宋体"/>
          <w:lang w:val="en-US" w:eastAsia="zh-CN"/>
        </w:rPr>
        <w:t xml:space="preserve"> 1</w:t>
      </w:r>
    </w:p>
    <w:p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  <w:r>
        <w:rPr>
          <w:rFonts w:hint="eastAsia" w:cs="Times New Roman"/>
          <w:szCs w:val="24"/>
        </w:rPr>
        <w:t>Sequences used for evolutionary tree analysis</w:t>
      </w:r>
      <w:r>
        <w:rPr>
          <w:rFonts w:hint="eastAsia" w:eastAsia="宋体" w:cs="Times New Roman"/>
          <w:szCs w:val="24"/>
          <w:lang w:val="en-US" w:eastAsia="zh-CN"/>
        </w:rPr>
        <w:t>. Sheet-1 is the genes list; Sheet-2 is the protein sequences.</w:t>
      </w:r>
      <w:r>
        <w:rPr>
          <w:rFonts w:eastAsia="Times New Roman" w:cs="Times New Roman"/>
          <w:szCs w:val="24"/>
          <w:lang w:val="en-GB" w:eastAsia="en-GB"/>
        </w:rPr>
        <w:t xml:space="preserve"> </w:t>
      </w:r>
    </w:p>
    <w:p>
      <w:pPr>
        <w:pStyle w:val="2"/>
      </w:pPr>
      <w:r>
        <w:t>Supplementary Data</w:t>
      </w:r>
      <w:r>
        <w:rPr>
          <w:rFonts w:hint="eastAsia" w:eastAsia="宋体"/>
          <w:lang w:val="en-US" w:eastAsia="zh-CN"/>
        </w:rPr>
        <w:t xml:space="preserve"> 2</w:t>
      </w:r>
    </w:p>
    <w:p>
      <w:pPr>
        <w:spacing w:before="240"/>
        <w:rPr>
          <w:rFonts w:hint="eastAsia" w:eastAsia="宋体"/>
          <w:lang w:val="en-US" w:eastAsia="zh-CN"/>
        </w:rPr>
      </w:pPr>
      <w:r>
        <w:rPr>
          <w:rFonts w:hint="eastAsia"/>
        </w:rPr>
        <w:t>Analysis of transcriptome data on different metabolic pathways</w:t>
      </w:r>
      <w:r>
        <w:rPr>
          <w:rFonts w:hint="eastAsia" w:eastAsia="宋体"/>
          <w:lang w:val="en-US" w:eastAsia="zh-CN"/>
        </w:rPr>
        <w:t>. All abbreviations and data in figure 5 are provided in this file.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br w:type="page"/>
      </w:r>
    </w:p>
    <w:p>
      <w:pPr>
        <w:spacing w:before="240"/>
        <w:rPr>
          <w:rFonts w:hint="eastAsia" w:eastAsia="宋体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eastAsia="宋体" w:cs="Times New Roman"/>
          <w:sz w:val="24"/>
          <w:lang w:val="en-US" w:eastAsia="zh-CN"/>
        </w:rPr>
      </w:pPr>
      <w:r>
        <w:rPr>
          <w:rFonts w:ascii="Times New Roman" w:hAnsi="Times New Roman" w:cs="Times New Roman"/>
          <w:b/>
          <w:bCs/>
          <w:sz w:val="24"/>
          <w:lang w:val="en-GB"/>
        </w:rPr>
        <w:t xml:space="preserve">Supplementary Figure 1. </w:t>
      </w:r>
      <w:r>
        <w:rPr>
          <w:rFonts w:hint="eastAsia" w:eastAsia="宋体" w:cs="Times New Roman"/>
          <w:sz w:val="24"/>
          <w:lang w:val="en-US" w:eastAsia="zh-CN"/>
        </w:rPr>
        <w:t>EPA content c</w:t>
      </w:r>
      <w:r>
        <w:rPr>
          <w:rFonts w:hint="eastAsia" w:ascii="Times New Roman" w:hAnsi="Times New Roman" w:cs="Times New Roman"/>
          <w:sz w:val="24"/>
          <w:lang w:val="en-GB"/>
        </w:rPr>
        <w:t>omparison of total lipid</w:t>
      </w:r>
      <w:r>
        <w:rPr>
          <w:rFonts w:hint="eastAsia" w:eastAsia="宋体" w:cs="Times New Roman"/>
          <w:sz w:val="24"/>
          <w:lang w:val="en-US" w:eastAsia="zh-CN"/>
        </w:rPr>
        <w:t>s</w:t>
      </w:r>
      <w:r>
        <w:rPr>
          <w:rFonts w:hint="eastAsia" w:ascii="Times New Roman" w:hAnsi="Times New Roman" w:cs="Times New Roman"/>
          <w:sz w:val="24"/>
          <w:lang w:val="en-GB"/>
        </w:rPr>
        <w:t xml:space="preserve"> and different lipid fractions </w:t>
      </w:r>
      <w:r>
        <w:rPr>
          <w:rFonts w:hint="eastAsia" w:eastAsia="宋体" w:cs="Times New Roman"/>
          <w:sz w:val="24"/>
          <w:lang w:val="en-US" w:eastAsia="zh-CN"/>
        </w:rPr>
        <w:t>between WT</w:t>
      </w:r>
      <w:r>
        <w:rPr>
          <w:rFonts w:hint="eastAsia" w:ascii="Times New Roman" w:hAnsi="Times New Roman" w:cs="Times New Roman"/>
          <w:sz w:val="24"/>
          <w:lang w:val="en-GB"/>
        </w:rPr>
        <w:t xml:space="preserve"> and mutant</w:t>
      </w:r>
      <w:r>
        <w:rPr>
          <w:rFonts w:hint="eastAsia" w:eastAsia="宋体" w:cs="Times New Roman"/>
          <w:sz w:val="24"/>
          <w:lang w:val="en-US" w:eastAsia="zh-CN"/>
        </w:rPr>
        <w:t>s</w:t>
      </w:r>
      <w:r>
        <w:rPr>
          <w:rFonts w:hint="eastAsia" w:ascii="Times New Roman" w:hAnsi="Times New Roman" w:cs="Times New Roman"/>
          <w:sz w:val="24"/>
          <w:lang w:val="en-GB"/>
        </w:rPr>
        <w:t>.</w:t>
      </w:r>
      <w:r>
        <w:rPr>
          <w:rFonts w:hint="eastAsia" w:eastAsia="宋体" w:cs="Times New Roman"/>
          <w:sz w:val="24"/>
          <w:lang w:val="en-US" w:eastAsia="zh-CN"/>
        </w:rPr>
        <w:t xml:space="preserve"> The figure shows the average of three independent replicates ± SE</w:t>
      </w:r>
    </w:p>
    <w:p>
      <w:r>
        <w:drawing>
          <wp:inline distT="0" distB="0" distL="114300" distR="114300">
            <wp:extent cx="6071235" cy="2331720"/>
            <wp:effectExtent l="0" t="0" r="5715" b="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71235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 w:cs="Times New Roman"/>
          <w:sz w:val="24"/>
          <w:lang w:val="en-US" w:eastAsia="zh-CN"/>
        </w:rPr>
      </w:pPr>
      <w:r>
        <w:rPr>
          <w:rFonts w:hint="eastAsia" w:eastAsia="宋体" w:cs="Times New Roman"/>
          <w:sz w:val="24"/>
          <w:lang w:val="en-US" w:eastAsia="zh-CN"/>
        </w:rPr>
        <w:br w:type="page"/>
      </w:r>
    </w:p>
    <w:p>
      <w:pPr>
        <w:spacing w:line="360" w:lineRule="auto"/>
        <w:rPr>
          <w:rFonts w:hint="eastAsia" w:eastAsia="宋体" w:cs="Times New Roman"/>
          <w:sz w:val="24"/>
          <w:lang w:val="en-GB" w:eastAsia="zh-CN"/>
        </w:rPr>
      </w:pPr>
      <w:r>
        <w:rPr>
          <w:rFonts w:hint="eastAsia" w:ascii="Times New Roman" w:hAnsi="Times New Roman" w:eastAsia="Cambria" w:cs="Times New Roman"/>
          <w:b/>
          <w:sz w:val="24"/>
          <w:szCs w:val="24"/>
          <w:lang w:val="en-US" w:eastAsia="zh-CN" w:bidi="ar-SA"/>
        </w:rPr>
        <w:t>Supplementary Table 1.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 w:eastAsia="宋体" w:cs="Times New Roman"/>
          <w:sz w:val="24"/>
          <w:lang w:val="en-US" w:eastAsia="zh-CN"/>
        </w:rPr>
        <w:t xml:space="preserve">Fatty acid composition </w:t>
      </w:r>
      <w:r>
        <w:rPr>
          <w:rFonts w:hint="eastAsia" w:eastAsia="宋体" w:cs="Times New Roman"/>
          <w:sz w:val="24"/>
          <w:lang w:val="en-GB" w:eastAsia="zh-CN"/>
        </w:rPr>
        <w:t xml:space="preserve">of </w:t>
      </w:r>
      <w:r>
        <w:rPr>
          <w:rFonts w:hint="eastAsia" w:eastAsia="宋体" w:cs="Times New Roman"/>
          <w:sz w:val="24"/>
          <w:lang w:val="en-US" w:eastAsia="zh-CN"/>
        </w:rPr>
        <w:t>total</w:t>
      </w:r>
      <w:r>
        <w:rPr>
          <w:rFonts w:hint="eastAsia" w:eastAsia="宋体" w:cs="Times New Roman"/>
          <w:sz w:val="24"/>
          <w:lang w:val="en-GB" w:eastAsia="zh-CN"/>
        </w:rPr>
        <w:t xml:space="preserve"> lipid</w:t>
      </w:r>
      <w:r>
        <w:rPr>
          <w:rFonts w:hint="eastAsia" w:eastAsia="宋体" w:cs="Times New Roman"/>
          <w:sz w:val="24"/>
          <w:lang w:val="en-US" w:eastAsia="zh-CN"/>
        </w:rPr>
        <w:t>s</w:t>
      </w:r>
      <w:r>
        <w:rPr>
          <w:rFonts w:hint="eastAsia" w:eastAsia="宋体" w:cs="Times New Roman"/>
          <w:sz w:val="24"/>
          <w:lang w:val="en-GB" w:eastAsia="zh-CN"/>
        </w:rPr>
        <w:t xml:space="preserve"> and different lipid fractions </w:t>
      </w:r>
      <w:r>
        <w:rPr>
          <w:rFonts w:hint="eastAsia" w:eastAsia="宋体" w:cs="Times New Roman"/>
          <w:sz w:val="24"/>
          <w:lang w:val="en-US" w:eastAsia="zh-CN"/>
        </w:rPr>
        <w:t>between WT</w:t>
      </w:r>
      <w:r>
        <w:rPr>
          <w:rFonts w:hint="eastAsia" w:eastAsia="宋体" w:cs="Times New Roman"/>
          <w:sz w:val="24"/>
          <w:lang w:val="en-GB" w:eastAsia="zh-CN"/>
        </w:rPr>
        <w:t xml:space="preserve"> and mutant</w:t>
      </w:r>
      <w:r>
        <w:rPr>
          <w:rFonts w:hint="eastAsia" w:eastAsia="宋体" w:cs="Times New Roman"/>
          <w:sz w:val="24"/>
          <w:lang w:val="en-US" w:eastAsia="zh-CN"/>
        </w:rPr>
        <w:t>s</w:t>
      </w:r>
      <w:r>
        <w:rPr>
          <w:rFonts w:hint="eastAsia" w:eastAsia="宋体" w:cs="Times New Roman"/>
          <w:sz w:val="24"/>
          <w:lang w:val="en-GB" w:eastAsia="zh-CN"/>
        </w:rPr>
        <w:t>.</w:t>
      </w:r>
    </w:p>
    <w:tbl>
      <w:tblPr>
        <w:tblStyle w:val="20"/>
        <w:tblW w:w="4958" w:type="pct"/>
        <w:jc w:val="center"/>
        <w:tblDescription w:val="{&quot;styleId&quot;:2}"/>
        <w:tblCellSpacing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1419"/>
        <w:gridCol w:w="1084"/>
        <w:gridCol w:w="1084"/>
        <w:gridCol w:w="1084"/>
        <w:gridCol w:w="1084"/>
        <w:gridCol w:w="1084"/>
        <w:gridCol w:w="1086"/>
        <w:gridCol w:w="1087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tblCellSpacing w:w="0" w:type="dxa"/>
          <w:jc w:val="center"/>
        </w:trPr>
        <w:tc>
          <w:tcPr>
            <w:tcW w:w="371" w:type="pct"/>
            <w:tcBorders>
              <w:bottom w:val="single" w:color="auto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28" w:type="pct"/>
            <w:tcBorders>
              <w:bottom w:val="single" w:color="auto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56" w:type="pct"/>
            <w:tcBorders>
              <w:bottom w:val="single" w:color="auto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A</w:t>
            </w:r>
          </w:p>
        </w:tc>
        <w:tc>
          <w:tcPr>
            <w:tcW w:w="556" w:type="pct"/>
            <w:tcBorders>
              <w:bottom w:val="single" w:color="auto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B</w:t>
            </w:r>
          </w:p>
        </w:tc>
        <w:tc>
          <w:tcPr>
            <w:tcW w:w="556" w:type="pct"/>
            <w:tcBorders>
              <w:bottom w:val="single" w:color="auto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C</w:t>
            </w:r>
          </w:p>
        </w:tc>
        <w:tc>
          <w:tcPr>
            <w:tcW w:w="556" w:type="pct"/>
            <w:tcBorders>
              <w:bottom w:val="single" w:color="auto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</w:t>
            </w:r>
          </w:p>
        </w:tc>
        <w:tc>
          <w:tcPr>
            <w:tcW w:w="556" w:type="pct"/>
            <w:tcBorders>
              <w:bottom w:val="single" w:color="auto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E</w:t>
            </w:r>
          </w:p>
        </w:tc>
        <w:tc>
          <w:tcPr>
            <w:tcW w:w="557" w:type="pct"/>
            <w:tcBorders>
              <w:bottom w:val="single" w:color="auto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F</w:t>
            </w:r>
          </w:p>
        </w:tc>
        <w:tc>
          <w:tcPr>
            <w:tcW w:w="557" w:type="pct"/>
            <w:tcBorders>
              <w:bottom w:val="single" w:color="auto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WT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tblCellSpacing w:w="0" w:type="dxa"/>
          <w:jc w:val="center"/>
        </w:trPr>
        <w:tc>
          <w:tcPr>
            <w:tcW w:w="371" w:type="pct"/>
            <w:vMerge w:val="restar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EPA</w:t>
            </w:r>
          </w:p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(%)</w:t>
            </w:r>
          </w:p>
        </w:tc>
        <w:tc>
          <w:tcPr>
            <w:tcW w:w="728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Total</w:t>
            </w:r>
            <w:r>
              <w:rPr>
                <w:rFonts w:hint="eastAsia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lipids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14.18±0.19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12.26±0.01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11.04±0.38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16.73±1.59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13.46±0.52</w:t>
            </w:r>
          </w:p>
        </w:tc>
        <w:tc>
          <w:tcPr>
            <w:tcW w:w="557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10.62±0.29</w:t>
            </w:r>
          </w:p>
        </w:tc>
        <w:tc>
          <w:tcPr>
            <w:tcW w:w="557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9.23±0.14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tblCellSpacing w:w="0" w:type="dxa"/>
          <w:jc w:val="center"/>
        </w:trPr>
        <w:tc>
          <w:tcPr>
            <w:tcW w:w="371" w:type="pct"/>
            <w:vMerge w:val="continue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28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eutral lipids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4.97±0.15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7.56±0.20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7.71±0.21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4.52±0.25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4.28±0.02</w:t>
            </w:r>
          </w:p>
        </w:tc>
        <w:tc>
          <w:tcPr>
            <w:tcW w:w="557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7.3±1.15</w:t>
            </w:r>
          </w:p>
        </w:tc>
        <w:tc>
          <w:tcPr>
            <w:tcW w:w="557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4.94±0.05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tblCellSpacing w:w="0" w:type="dxa"/>
          <w:jc w:val="center"/>
        </w:trPr>
        <w:tc>
          <w:tcPr>
            <w:tcW w:w="371" w:type="pct"/>
            <w:vMerge w:val="continue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28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Glycolipid</w:t>
            </w:r>
            <w:r>
              <w:rPr>
                <w:rFonts w:hint="eastAsia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22.76±0.38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21.19±0.60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19.63±0.00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22.95±0.21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21.32±0.14</w:t>
            </w:r>
          </w:p>
        </w:tc>
        <w:tc>
          <w:tcPr>
            <w:tcW w:w="557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21.63±0.11</w:t>
            </w:r>
          </w:p>
        </w:tc>
        <w:tc>
          <w:tcPr>
            <w:tcW w:w="557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16.85±0.11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tblCellSpacing w:w="0" w:type="dxa"/>
          <w:jc w:val="center"/>
        </w:trPr>
        <w:tc>
          <w:tcPr>
            <w:tcW w:w="371" w:type="pct"/>
            <w:vMerge w:val="continue"/>
            <w:tcBorders>
              <w:bottom w:val="single" w:color="auto" w:sz="6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28" w:type="pct"/>
            <w:tcBorders>
              <w:bottom w:val="single" w:color="auto" w:sz="6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Phospholipids</w:t>
            </w:r>
          </w:p>
        </w:tc>
        <w:tc>
          <w:tcPr>
            <w:tcW w:w="556" w:type="pct"/>
            <w:tcBorders>
              <w:bottom w:val="single" w:color="auto" w:sz="6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22.88±0.17</w:t>
            </w:r>
          </w:p>
        </w:tc>
        <w:tc>
          <w:tcPr>
            <w:tcW w:w="556" w:type="pct"/>
            <w:tcBorders>
              <w:bottom w:val="single" w:color="auto" w:sz="6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17.08±0.51</w:t>
            </w:r>
          </w:p>
        </w:tc>
        <w:tc>
          <w:tcPr>
            <w:tcW w:w="556" w:type="pct"/>
            <w:tcBorders>
              <w:bottom w:val="single" w:color="auto" w:sz="6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18.13±0.32</w:t>
            </w:r>
          </w:p>
        </w:tc>
        <w:tc>
          <w:tcPr>
            <w:tcW w:w="556" w:type="pct"/>
            <w:tcBorders>
              <w:bottom w:val="single" w:color="auto" w:sz="6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19.75±0.74</w:t>
            </w:r>
          </w:p>
        </w:tc>
        <w:tc>
          <w:tcPr>
            <w:tcW w:w="556" w:type="pct"/>
            <w:tcBorders>
              <w:bottom w:val="single" w:color="auto" w:sz="6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18.8±0.64</w:t>
            </w:r>
          </w:p>
        </w:tc>
        <w:tc>
          <w:tcPr>
            <w:tcW w:w="557" w:type="pct"/>
            <w:tcBorders>
              <w:bottom w:val="single" w:color="auto" w:sz="6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15.6±0.70</w:t>
            </w:r>
          </w:p>
        </w:tc>
        <w:tc>
          <w:tcPr>
            <w:tcW w:w="557" w:type="pct"/>
            <w:tcBorders>
              <w:bottom w:val="single" w:color="auto" w:sz="6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17.62±0.40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tblCellSpacing w:w="0" w:type="dxa"/>
          <w:jc w:val="center"/>
        </w:trPr>
        <w:tc>
          <w:tcPr>
            <w:tcW w:w="371" w:type="pct"/>
            <w:vMerge w:val="restar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SFA</w:t>
            </w:r>
          </w:p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(%)</w:t>
            </w:r>
          </w:p>
        </w:tc>
        <w:tc>
          <w:tcPr>
            <w:tcW w:w="728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Total</w:t>
            </w:r>
            <w:r>
              <w:rPr>
                <w:rFonts w:hint="eastAsia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lipids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44.42±0.07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46.3±0.04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45.97±0.2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52.05±5.53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41±0.15</w:t>
            </w:r>
          </w:p>
        </w:tc>
        <w:tc>
          <w:tcPr>
            <w:tcW w:w="557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42.83±0.03</w:t>
            </w:r>
          </w:p>
        </w:tc>
        <w:tc>
          <w:tcPr>
            <w:tcW w:w="557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45.07±0.01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tblCellSpacing w:w="0" w:type="dxa"/>
          <w:jc w:val="center"/>
        </w:trPr>
        <w:tc>
          <w:tcPr>
            <w:tcW w:w="371" w:type="pct"/>
            <w:vMerge w:val="continue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28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eutral lipids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56.93±0.05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52.94±0.46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51.62±0.17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59.18±0.32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59.22±0.54</w:t>
            </w:r>
          </w:p>
        </w:tc>
        <w:tc>
          <w:tcPr>
            <w:tcW w:w="557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32.89±9.59</w:t>
            </w:r>
          </w:p>
        </w:tc>
        <w:tc>
          <w:tcPr>
            <w:tcW w:w="557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52.89±0.03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tblCellSpacing w:w="0" w:type="dxa"/>
          <w:jc w:val="center"/>
        </w:trPr>
        <w:tc>
          <w:tcPr>
            <w:tcW w:w="371" w:type="pct"/>
            <w:vMerge w:val="continue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28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Glycolipid</w:t>
            </w:r>
            <w:r>
              <w:rPr>
                <w:rFonts w:hint="eastAsia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44.13±0.12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47.2±0.20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50.05±0.59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44.55±0.57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46.3±0.59</w:t>
            </w:r>
          </w:p>
        </w:tc>
        <w:tc>
          <w:tcPr>
            <w:tcW w:w="557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41.03±0.20</w:t>
            </w:r>
          </w:p>
        </w:tc>
        <w:tc>
          <w:tcPr>
            <w:tcW w:w="557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53.22±0.36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tblCellSpacing w:w="0" w:type="dxa"/>
          <w:jc w:val="center"/>
        </w:trPr>
        <w:tc>
          <w:tcPr>
            <w:tcW w:w="371" w:type="pct"/>
            <w:vMerge w:val="continue"/>
            <w:tcBorders>
              <w:bottom w:val="single" w:color="auto" w:sz="6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28" w:type="pct"/>
            <w:tcBorders>
              <w:bottom w:val="single" w:color="auto" w:sz="6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Phospholipids</w:t>
            </w:r>
          </w:p>
        </w:tc>
        <w:tc>
          <w:tcPr>
            <w:tcW w:w="556" w:type="pct"/>
            <w:tcBorders>
              <w:bottom w:val="single" w:color="auto" w:sz="6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47.98±0.62</w:t>
            </w:r>
          </w:p>
        </w:tc>
        <w:tc>
          <w:tcPr>
            <w:tcW w:w="556" w:type="pct"/>
            <w:tcBorders>
              <w:bottom w:val="single" w:color="auto" w:sz="6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55.66±1.65</w:t>
            </w:r>
          </w:p>
        </w:tc>
        <w:tc>
          <w:tcPr>
            <w:tcW w:w="556" w:type="pct"/>
            <w:tcBorders>
              <w:bottom w:val="single" w:color="auto" w:sz="6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54.45±0.17</w:t>
            </w:r>
          </w:p>
        </w:tc>
        <w:tc>
          <w:tcPr>
            <w:tcW w:w="556" w:type="pct"/>
            <w:tcBorders>
              <w:bottom w:val="single" w:color="auto" w:sz="6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51.37±0.30</w:t>
            </w:r>
          </w:p>
        </w:tc>
        <w:tc>
          <w:tcPr>
            <w:tcW w:w="556" w:type="pct"/>
            <w:tcBorders>
              <w:bottom w:val="single" w:color="auto" w:sz="6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50.64±0.34</w:t>
            </w:r>
          </w:p>
        </w:tc>
        <w:tc>
          <w:tcPr>
            <w:tcW w:w="557" w:type="pct"/>
            <w:tcBorders>
              <w:bottom w:val="single" w:color="auto" w:sz="6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54.24±0.30</w:t>
            </w:r>
          </w:p>
        </w:tc>
        <w:tc>
          <w:tcPr>
            <w:tcW w:w="557" w:type="pct"/>
            <w:tcBorders>
              <w:bottom w:val="single" w:color="auto" w:sz="6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53.54±2.00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tblCellSpacing w:w="0" w:type="dxa"/>
          <w:jc w:val="center"/>
        </w:trPr>
        <w:tc>
          <w:tcPr>
            <w:tcW w:w="371" w:type="pct"/>
            <w:vMerge w:val="restar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MUFA</w:t>
            </w:r>
          </w:p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(%)</w:t>
            </w:r>
          </w:p>
        </w:tc>
        <w:tc>
          <w:tcPr>
            <w:tcW w:w="728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Total</w:t>
            </w:r>
            <w:r>
              <w:rPr>
                <w:rFonts w:hint="eastAsia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lipids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28.14±0.22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30.62±0.04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33.4±0.37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25.84±1.32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29.04±0.47</w:t>
            </w:r>
          </w:p>
        </w:tc>
        <w:tc>
          <w:tcPr>
            <w:tcW w:w="557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34.29±0.73</w:t>
            </w:r>
          </w:p>
        </w:tc>
        <w:tc>
          <w:tcPr>
            <w:tcW w:w="557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36.52±0.17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tblCellSpacing w:w="0" w:type="dxa"/>
          <w:jc w:val="center"/>
        </w:trPr>
        <w:tc>
          <w:tcPr>
            <w:tcW w:w="371" w:type="pct"/>
            <w:vMerge w:val="continue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28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eutral lipids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28.32±0.08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30.95±0.20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33.24±0.24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27.71±0.11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28.49±0.16</w:t>
            </w:r>
          </w:p>
        </w:tc>
        <w:tc>
          <w:tcPr>
            <w:tcW w:w="557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50.13±7.29</w:t>
            </w:r>
          </w:p>
        </w:tc>
        <w:tc>
          <w:tcPr>
            <w:tcW w:w="557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36±0.00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  <w:jc w:val="center"/>
        </w:trPr>
        <w:tc>
          <w:tcPr>
            <w:tcW w:w="371" w:type="pct"/>
            <w:vMerge w:val="continue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28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Glycolipid</w:t>
            </w:r>
            <w:r>
              <w:rPr>
                <w:rFonts w:hint="eastAsia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20±0.28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21.69±0.96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21.98±0.26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21.64±0.05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21.28±0.15</w:t>
            </w:r>
          </w:p>
        </w:tc>
        <w:tc>
          <w:tcPr>
            <w:tcW w:w="557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25.88±0.20</w:t>
            </w:r>
          </w:p>
        </w:tc>
        <w:tc>
          <w:tcPr>
            <w:tcW w:w="557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19.99±0.21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tblCellSpacing w:w="0" w:type="dxa"/>
          <w:jc w:val="center"/>
        </w:trPr>
        <w:tc>
          <w:tcPr>
            <w:tcW w:w="371" w:type="pct"/>
            <w:vMerge w:val="continue"/>
            <w:tcBorders>
              <w:bottom w:val="single" w:color="auto" w:sz="6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28" w:type="pct"/>
            <w:tcBorders>
              <w:bottom w:val="single" w:color="auto" w:sz="6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Phospholipids</w:t>
            </w:r>
          </w:p>
        </w:tc>
        <w:tc>
          <w:tcPr>
            <w:tcW w:w="556" w:type="pct"/>
            <w:tcBorders>
              <w:bottom w:val="single" w:color="auto" w:sz="6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25.43±0.09</w:t>
            </w:r>
          </w:p>
        </w:tc>
        <w:tc>
          <w:tcPr>
            <w:tcW w:w="556" w:type="pct"/>
            <w:tcBorders>
              <w:bottom w:val="single" w:color="auto" w:sz="6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27.26±2.33</w:t>
            </w:r>
          </w:p>
        </w:tc>
        <w:tc>
          <w:tcPr>
            <w:tcW w:w="556" w:type="pct"/>
            <w:tcBorders>
              <w:bottom w:val="single" w:color="auto" w:sz="6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25.15±0.59</w:t>
            </w:r>
          </w:p>
        </w:tc>
        <w:tc>
          <w:tcPr>
            <w:tcW w:w="556" w:type="pct"/>
            <w:tcBorders>
              <w:bottom w:val="single" w:color="auto" w:sz="6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24.35±0.62</w:t>
            </w:r>
          </w:p>
        </w:tc>
        <w:tc>
          <w:tcPr>
            <w:tcW w:w="556" w:type="pct"/>
            <w:tcBorders>
              <w:bottom w:val="single" w:color="auto" w:sz="6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25.68±1.23</w:t>
            </w:r>
          </w:p>
        </w:tc>
        <w:tc>
          <w:tcPr>
            <w:tcW w:w="557" w:type="pct"/>
            <w:tcBorders>
              <w:bottom w:val="single" w:color="auto" w:sz="6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26.5±0.03</w:t>
            </w:r>
          </w:p>
        </w:tc>
        <w:tc>
          <w:tcPr>
            <w:tcW w:w="557" w:type="pct"/>
            <w:tcBorders>
              <w:bottom w:val="single" w:color="auto" w:sz="6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25.46±2.09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tblCellSpacing w:w="0" w:type="dxa"/>
          <w:jc w:val="center"/>
        </w:trPr>
        <w:tc>
          <w:tcPr>
            <w:tcW w:w="371" w:type="pct"/>
            <w:vMerge w:val="restar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PUFA</w:t>
            </w:r>
          </w:p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(%)</w:t>
            </w:r>
          </w:p>
        </w:tc>
        <w:tc>
          <w:tcPr>
            <w:tcW w:w="728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Total</w:t>
            </w:r>
            <w:r>
              <w:rPr>
                <w:rFonts w:hint="eastAsia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lipids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27.45±0.29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23.08±0.08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20.63±0.57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22.11±4.21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29.96±0.32</w:t>
            </w:r>
          </w:p>
        </w:tc>
        <w:tc>
          <w:tcPr>
            <w:tcW w:w="557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22.88±0.71</w:t>
            </w:r>
          </w:p>
        </w:tc>
        <w:tc>
          <w:tcPr>
            <w:tcW w:w="557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18.41±0.15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tblCellSpacing w:w="0" w:type="dxa"/>
          <w:jc w:val="center"/>
        </w:trPr>
        <w:tc>
          <w:tcPr>
            <w:tcW w:w="371" w:type="pct"/>
            <w:vMerge w:val="continue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28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eutral lipids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14.75±0.13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16.11±0.65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15.14±0.08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13.1±0.44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12.29±0.38</w:t>
            </w:r>
          </w:p>
        </w:tc>
        <w:tc>
          <w:tcPr>
            <w:tcW w:w="557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16.97±2.30</w:t>
            </w:r>
          </w:p>
        </w:tc>
        <w:tc>
          <w:tcPr>
            <w:tcW w:w="557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11.11±0.03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tblCellSpacing w:w="0" w:type="dxa"/>
          <w:jc w:val="center"/>
        </w:trPr>
        <w:tc>
          <w:tcPr>
            <w:tcW w:w="371" w:type="pct"/>
            <w:vMerge w:val="continue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28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Glycolipid</w:t>
            </w:r>
            <w:r>
              <w:rPr>
                <w:rFonts w:hint="eastAsia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35.87±0.40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31.11±0.77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27.96±0.33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33.81±0.63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32.42±0.74</w:t>
            </w:r>
          </w:p>
        </w:tc>
        <w:tc>
          <w:tcPr>
            <w:tcW w:w="557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33.09±0.00</w:t>
            </w:r>
          </w:p>
        </w:tc>
        <w:tc>
          <w:tcPr>
            <w:tcW w:w="557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26.79±0.15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tblCellSpacing w:w="0" w:type="dxa"/>
          <w:jc w:val="center"/>
        </w:trPr>
        <w:tc>
          <w:tcPr>
            <w:tcW w:w="371" w:type="pct"/>
            <w:vMerge w:val="continue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28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Phospholipids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26.59±0.53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17.08±0.67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20.4±0.42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24.28±0.32</w:t>
            </w:r>
          </w:p>
        </w:tc>
        <w:tc>
          <w:tcPr>
            <w:tcW w:w="556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23.67±1.58</w:t>
            </w:r>
          </w:p>
        </w:tc>
        <w:tc>
          <w:tcPr>
            <w:tcW w:w="557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19.25±0.26</w:t>
            </w:r>
          </w:p>
        </w:tc>
        <w:tc>
          <w:tcPr>
            <w:tcW w:w="557" w:type="pct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21±0.10</w:t>
            </w:r>
          </w:p>
        </w:tc>
      </w:tr>
    </w:tbl>
    <w:p>
      <w:pPr>
        <w:rPr>
          <w:rFonts w:hint="default" w:ascii="Times New Roman" w:hAnsi="Times New Roman" w:cs="Times New Roman"/>
          <w:sz w:val="21"/>
          <w:szCs w:val="20"/>
          <w:lang w:val="en-US"/>
        </w:rPr>
      </w:pPr>
      <w:r>
        <w:rPr>
          <w:rFonts w:hint="default" w:ascii="Times New Roman" w:hAnsi="Times New Roman" w:cs="Times New Roman"/>
          <w:sz w:val="21"/>
          <w:szCs w:val="20"/>
          <w:lang w:val="en-US"/>
        </w:rPr>
        <w:t>The table shows the average of three independent replicates ± SE.</w:t>
      </w:r>
    </w:p>
    <w:p>
      <w:pPr>
        <w:spacing w:before="240"/>
      </w:pPr>
    </w:p>
    <w:p>
      <w:pPr>
        <w:spacing w:before="240"/>
        <w:rPr>
          <w:rFonts w:hint="default"/>
          <w:lang w:val="en-US" w:eastAsia="zh-CN"/>
        </w:rPr>
      </w:pPr>
    </w:p>
    <w:p>
      <w:pPr>
        <w:spacing w:before="240"/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35.1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jODQ1YzZkZjYyYmMyZmU1NTY0MTRiM2UzZWJiNTc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B862FE6"/>
    <w:rsid w:val="57064CE8"/>
    <w:rsid w:val="738C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/>
</ds:datastoreItem>
</file>

<file path=customXml/itemProps3.xml><?xml version="1.0" encoding="utf-8"?>
<ds:datastoreItem xmlns:ds="http://schemas.openxmlformats.org/officeDocument/2006/customXml" ds:itemID="{4B2E0E22-D442-4EBE-AAA2-EDC8871E7B41}">
  <ds:schemaRefs/>
</ds:datastoreItem>
</file>

<file path=customXml/itemProps4.xml><?xml version="1.0" encoding="utf-8"?>
<ds:datastoreItem xmlns:ds="http://schemas.openxmlformats.org/officeDocument/2006/customXml" ds:itemID="{A3D4929F-83D0-432F-8F82-6D4423C25F5E}">
  <ds:schemaRefs/>
</ds:datastoreItem>
</file>

<file path=customXml/itemProps5.xml><?xml version="1.0" encoding="utf-8"?>
<ds:datastoreItem xmlns:ds="http://schemas.openxmlformats.org/officeDocument/2006/customXml" ds:itemID="{DFF441E3-103C-4487-877D-08CD22337C19}">
  <ds:schemaRefs/>
</ds:datastoreItem>
</file>

<file path=customXml/itemProps6.xml><?xml version="1.0" encoding="utf-8"?>
<ds:datastoreItem xmlns:ds="http://schemas.openxmlformats.org/officeDocument/2006/customXml" ds:itemID="{114314AF-3C36-4C2C-B599-40A76C6FFF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1</Pages>
  <Words>77</Words>
  <Characters>513</Characters>
  <Lines>7</Lines>
  <Paragraphs>2</Paragraphs>
  <TotalTime>0</TotalTime>
  <ScaleCrop>false</ScaleCrop>
  <LinksUpToDate>false</LinksUpToDate>
  <CharactersWithSpaces>583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姜尔颖</cp:lastModifiedBy>
  <cp:lastPrinted>2013-10-03T12:51:00Z</cp:lastPrinted>
  <dcterms:modified xsi:type="dcterms:W3CDTF">2023-03-28T02:27:51Z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2052-11.1.0.14036</vt:lpwstr>
  </property>
  <property fmtid="{D5CDD505-2E9C-101B-9397-08002B2CF9AE}" pid="11" name="ICV">
    <vt:lpwstr>AAB6D5658B1A4745A879AE2C0D47A6E4</vt:lpwstr>
  </property>
</Properties>
</file>