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9E3A20E" w14:textId="77777777" w:rsidR="00F540DA" w:rsidRDefault="00F540DA" w:rsidP="0001436A">
      <w:pPr>
        <w:pStyle w:val="AuthorList"/>
        <w:rPr>
          <w:sz w:val="32"/>
          <w:szCs w:val="32"/>
        </w:rPr>
      </w:pPr>
      <w:r w:rsidRPr="00F540DA">
        <w:rPr>
          <w:sz w:val="32"/>
          <w:szCs w:val="32"/>
        </w:rPr>
        <w:t>Retinal Alpha-synuclein Accumulation Parallels Retinal Dysfunction &amp; Structural Thinning in the A53T Mouse Model of Parkinson’s Disease</w:t>
      </w:r>
    </w:p>
    <w:p w14:paraId="04886F90" w14:textId="6BAB67CF" w:rsidR="00E469A6" w:rsidRDefault="00E469A6" w:rsidP="00E469A6">
      <w:pPr>
        <w:pStyle w:val="AuthorList"/>
        <w:jc w:val="both"/>
        <w:rPr>
          <w:vertAlign w:val="superscript"/>
        </w:rPr>
      </w:pPr>
      <w:r w:rsidRPr="00D346D0">
        <w:t>Katie K.N. Tran</w:t>
      </w:r>
      <w:r w:rsidRPr="00D346D0">
        <w:rPr>
          <w:vertAlign w:val="superscript"/>
        </w:rPr>
        <w:t>1</w:t>
      </w:r>
      <w:r w:rsidRPr="00D346D0">
        <w:t>, Vickie H.Y. Wong</w:t>
      </w:r>
      <w:r w:rsidRPr="00D346D0">
        <w:rPr>
          <w:vertAlign w:val="superscript"/>
        </w:rPr>
        <w:t>1</w:t>
      </w:r>
      <w:r w:rsidRPr="00D346D0">
        <w:t>, Anh Hoang</w:t>
      </w:r>
      <w:r w:rsidRPr="00D346D0">
        <w:rPr>
          <w:vertAlign w:val="superscript"/>
        </w:rPr>
        <w:t>1</w:t>
      </w:r>
      <w:r w:rsidRPr="00D346D0">
        <w:t>, David I. Finkelstein</w:t>
      </w:r>
      <w:r w:rsidRPr="00D346D0">
        <w:rPr>
          <w:vertAlign w:val="superscript"/>
        </w:rPr>
        <w:t>2</w:t>
      </w:r>
      <w:r w:rsidRPr="00D346D0">
        <w:t>, Bang V. Bui</w:t>
      </w:r>
      <w:r w:rsidRPr="00D346D0">
        <w:rPr>
          <w:vertAlign w:val="superscript"/>
        </w:rPr>
        <w:t>1</w:t>
      </w:r>
      <w:r w:rsidRPr="00D346D0">
        <w:t>, Christine T.O. Nguyen</w:t>
      </w:r>
      <w:r w:rsidRPr="00D346D0">
        <w:rPr>
          <w:vertAlign w:val="superscript"/>
        </w:rPr>
        <w:t>1*</w:t>
      </w:r>
    </w:p>
    <w:p w14:paraId="6C2722D3" w14:textId="77777777" w:rsidR="009627D0" w:rsidRDefault="009627D0" w:rsidP="009627D0">
      <w:pPr>
        <w:spacing w:before="240" w:after="0"/>
        <w:jc w:val="both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1</w:t>
      </w:r>
      <w:r>
        <w:rPr>
          <w:rFonts w:cs="Times New Roman"/>
          <w:szCs w:val="24"/>
        </w:rPr>
        <w:t xml:space="preserve">Ocular Biomarkers Laboratory, </w:t>
      </w:r>
      <w:r w:rsidRPr="00D71933">
        <w:rPr>
          <w:rFonts w:cs="Times New Roman"/>
          <w:szCs w:val="24"/>
        </w:rPr>
        <w:t xml:space="preserve">Department of Optometry and Vision Sciences, </w:t>
      </w:r>
      <w:r>
        <w:rPr>
          <w:rFonts w:cs="Times New Roman"/>
          <w:szCs w:val="24"/>
        </w:rPr>
        <w:t xml:space="preserve">The </w:t>
      </w:r>
      <w:r w:rsidRPr="00D71933">
        <w:rPr>
          <w:rFonts w:cs="Times New Roman"/>
          <w:szCs w:val="24"/>
        </w:rPr>
        <w:t>University of Melbourne, Parkville, Victoria, Australia.</w:t>
      </w:r>
    </w:p>
    <w:p w14:paraId="346FE29A" w14:textId="77777777" w:rsidR="009627D0" w:rsidRDefault="009627D0" w:rsidP="009627D0">
      <w:pPr>
        <w:spacing w:after="0"/>
        <w:jc w:val="both"/>
        <w:rPr>
          <w:rFonts w:cs="Times New Roman"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9C2D46">
        <w:rPr>
          <w:rFonts w:cs="Times New Roman"/>
          <w:szCs w:val="24"/>
        </w:rPr>
        <w:t>Parkinson’s Disease Laboratory</w:t>
      </w:r>
      <w:r>
        <w:rPr>
          <w:rFonts w:cs="Times New Roman"/>
          <w:szCs w:val="24"/>
        </w:rPr>
        <w:t xml:space="preserve">, </w:t>
      </w:r>
      <w:r w:rsidRPr="00E31D0F">
        <w:rPr>
          <w:rFonts w:cs="Times New Roman"/>
          <w:szCs w:val="24"/>
        </w:rPr>
        <w:t>The Florey Institute of Neuroscience and Mental Health</w:t>
      </w:r>
      <w:r>
        <w:rPr>
          <w:rFonts w:cs="Times New Roman"/>
          <w:szCs w:val="24"/>
        </w:rPr>
        <w:t xml:space="preserve">, </w:t>
      </w:r>
      <w:r w:rsidRPr="00C53FEB">
        <w:rPr>
          <w:rFonts w:cs="Times New Roman"/>
          <w:szCs w:val="24"/>
        </w:rPr>
        <w:t xml:space="preserve">The University of Melbourne, Parkville, Victoria, Australia. </w:t>
      </w:r>
    </w:p>
    <w:p w14:paraId="217F3AE0" w14:textId="78CE220F" w:rsidR="002868E2" w:rsidRPr="00994A3D" w:rsidRDefault="002868E2" w:rsidP="00DF15C4">
      <w:pPr>
        <w:spacing w:before="240" w:after="0"/>
        <w:jc w:val="both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A624E4" w:rsidRPr="00A624E4">
        <w:rPr>
          <w:rFonts w:cs="Times New Roman"/>
        </w:rPr>
        <w:t>Christine T.O. Nguyen</w:t>
      </w:r>
      <w:r w:rsidR="00994A3D" w:rsidRPr="00994A3D">
        <w:rPr>
          <w:rFonts w:cs="Times New Roman"/>
        </w:rPr>
        <w:t xml:space="preserve">: </w:t>
      </w:r>
      <w:hyperlink r:id="rId12" w:history="1">
        <w:r w:rsidR="00FB4EF1" w:rsidRPr="00D62C1B">
          <w:rPr>
            <w:rStyle w:val="Hyperlink"/>
            <w:rFonts w:cs="Times New Roman"/>
          </w:rPr>
          <w:t>christine.nguyen@unimelb.edu.au</w:t>
        </w:r>
      </w:hyperlink>
      <w:r w:rsidR="00FB4EF1">
        <w:rPr>
          <w:rFonts w:cs="Times New Roman"/>
        </w:rPr>
        <w:t xml:space="preserve"> </w:t>
      </w:r>
    </w:p>
    <w:p w14:paraId="5E584EE8" w14:textId="77777777" w:rsidR="00994A3D" w:rsidRPr="00994A3D" w:rsidRDefault="00654E8F" w:rsidP="00DF15C4">
      <w:pPr>
        <w:pStyle w:val="Heading1"/>
        <w:jc w:val="both"/>
      </w:pPr>
      <w:r w:rsidRPr="00994A3D">
        <w:t>Supplementary Figures and Tables</w:t>
      </w:r>
    </w:p>
    <w:p w14:paraId="07970E94" w14:textId="77777777" w:rsidR="00994A3D" w:rsidRPr="001549D3" w:rsidRDefault="00994A3D" w:rsidP="00DF15C4">
      <w:pPr>
        <w:pStyle w:val="Heading2"/>
        <w:jc w:val="both"/>
      </w:pPr>
      <w:r w:rsidRPr="0001436A">
        <w:t>Supplementary</w:t>
      </w:r>
      <w:r w:rsidRPr="001549D3">
        <w:t xml:space="preserve"> Figures</w:t>
      </w:r>
    </w:p>
    <w:p w14:paraId="11EC8DA1" w14:textId="131532C2" w:rsidR="00994A3D" w:rsidRPr="001549D3" w:rsidRDefault="00EB5519" w:rsidP="00DF15C4">
      <w:pPr>
        <w:keepNext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F48E65D" wp14:editId="1C4CA34E">
            <wp:extent cx="6208395" cy="1645920"/>
            <wp:effectExtent l="0" t="0" r="1905" b="5080"/>
            <wp:docPr id="4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scatter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A235" w14:textId="6F7C63BA" w:rsidR="0013358F" w:rsidRPr="00677ED4" w:rsidRDefault="00994A3D" w:rsidP="00DF15C4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677ED4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42A2C" w:rsidRPr="00107E6F">
        <w:rPr>
          <w:rFonts w:eastAsia="+mn-ea"/>
          <w:b/>
          <w:bCs/>
          <w:color w:val="000000"/>
          <w:kern w:val="24"/>
        </w:rPr>
        <w:t xml:space="preserve">Additional correlations between retinal </w:t>
      </w:r>
      <w:r w:rsidR="00942A2C" w:rsidRPr="00107E6F">
        <w:rPr>
          <w:rFonts w:eastAsia="+mn-ea"/>
          <w:b/>
          <w:bCs/>
          <w:color w:val="000000"/>
          <w:kern w:val="24"/>
          <w:lang w:val="el-GR"/>
        </w:rPr>
        <w:t>α-</w:t>
      </w:r>
      <w:r w:rsidR="00942A2C" w:rsidRPr="00107E6F">
        <w:rPr>
          <w:rFonts w:eastAsia="+mn-ea"/>
          <w:b/>
          <w:bCs/>
          <w:color w:val="000000"/>
          <w:kern w:val="24"/>
        </w:rPr>
        <w:t xml:space="preserve">SYN, structure and function. </w:t>
      </w:r>
      <w:r w:rsidR="00942A2C" w:rsidRPr="00107E6F">
        <w:rPr>
          <w:rFonts w:eastAsia="+mn-ea"/>
          <w:color w:val="000000"/>
          <w:kern w:val="24"/>
        </w:rPr>
        <w:t xml:space="preserve">Deming linear regression analysis of total alpha-synuclein (addition of mouse </w:t>
      </w:r>
      <w:r w:rsidR="00942A2C" w:rsidRPr="00107E6F">
        <w:rPr>
          <w:rFonts w:eastAsia="+mn-ea"/>
          <w:color w:val="000000"/>
          <w:kern w:val="24"/>
          <w:lang w:val="el-GR"/>
        </w:rPr>
        <w:t>α-</w:t>
      </w:r>
      <w:r w:rsidR="00942A2C" w:rsidRPr="00107E6F">
        <w:rPr>
          <w:rFonts w:eastAsia="+mn-ea"/>
          <w:color w:val="000000"/>
          <w:kern w:val="24"/>
        </w:rPr>
        <w:t xml:space="preserve">SYN, human </w:t>
      </w:r>
      <w:r w:rsidR="00942A2C" w:rsidRPr="00107E6F">
        <w:rPr>
          <w:rFonts w:eastAsia="+mn-ea"/>
          <w:color w:val="000000"/>
          <w:kern w:val="24"/>
          <w:lang w:val="el-GR"/>
        </w:rPr>
        <w:t>α-</w:t>
      </w:r>
      <w:r w:rsidR="00942A2C" w:rsidRPr="00107E6F">
        <w:rPr>
          <w:rFonts w:eastAsia="+mn-ea"/>
          <w:color w:val="000000"/>
          <w:kern w:val="24"/>
        </w:rPr>
        <w:t xml:space="preserve">SYN and phosphorylated </w:t>
      </w:r>
      <w:r w:rsidR="00942A2C" w:rsidRPr="00107E6F">
        <w:rPr>
          <w:rFonts w:eastAsia="+mn-ea"/>
          <w:color w:val="000000"/>
          <w:kern w:val="24"/>
          <w:lang w:val="el-GR"/>
        </w:rPr>
        <w:t>α-</w:t>
      </w:r>
      <w:r w:rsidR="00942A2C" w:rsidRPr="00107E6F">
        <w:rPr>
          <w:rFonts w:eastAsia="+mn-ea"/>
          <w:color w:val="000000"/>
          <w:kern w:val="24"/>
        </w:rPr>
        <w:t xml:space="preserve">SYN, denoted as ALL) and phosphorylated </w:t>
      </w:r>
      <w:r w:rsidR="00942A2C" w:rsidRPr="00107E6F">
        <w:rPr>
          <w:rFonts w:eastAsia="+mn-ea"/>
          <w:color w:val="000000"/>
          <w:kern w:val="24"/>
          <w:lang w:val="el-GR"/>
        </w:rPr>
        <w:t>α-</w:t>
      </w:r>
      <w:r w:rsidR="00942A2C" w:rsidRPr="00107E6F">
        <w:rPr>
          <w:rFonts w:eastAsia="+mn-ea"/>
          <w:color w:val="000000"/>
          <w:kern w:val="24"/>
        </w:rPr>
        <w:t xml:space="preserve">SYN (pSer129 </w:t>
      </w:r>
      <w:r w:rsidR="00942A2C" w:rsidRPr="00107E6F">
        <w:rPr>
          <w:rFonts w:eastAsia="+mn-ea"/>
          <w:color w:val="000000"/>
          <w:kern w:val="24"/>
          <w:lang w:val="el-GR"/>
        </w:rPr>
        <w:t>α-</w:t>
      </w:r>
      <w:r w:rsidR="00942A2C" w:rsidRPr="00107E6F">
        <w:rPr>
          <w:rFonts w:eastAsia="+mn-ea"/>
          <w:color w:val="000000"/>
          <w:kern w:val="24"/>
        </w:rPr>
        <w:t>SYN) levels with cone P3 amplitude (</w:t>
      </w:r>
      <w:r w:rsidR="00942A2C" w:rsidRPr="00107E6F">
        <w:rPr>
          <w:rFonts w:eastAsia="+mn-ea"/>
          <w:b/>
          <w:bCs/>
          <w:color w:val="000000"/>
          <w:kern w:val="24"/>
        </w:rPr>
        <w:t>A</w:t>
      </w:r>
      <w:r w:rsidR="00942A2C" w:rsidRPr="00107E6F">
        <w:rPr>
          <w:rFonts w:eastAsia="+mn-ea"/>
          <w:color w:val="000000"/>
          <w:kern w:val="24"/>
        </w:rPr>
        <w:t>,</w:t>
      </w:r>
      <w:r w:rsidR="00942A2C" w:rsidRPr="00107E6F">
        <w:rPr>
          <w:rFonts w:eastAsia="+mn-ea"/>
          <w:b/>
          <w:bCs/>
          <w:color w:val="000000"/>
          <w:kern w:val="24"/>
        </w:rPr>
        <w:t xml:space="preserve"> B</w:t>
      </w:r>
      <w:r w:rsidR="00942A2C" w:rsidRPr="00107E6F">
        <w:rPr>
          <w:rFonts w:eastAsia="+mn-ea"/>
          <w:color w:val="000000"/>
          <w:kern w:val="24"/>
        </w:rPr>
        <w:t xml:space="preserve">) and ganglion cell inner plexiform layer (GCIPL) thickness with mouse </w:t>
      </w:r>
      <w:r w:rsidR="00942A2C" w:rsidRPr="00107E6F">
        <w:rPr>
          <w:rFonts w:eastAsia="+mn-ea"/>
          <w:color w:val="000000"/>
          <w:kern w:val="24"/>
          <w:lang w:val="el-GR"/>
        </w:rPr>
        <w:t>α-</w:t>
      </w:r>
      <w:r w:rsidR="00942A2C" w:rsidRPr="00107E6F">
        <w:rPr>
          <w:rFonts w:eastAsia="+mn-ea"/>
          <w:color w:val="000000"/>
          <w:kern w:val="24"/>
        </w:rPr>
        <w:t>SYN levels (</w:t>
      </w:r>
      <w:r w:rsidR="00942A2C" w:rsidRPr="00107E6F">
        <w:rPr>
          <w:rFonts w:eastAsia="+mn-ea"/>
          <w:b/>
          <w:bCs/>
          <w:color w:val="000000"/>
          <w:kern w:val="24"/>
        </w:rPr>
        <w:t>C</w:t>
      </w:r>
      <w:r w:rsidR="00942A2C" w:rsidRPr="00107E6F">
        <w:rPr>
          <w:rFonts w:eastAsia="+mn-ea"/>
          <w:color w:val="000000"/>
          <w:kern w:val="24"/>
        </w:rPr>
        <w:t xml:space="preserve">), respectively. Gray dots denote wildtype (WT; </w:t>
      </w:r>
      <w:r w:rsidR="00942A2C" w:rsidRPr="00B70AB9">
        <w:rPr>
          <w:rFonts w:eastAsia="+mn-ea"/>
          <w:i/>
          <w:iCs/>
          <w:color w:val="000000"/>
          <w:kern w:val="24"/>
        </w:rPr>
        <w:t>n</w:t>
      </w:r>
      <w:r w:rsidR="00942A2C" w:rsidRPr="00107E6F">
        <w:rPr>
          <w:rFonts w:eastAsia="+mn-ea"/>
          <w:color w:val="000000"/>
          <w:kern w:val="24"/>
        </w:rPr>
        <w:t xml:space="preserve"> = 18-37) controls and teal dots denote A53T homozygous (HOM; </w:t>
      </w:r>
      <w:r w:rsidR="00942A2C" w:rsidRPr="00B70AB9">
        <w:rPr>
          <w:rFonts w:eastAsia="+mn-ea"/>
          <w:i/>
          <w:iCs/>
          <w:color w:val="000000"/>
          <w:kern w:val="24"/>
        </w:rPr>
        <w:t>n</w:t>
      </w:r>
      <w:r w:rsidR="00942A2C" w:rsidRPr="00107E6F">
        <w:rPr>
          <w:rFonts w:eastAsia="+mn-ea"/>
          <w:color w:val="000000"/>
          <w:kern w:val="24"/>
        </w:rPr>
        <w:t xml:space="preserve"> = 18-34) mice. Spearman’s R (R</w:t>
      </w:r>
      <w:r w:rsidR="00942A2C" w:rsidRPr="00107E6F">
        <w:rPr>
          <w:rFonts w:eastAsia="+mn-ea"/>
          <w:color w:val="000000"/>
          <w:kern w:val="24"/>
          <w:position w:val="-6"/>
          <w:vertAlign w:val="subscript"/>
        </w:rPr>
        <w:t>s</w:t>
      </w:r>
      <w:r w:rsidR="00942A2C" w:rsidRPr="00107E6F">
        <w:rPr>
          <w:rFonts w:eastAsia="+mn-ea"/>
          <w:color w:val="000000"/>
          <w:kern w:val="24"/>
        </w:rPr>
        <w:t>) is given.</w:t>
      </w:r>
    </w:p>
    <w:p w14:paraId="4EB35E82" w14:textId="77777777" w:rsidR="00942A2C" w:rsidRDefault="00942A2C" w:rsidP="00DF15C4">
      <w:pPr>
        <w:keepNext/>
        <w:jc w:val="both"/>
        <w:rPr>
          <w:rFonts w:cs="Times New Roman"/>
          <w:szCs w:val="24"/>
        </w:rPr>
      </w:pPr>
    </w:p>
    <w:p w14:paraId="316022A9" w14:textId="77777777" w:rsidR="0013358F" w:rsidRDefault="0013358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9C6683C" w14:textId="5BAB0C29" w:rsidR="00DF15C4" w:rsidRPr="002B4A57" w:rsidRDefault="0013358F" w:rsidP="00DF15C4">
      <w:pPr>
        <w:keepNext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4BFE7AA7" wp14:editId="5EA7493E">
            <wp:extent cx="6208395" cy="4589780"/>
            <wp:effectExtent l="0" t="0" r="1905" b="0"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7AE3C" w14:textId="1B9CF703" w:rsidR="00677ED4" w:rsidRPr="00677ED4" w:rsidRDefault="00677ED4" w:rsidP="00677ED4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70601" w:rsidRPr="00107E6F">
        <w:rPr>
          <w:rFonts w:eastAsia="+mn-ea"/>
          <w:b/>
          <w:bCs/>
          <w:color w:val="000000"/>
          <w:kern w:val="24"/>
        </w:rPr>
        <w:t xml:space="preserve">Western Blots of A53T and WT retinae. </w:t>
      </w:r>
      <w:r w:rsidR="00D70601" w:rsidRPr="00107E6F">
        <w:rPr>
          <w:rFonts w:eastAsia="+mn-ea"/>
          <w:color w:val="000000"/>
          <w:kern w:val="24"/>
        </w:rPr>
        <w:t>All quantitative Western blot data and analysis was obtained from two individual retinal sample (</w:t>
      </w:r>
      <w:r w:rsidR="00D70601" w:rsidRPr="00107E6F">
        <w:rPr>
          <w:rFonts w:eastAsia="+mn-ea"/>
          <w:i/>
          <w:iCs/>
          <w:color w:val="000000"/>
          <w:kern w:val="24"/>
        </w:rPr>
        <w:t xml:space="preserve">n </w:t>
      </w:r>
      <w:r w:rsidR="00D70601" w:rsidRPr="00107E6F">
        <w:rPr>
          <w:rFonts w:eastAsia="+mn-ea"/>
          <w:color w:val="000000"/>
          <w:kern w:val="24"/>
        </w:rPr>
        <w:t>= 6) blots (</w:t>
      </w:r>
      <w:r w:rsidR="00D70601" w:rsidRPr="00107E6F">
        <w:rPr>
          <w:rFonts w:eastAsia="+mn-ea"/>
          <w:b/>
          <w:bCs/>
          <w:color w:val="000000"/>
          <w:kern w:val="24"/>
        </w:rPr>
        <w:t>A-B</w:t>
      </w:r>
      <w:r w:rsidR="00D70601" w:rsidRPr="00107E6F">
        <w:rPr>
          <w:rFonts w:eastAsia="+mn-ea"/>
          <w:color w:val="000000"/>
          <w:kern w:val="24"/>
        </w:rPr>
        <w:t xml:space="preserve">) which were probed with human </w:t>
      </w:r>
      <w:r w:rsidR="00D70601" w:rsidRPr="00107E6F">
        <w:rPr>
          <w:rFonts w:eastAsia="+mn-ea"/>
          <w:color w:val="000000"/>
          <w:kern w:val="24"/>
          <w:lang w:val="el-GR"/>
        </w:rPr>
        <w:t>α-</w:t>
      </w:r>
      <w:r w:rsidR="00D70601" w:rsidRPr="00107E6F">
        <w:rPr>
          <w:rFonts w:eastAsia="+mn-ea"/>
          <w:color w:val="000000"/>
          <w:kern w:val="24"/>
        </w:rPr>
        <w:t>SYN (</w:t>
      </w:r>
      <w:r w:rsidR="00D70601" w:rsidRPr="00107E6F">
        <w:rPr>
          <w:rFonts w:eastAsia="+mn-ea"/>
          <w:b/>
          <w:bCs/>
          <w:color w:val="000000"/>
          <w:kern w:val="24"/>
        </w:rPr>
        <w:t>C</w:t>
      </w:r>
      <w:r w:rsidR="00D70601" w:rsidRPr="00107E6F">
        <w:rPr>
          <w:rFonts w:eastAsia="+mn-ea"/>
          <w:color w:val="000000"/>
          <w:kern w:val="24"/>
        </w:rPr>
        <w:t xml:space="preserve">), mouse </w:t>
      </w:r>
      <w:r w:rsidR="00D70601" w:rsidRPr="00107E6F">
        <w:rPr>
          <w:rFonts w:eastAsia="+mn-ea"/>
          <w:color w:val="000000"/>
          <w:kern w:val="24"/>
          <w:lang w:val="el-GR"/>
        </w:rPr>
        <w:t>α-</w:t>
      </w:r>
      <w:r w:rsidR="00D70601" w:rsidRPr="00107E6F">
        <w:rPr>
          <w:rFonts w:eastAsia="+mn-ea"/>
          <w:color w:val="000000"/>
          <w:kern w:val="24"/>
        </w:rPr>
        <w:t>SYN (</w:t>
      </w:r>
      <w:r w:rsidR="00D70601" w:rsidRPr="00107E6F">
        <w:rPr>
          <w:rFonts w:eastAsia="+mn-ea"/>
          <w:b/>
          <w:bCs/>
          <w:color w:val="000000"/>
          <w:kern w:val="24"/>
        </w:rPr>
        <w:t>D</w:t>
      </w:r>
      <w:r w:rsidR="00D70601" w:rsidRPr="00107E6F">
        <w:rPr>
          <w:rFonts w:eastAsia="+mn-ea"/>
          <w:color w:val="000000"/>
          <w:kern w:val="24"/>
        </w:rPr>
        <w:t xml:space="preserve">), phosphorylated (pSer129) </w:t>
      </w:r>
      <w:r w:rsidR="00D70601" w:rsidRPr="00107E6F">
        <w:rPr>
          <w:rFonts w:eastAsia="+mn-ea"/>
          <w:color w:val="000000"/>
          <w:kern w:val="24"/>
          <w:lang w:val="el-GR"/>
        </w:rPr>
        <w:t>α-</w:t>
      </w:r>
      <w:r w:rsidR="00D70601" w:rsidRPr="00107E6F">
        <w:rPr>
          <w:rFonts w:eastAsia="+mn-ea"/>
          <w:color w:val="000000"/>
          <w:kern w:val="24"/>
        </w:rPr>
        <w:t>SYN (</w:t>
      </w:r>
      <w:r w:rsidR="00D70601" w:rsidRPr="00107E6F">
        <w:rPr>
          <w:rFonts w:eastAsia="+mn-ea"/>
          <w:b/>
          <w:bCs/>
          <w:color w:val="000000"/>
          <w:kern w:val="24"/>
        </w:rPr>
        <w:t>E</w:t>
      </w:r>
      <w:r w:rsidR="00D70601" w:rsidRPr="00107E6F">
        <w:rPr>
          <w:rFonts w:eastAsia="+mn-ea"/>
          <w:color w:val="000000"/>
          <w:kern w:val="24"/>
        </w:rPr>
        <w:t xml:space="preserve">) and tyrosine hydroxylase (TH, </w:t>
      </w:r>
      <w:r w:rsidR="00D70601" w:rsidRPr="00107E6F">
        <w:rPr>
          <w:rFonts w:eastAsia="+mn-ea"/>
          <w:b/>
          <w:bCs/>
          <w:color w:val="000000"/>
          <w:kern w:val="24"/>
        </w:rPr>
        <w:t>F</w:t>
      </w:r>
      <w:r w:rsidR="00D70601" w:rsidRPr="00107E6F">
        <w:rPr>
          <w:rFonts w:eastAsia="+mn-ea"/>
          <w:color w:val="000000"/>
          <w:kern w:val="24"/>
        </w:rPr>
        <w:t xml:space="preserve">) as indicated by the red dotted rectangle on the provided representative blots (pooled </w:t>
      </w:r>
      <w:r w:rsidR="00D70601" w:rsidRPr="00107E6F">
        <w:rPr>
          <w:rFonts w:eastAsia="+mn-ea"/>
          <w:i/>
          <w:iCs/>
          <w:color w:val="000000"/>
          <w:kern w:val="24"/>
        </w:rPr>
        <w:t xml:space="preserve">n </w:t>
      </w:r>
      <w:r w:rsidR="00D70601" w:rsidRPr="00107E6F">
        <w:rPr>
          <w:rFonts w:eastAsia="+mn-ea"/>
          <w:color w:val="000000"/>
          <w:kern w:val="24"/>
        </w:rPr>
        <w:t>= 6 retinae per lane).</w:t>
      </w:r>
    </w:p>
    <w:p w14:paraId="58F1AED1" w14:textId="77777777" w:rsidR="00DE23E8" w:rsidRPr="001549D3" w:rsidRDefault="00DE23E8" w:rsidP="00DF15C4">
      <w:pPr>
        <w:spacing w:before="240"/>
        <w:jc w:val="both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DDC9A" w14:textId="77777777" w:rsidR="004208D2" w:rsidRDefault="004208D2" w:rsidP="00117666">
      <w:pPr>
        <w:spacing w:after="0"/>
      </w:pPr>
      <w:r>
        <w:separator/>
      </w:r>
    </w:p>
  </w:endnote>
  <w:endnote w:type="continuationSeparator" w:id="0">
    <w:p w14:paraId="5018EE19" w14:textId="77777777" w:rsidR="004208D2" w:rsidRDefault="004208D2" w:rsidP="00117666">
      <w:pPr>
        <w:spacing w:after="0"/>
      </w:pPr>
      <w:r>
        <w:continuationSeparator/>
      </w:r>
    </w:p>
  </w:endnote>
  <w:endnote w:type="continuationNotice" w:id="1">
    <w:p w14:paraId="43E52759" w14:textId="77777777" w:rsidR="004208D2" w:rsidRDefault="004208D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7F438" w14:textId="77777777" w:rsidR="004208D2" w:rsidRDefault="004208D2" w:rsidP="00117666">
      <w:pPr>
        <w:spacing w:after="0"/>
      </w:pPr>
      <w:r>
        <w:separator/>
      </w:r>
    </w:p>
  </w:footnote>
  <w:footnote w:type="continuationSeparator" w:id="0">
    <w:p w14:paraId="247C073F" w14:textId="77777777" w:rsidR="004208D2" w:rsidRDefault="004208D2" w:rsidP="00117666">
      <w:pPr>
        <w:spacing w:after="0"/>
      </w:pPr>
      <w:r>
        <w:continuationSeparator/>
      </w:r>
    </w:p>
  </w:footnote>
  <w:footnote w:type="continuationNotice" w:id="1">
    <w:p w14:paraId="2C99E27B" w14:textId="77777777" w:rsidR="004208D2" w:rsidRDefault="004208D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3358F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B0A86"/>
    <w:rsid w:val="003D2F2D"/>
    <w:rsid w:val="00401590"/>
    <w:rsid w:val="004208D2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77ED4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55EC"/>
    <w:rsid w:val="00817DD6"/>
    <w:rsid w:val="00885156"/>
    <w:rsid w:val="008C47C5"/>
    <w:rsid w:val="009151AA"/>
    <w:rsid w:val="0093429D"/>
    <w:rsid w:val="00942A2C"/>
    <w:rsid w:val="00943573"/>
    <w:rsid w:val="009627D0"/>
    <w:rsid w:val="00970F7D"/>
    <w:rsid w:val="00994A3D"/>
    <w:rsid w:val="009A6AE8"/>
    <w:rsid w:val="009C2B12"/>
    <w:rsid w:val="009C70F3"/>
    <w:rsid w:val="00A174D9"/>
    <w:rsid w:val="00A569CD"/>
    <w:rsid w:val="00A624E4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70601"/>
    <w:rsid w:val="00DB59C3"/>
    <w:rsid w:val="00DC259A"/>
    <w:rsid w:val="00DE23E8"/>
    <w:rsid w:val="00DF15C4"/>
    <w:rsid w:val="00E469A6"/>
    <w:rsid w:val="00E52377"/>
    <w:rsid w:val="00E64E17"/>
    <w:rsid w:val="00E866C9"/>
    <w:rsid w:val="00EA3D3C"/>
    <w:rsid w:val="00EB5519"/>
    <w:rsid w:val="00EF51EA"/>
    <w:rsid w:val="00F46900"/>
    <w:rsid w:val="00F540DA"/>
    <w:rsid w:val="00F61D89"/>
    <w:rsid w:val="00FB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B4E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hristine.nguyen@unimelb.edu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7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Katie Tran</cp:lastModifiedBy>
  <cp:revision>16</cp:revision>
  <cp:lastPrinted>2013-10-03T12:51:00Z</cp:lastPrinted>
  <dcterms:created xsi:type="dcterms:W3CDTF">2023-01-17T05:14:00Z</dcterms:created>
  <dcterms:modified xsi:type="dcterms:W3CDTF">2023-01-17T10:03:00Z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