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3526" w14:textId="6DE3DA64" w:rsidR="005A0D21" w:rsidRPr="00E22374" w:rsidRDefault="005A0D21" w:rsidP="005A0D21">
      <w:pPr>
        <w:pStyle w:val="BodyText"/>
        <w:rPr>
          <w:rFonts w:eastAsia="Calibri"/>
          <w:b/>
          <w:bCs/>
        </w:rPr>
      </w:pPr>
      <w:r>
        <w:rPr>
          <w:b/>
          <w:bCs/>
        </w:rPr>
        <w:t xml:space="preserve">Supplementary Table </w:t>
      </w:r>
      <w:r w:rsidRPr="00E22374">
        <w:rPr>
          <w:b/>
          <w:bCs/>
        </w:rPr>
        <w:t xml:space="preserve"> </w:t>
      </w:r>
      <w:r w:rsidRPr="00E22374">
        <w:rPr>
          <w:b/>
          <w:bCs/>
        </w:rPr>
        <w:fldChar w:fldCharType="begin"/>
      </w:r>
      <w:r w:rsidRPr="00E22374">
        <w:rPr>
          <w:b/>
          <w:bCs/>
        </w:rPr>
        <w:instrText xml:space="preserve"> SEQ Appendix \* ARABIC </w:instrText>
      </w:r>
      <w:r w:rsidRPr="00E22374">
        <w:rPr>
          <w:b/>
          <w:bCs/>
        </w:rPr>
        <w:fldChar w:fldCharType="separate"/>
      </w:r>
      <w:r w:rsidRPr="00E22374">
        <w:rPr>
          <w:b/>
          <w:bCs/>
          <w:noProof/>
        </w:rPr>
        <w:t>1</w:t>
      </w:r>
      <w:r w:rsidRPr="00E22374">
        <w:rPr>
          <w:b/>
          <w:bCs/>
        </w:rPr>
        <w:fldChar w:fldCharType="end"/>
      </w:r>
      <w:r w:rsidRPr="00E22374">
        <w:rPr>
          <w:b/>
          <w:bCs/>
        </w:rPr>
        <w:t>:</w:t>
      </w:r>
      <w:r w:rsidRPr="00E22374">
        <w:rPr>
          <w:rFonts w:eastAsia="Calibri"/>
          <w:b/>
          <w:bCs/>
        </w:rPr>
        <w:t xml:space="preserve"> Primer sequences with annealing temperatures and </w:t>
      </w:r>
      <w:r w:rsidR="0074533E">
        <w:rPr>
          <w:rFonts w:eastAsia="Calibri"/>
          <w:b/>
          <w:bCs/>
        </w:rPr>
        <w:t>product</w:t>
      </w:r>
      <w:r w:rsidRPr="00E22374">
        <w:rPr>
          <w:rFonts w:eastAsia="Calibri"/>
          <w:b/>
          <w:bCs/>
        </w:rPr>
        <w:t xml:space="preserve"> </w:t>
      </w:r>
      <w:r w:rsidR="0074533E">
        <w:rPr>
          <w:rFonts w:eastAsia="Calibri"/>
          <w:b/>
          <w:bCs/>
        </w:rPr>
        <w:t>size</w:t>
      </w:r>
      <w:r w:rsidRPr="00E22374">
        <w:rPr>
          <w:rFonts w:eastAsia="Calibri"/>
          <w:b/>
          <w:bCs/>
        </w:rPr>
        <w:t xml:space="preserve"> for </w:t>
      </w:r>
      <w:r w:rsidRPr="00E22374">
        <w:rPr>
          <w:rFonts w:eastAsia="Calibri"/>
          <w:b/>
          <w:bCs/>
          <w:i/>
          <w:iCs/>
        </w:rPr>
        <w:t>Campylobacter</w:t>
      </w:r>
      <w:r w:rsidRPr="00E22374">
        <w:rPr>
          <w:rFonts w:eastAsia="Calibri"/>
          <w:b/>
          <w:bCs/>
        </w:rPr>
        <w:t xml:space="preserve"> genus and species</w:t>
      </w:r>
      <w:r>
        <w:rPr>
          <w:rFonts w:eastAsia="Calibri"/>
          <w:b/>
          <w:bCs/>
        </w:rPr>
        <w:t>.</w:t>
      </w:r>
    </w:p>
    <w:p w14:paraId="6D08AA79" w14:textId="77777777" w:rsidR="005A0D21" w:rsidRDefault="005A0D21" w:rsidP="005A0D21">
      <w:pPr>
        <w:pStyle w:val="BodyText"/>
        <w:rPr>
          <w:rFonts w:eastAsia="Calibri"/>
        </w:rPr>
      </w:pPr>
    </w:p>
    <w:tbl>
      <w:tblPr>
        <w:tblStyle w:val="TableGrid1"/>
        <w:tblW w:w="9350" w:type="dxa"/>
        <w:tblLayout w:type="fixed"/>
        <w:tblLook w:val="04A0" w:firstRow="1" w:lastRow="0" w:firstColumn="1" w:lastColumn="0" w:noHBand="0" w:noVBand="1"/>
      </w:tblPr>
      <w:tblGrid>
        <w:gridCol w:w="988"/>
        <w:gridCol w:w="850"/>
        <w:gridCol w:w="1559"/>
        <w:gridCol w:w="2552"/>
        <w:gridCol w:w="1134"/>
        <w:gridCol w:w="1012"/>
        <w:gridCol w:w="1255"/>
      </w:tblGrid>
      <w:tr w:rsidR="005A0D21" w:rsidRPr="00E22374" w14:paraId="1B0D6B85" w14:textId="77777777" w:rsidTr="00D9731B">
        <w:tc>
          <w:tcPr>
            <w:tcW w:w="988" w:type="dxa"/>
          </w:tcPr>
          <w:p w14:paraId="0080E297" w14:textId="0A822A91" w:rsidR="005A0D21" w:rsidRPr="00E22374" w:rsidRDefault="00A0011A" w:rsidP="00802551">
            <w:pPr>
              <w:widowControl w:val="0"/>
              <w:autoSpaceDE w:val="0"/>
              <w:autoSpaceDN w:val="0"/>
              <w:spacing w:after="160" w:line="480" w:lineRule="auto"/>
              <w:jc w:val="both"/>
              <w:rPr>
                <w:rFonts w:ascii="Times New Roman" w:eastAsia="Calibri" w:hAnsi="Times New Roman" w:cs="Times New Roman"/>
              </w:rPr>
            </w:pPr>
            <w:r>
              <w:rPr>
                <w:rFonts w:ascii="Times New Roman" w:eastAsia="Calibri" w:hAnsi="Times New Roman" w:cs="Times New Roman"/>
              </w:rPr>
              <w:t>Bacteria</w:t>
            </w:r>
          </w:p>
        </w:tc>
        <w:tc>
          <w:tcPr>
            <w:tcW w:w="850" w:type="dxa"/>
          </w:tcPr>
          <w:p w14:paraId="6B816D6E"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Gene</w:t>
            </w:r>
          </w:p>
        </w:tc>
        <w:tc>
          <w:tcPr>
            <w:tcW w:w="1559" w:type="dxa"/>
          </w:tcPr>
          <w:p w14:paraId="5F50061A" w14:textId="1D029829"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Primer</w:t>
            </w:r>
          </w:p>
        </w:tc>
        <w:tc>
          <w:tcPr>
            <w:tcW w:w="2552" w:type="dxa"/>
          </w:tcPr>
          <w:p w14:paraId="1C070377" w14:textId="03773074"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Sequence</w:t>
            </w:r>
            <w:r w:rsidR="00D9731B">
              <w:rPr>
                <w:rFonts w:ascii="Times New Roman" w:eastAsia="Calibri" w:hAnsi="Times New Roman" w:cs="Times New Roman"/>
              </w:rPr>
              <w:t xml:space="preserve"> 5’ to 3’</w:t>
            </w:r>
          </w:p>
        </w:tc>
        <w:tc>
          <w:tcPr>
            <w:tcW w:w="1134" w:type="dxa"/>
          </w:tcPr>
          <w:p w14:paraId="541CB4E9" w14:textId="6AE975C8" w:rsidR="005A0D21" w:rsidRPr="00E22374" w:rsidRDefault="0074533E" w:rsidP="00802551">
            <w:pPr>
              <w:widowControl w:val="0"/>
              <w:autoSpaceDE w:val="0"/>
              <w:autoSpaceDN w:val="0"/>
              <w:spacing w:after="160" w:line="480" w:lineRule="auto"/>
              <w:jc w:val="both"/>
              <w:rPr>
                <w:rFonts w:ascii="Times New Roman" w:eastAsia="Calibri" w:hAnsi="Times New Roman" w:cs="Times New Roman"/>
              </w:rPr>
            </w:pPr>
            <w:proofErr w:type="spellStart"/>
            <w:r>
              <w:rPr>
                <w:rFonts w:ascii="Times New Roman" w:eastAsia="Calibri" w:hAnsi="Times New Roman" w:cs="Times New Roman"/>
              </w:rPr>
              <w:t>Annealing</w:t>
            </w:r>
            <w:r w:rsidR="005A0D21" w:rsidRPr="00E22374">
              <w:rPr>
                <w:rFonts w:ascii="Times New Roman" w:eastAsia="Calibri" w:hAnsi="Times New Roman" w:cs="Times New Roman"/>
              </w:rPr>
              <w:t>Temp</w:t>
            </w:r>
            <w:proofErr w:type="spellEnd"/>
            <w:r w:rsidR="005A0D21" w:rsidRPr="00E22374">
              <w:rPr>
                <w:rFonts w:ascii="Times New Roman" w:eastAsia="Calibri" w:hAnsi="Times New Roman" w:cs="Times New Roman"/>
              </w:rPr>
              <w:t xml:space="preserve"> °C </w:t>
            </w:r>
          </w:p>
        </w:tc>
        <w:tc>
          <w:tcPr>
            <w:tcW w:w="1012" w:type="dxa"/>
          </w:tcPr>
          <w:p w14:paraId="6C552FD3" w14:textId="34E0A61C" w:rsidR="005A0D21" w:rsidRPr="00E22374" w:rsidRDefault="00D9731B" w:rsidP="00802551">
            <w:pPr>
              <w:widowControl w:val="0"/>
              <w:autoSpaceDE w:val="0"/>
              <w:autoSpaceDN w:val="0"/>
              <w:spacing w:after="160" w:line="480" w:lineRule="auto"/>
              <w:jc w:val="both"/>
              <w:rPr>
                <w:rFonts w:ascii="Times New Roman" w:eastAsia="Calibri" w:hAnsi="Times New Roman" w:cs="Times New Roman"/>
              </w:rPr>
            </w:pPr>
            <w:r>
              <w:rPr>
                <w:rFonts w:ascii="Times New Roman" w:eastAsia="Calibri" w:hAnsi="Times New Roman" w:cs="Times New Roman"/>
              </w:rPr>
              <w:t xml:space="preserve">Product </w:t>
            </w:r>
            <w:r w:rsidR="005A0D21" w:rsidRPr="00E22374">
              <w:rPr>
                <w:rFonts w:ascii="Times New Roman" w:eastAsia="Calibri" w:hAnsi="Times New Roman" w:cs="Times New Roman"/>
              </w:rPr>
              <w:t xml:space="preserve">Size </w:t>
            </w:r>
            <w:r w:rsidR="0074533E">
              <w:rPr>
                <w:rFonts w:ascii="Times New Roman" w:eastAsia="Calibri" w:hAnsi="Times New Roman" w:cs="Times New Roman"/>
              </w:rPr>
              <w:t>(bp)</w:t>
            </w:r>
          </w:p>
        </w:tc>
        <w:tc>
          <w:tcPr>
            <w:tcW w:w="1255" w:type="dxa"/>
          </w:tcPr>
          <w:p w14:paraId="1B18A20C"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Ref</w:t>
            </w:r>
          </w:p>
        </w:tc>
      </w:tr>
      <w:tr w:rsidR="005A0D21" w:rsidRPr="00E22374" w14:paraId="18ACEF35" w14:textId="77777777" w:rsidTr="00D9731B">
        <w:tc>
          <w:tcPr>
            <w:tcW w:w="988" w:type="dxa"/>
            <w:vMerge w:val="restart"/>
          </w:tcPr>
          <w:p w14:paraId="6CE299E4"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i/>
                <w:iCs/>
              </w:rPr>
              <w:t>Campylobacter</w:t>
            </w:r>
          </w:p>
        </w:tc>
        <w:tc>
          <w:tcPr>
            <w:tcW w:w="850" w:type="dxa"/>
            <w:vMerge w:val="restart"/>
          </w:tcPr>
          <w:p w14:paraId="4C36B218"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16S rRNA</w:t>
            </w:r>
          </w:p>
        </w:tc>
        <w:tc>
          <w:tcPr>
            <w:tcW w:w="1559" w:type="dxa"/>
          </w:tcPr>
          <w:p w14:paraId="695B1CB5"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MD16S1-F</w:t>
            </w:r>
          </w:p>
        </w:tc>
        <w:tc>
          <w:tcPr>
            <w:tcW w:w="2552" w:type="dxa"/>
          </w:tcPr>
          <w:p w14:paraId="67692B5C"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ATCTAATGGCTTAACCATTAAAC</w:t>
            </w:r>
          </w:p>
        </w:tc>
        <w:tc>
          <w:tcPr>
            <w:tcW w:w="1134" w:type="dxa"/>
            <w:vMerge w:val="restart"/>
          </w:tcPr>
          <w:p w14:paraId="48B15FEF"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59</w:t>
            </w:r>
          </w:p>
        </w:tc>
        <w:tc>
          <w:tcPr>
            <w:tcW w:w="1012" w:type="dxa"/>
            <w:vMerge w:val="restart"/>
          </w:tcPr>
          <w:p w14:paraId="57BA22CC"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857</w:t>
            </w:r>
          </w:p>
        </w:tc>
        <w:tc>
          <w:tcPr>
            <w:tcW w:w="1255" w:type="dxa"/>
            <w:vMerge w:val="restart"/>
          </w:tcPr>
          <w:p w14:paraId="1AD5D72F" w14:textId="350EEA5C" w:rsidR="005A0D21" w:rsidRPr="00E22374" w:rsidRDefault="00495E41" w:rsidP="00802551">
            <w:pPr>
              <w:widowControl w:val="0"/>
              <w:autoSpaceDE w:val="0"/>
              <w:autoSpaceDN w:val="0"/>
              <w:spacing w:after="160" w:line="480" w:lineRule="auto"/>
              <w:jc w:val="both"/>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{"citationItems":[{"id":"ITEM-1","itemData":{"DOI":"10.2478/jvetres-2018-0071","ISSN":"24508608","abstract":"Introduction: The study aimed to isolate thermophilic Campylobacter from chickens raised three rearing methods, determine its antimicrobial susceptibilities, and examine resistance-related genes by PCR. Material and Methods: Cloacal swabs or intestinal contents were taken in Istanbul, Sakarya, and Izmir provinces. Chickens were from small village-based family-run businesses (n = 70), organically raised (n = 71), and conventionally raised broilers (n = 79). The samples were cultured on modified charcoal cefoperazone desoxycholate (mCCD) agar. Suspect isolates were identified with multiplex PCR (mPCR). As per EUCAST standards, MIC values were derived by broth microdilution for tetracycline, ciprofloxacin, nalidixic acid, kanamycin, gentamicin, and erythromycin in isolates of C. jejuni (n = 98) and C. coli (n = 83). Results: In C. jejuni, 78.6% tetracycline, 87.8% ciprofloxacin, and 81.6% nalidixic acid resistance was detected, but none was to kanamycin, gentamicin, or erythromycin. In C. coli, 98.8% ciprofloxacin and 63.9% nalidixic acid resistance was detected, whereas resistance to non-quinolones was not observed. C257T (Thr-86-Ile) mutation in the gyrA gene of all phenotypically quinolone-resistant isolates was detected through a mismatch amplification mutation assay PCR (MAMA-PCR). It emerged that all isolates bore the tet (O) resistance gene. Conclusion: Common tetracycline, nalidixic acid, and ciprofloxacin resistance exists in Campylobacter isolated from chickens raised three rearing methods.","author":[{"dropping-particle":"","family":"Adiguzel","given":"Mehmet Cemal","non-dropping-particle":"","parse-names":false,"suffix":""},{"dropping-particle":"","family":"Sigirci","given":"Belgi Diren","non-dropping-particle":"","parse-names":false,"suffix":""},{"dropping-particle":"","family":"Celik","given":"Baran","non-dropping-particle":"","parse-names":false,"suffix":""},{"dropping-particle":"","family":"Kahraman","given":"Beren Basaran","non-dropping-particle":"","parse-names":false,"suffix":""},{"dropping-particle":"","family":"Metiner","given":"Kemal","non-dropping-particle":"","parse-names":false,"suffix":""},{"dropping-particle":"","family":"Ikiz","given":"Serkan","non-dropping-particle":"","parse-names":false,"suffix":""},{"dropping-particle":"","family":"Funda Bagcigil","given":"A.","non-dropping-particle":"","parse-names":false,"suffix":""},{"dropping-particle":"","family":"Ak","given":"Seyyal","non-dropping-particle":"","parse-names":false,"suffix":""},{"dropping-particle":"","family":"Yakut Ozgur","given":"N.","non-dropping-particle":"","parse-names":false,"suffix":""}],"container-title":"Journal of Veterinary Research (Poland)","id":"ITEM-1","issue":"4","issued":{"date-parts":[["2018"]]},"page":"463-468","title":"Phenotypic and genotypic examination of antimicrobial resistance in thermophilic &lt;i&gt;Campylobacter&lt;/i&gt; species isolated from poultry in Turkey","type":"article-journal","volume":"62"},"uris":["http://www.mendeley.com/documents/?uuid=2d95c5b1-245b-41b4-80f0-21010e5f7eee"]},{"id":"ITEM-2","itemData":{"DOI":"10.1016/j.rvsc.2011.01.028","author":[{"dropping-particle":"","family":"Müller","given":"Wolfgang","non-dropping-particle":"","parse-names":false,"suffix":""},{"dropping-particle":"","family":"Böhland","given":"Corinna","non-dropping-particle":"","parse-names":false,"suffix":""},{"dropping-particle":"","family":"Methner","given":"Ulrich","non-dropping-particle":"","parse-names":false,"suffix":""}],"container-title":"Research in veterinary science","id":"ITEM-2","issued":{"date-parts":[["2011","2","1"]]},"page":"e48-52","title":"Detection and genotypic differentiation of Campylobacter jejuni and Campylobacter coli strains from laying hens by multiplex PCR and fla-typing","type":"article-journal","volume":"91"},"uris":["http://www.mendeley.com/documents/?uuid=08c7fb8e-31bd-4eff-ab31-869c8226049e"]}],"mendeley":{"formattedCitation":"(Müller et al. 2011; Adiguzel et al. 2018)","plainTextFormattedCitation":"(Müller et al. 2011; Adiguzel et al. 2018)","previouslyFormattedCitation":"(Müller et al. 2011; Adiguzel et al. 2018)"},"properties":{"noteIndex":0},"schema":"https://github.com/citation-style-language/schema/raw/master/csl-citation.json"}</w:instrText>
            </w:r>
            <w:r>
              <w:rPr>
                <w:rFonts w:ascii="Times New Roman" w:eastAsia="Calibri" w:hAnsi="Times New Roman" w:cs="Times New Roman"/>
              </w:rPr>
              <w:fldChar w:fldCharType="separate"/>
            </w:r>
            <w:r w:rsidRPr="00495E41">
              <w:rPr>
                <w:rFonts w:ascii="Times New Roman" w:eastAsia="Calibri" w:hAnsi="Times New Roman" w:cs="Times New Roman"/>
                <w:noProof/>
              </w:rPr>
              <w:t>(Müller et al. 2011; Adiguzel et al. 2018)</w:t>
            </w:r>
            <w:r>
              <w:rPr>
                <w:rFonts w:ascii="Times New Roman" w:eastAsia="Calibri" w:hAnsi="Times New Roman" w:cs="Times New Roman"/>
              </w:rPr>
              <w:fldChar w:fldCharType="end"/>
            </w:r>
          </w:p>
        </w:tc>
      </w:tr>
      <w:tr w:rsidR="005A0D21" w:rsidRPr="00E22374" w14:paraId="6E796390" w14:textId="77777777" w:rsidTr="00D9731B">
        <w:tc>
          <w:tcPr>
            <w:tcW w:w="988" w:type="dxa"/>
            <w:vMerge/>
          </w:tcPr>
          <w:p w14:paraId="3D618285"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i/>
                <w:iCs/>
              </w:rPr>
            </w:pPr>
          </w:p>
        </w:tc>
        <w:tc>
          <w:tcPr>
            <w:tcW w:w="850" w:type="dxa"/>
            <w:vMerge/>
          </w:tcPr>
          <w:p w14:paraId="60D8FFFB"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c>
          <w:tcPr>
            <w:tcW w:w="1559" w:type="dxa"/>
          </w:tcPr>
          <w:p w14:paraId="7FE12DF3"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MD16S1-R</w:t>
            </w:r>
          </w:p>
        </w:tc>
        <w:tc>
          <w:tcPr>
            <w:tcW w:w="2552" w:type="dxa"/>
          </w:tcPr>
          <w:p w14:paraId="7CACC773"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GGACGGTAACTAGTTTAGTATT</w:t>
            </w:r>
          </w:p>
        </w:tc>
        <w:tc>
          <w:tcPr>
            <w:tcW w:w="1134" w:type="dxa"/>
            <w:vMerge/>
          </w:tcPr>
          <w:p w14:paraId="0B6C7081"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c>
          <w:tcPr>
            <w:tcW w:w="1012" w:type="dxa"/>
            <w:vMerge/>
          </w:tcPr>
          <w:p w14:paraId="5A24C3BA"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c>
          <w:tcPr>
            <w:tcW w:w="1255" w:type="dxa"/>
            <w:vMerge/>
          </w:tcPr>
          <w:p w14:paraId="4F759F9F"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r>
      <w:tr w:rsidR="005A0D21" w:rsidRPr="00E22374" w14:paraId="1BD25475" w14:textId="77777777" w:rsidTr="00D9731B">
        <w:tc>
          <w:tcPr>
            <w:tcW w:w="988" w:type="dxa"/>
            <w:vMerge w:val="restart"/>
          </w:tcPr>
          <w:p w14:paraId="41ED6C1F" w14:textId="7D381013"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i/>
                <w:iCs/>
              </w:rPr>
            </w:pPr>
            <w:r w:rsidRPr="00E22374">
              <w:rPr>
                <w:rFonts w:ascii="Times New Roman" w:eastAsia="Calibri" w:hAnsi="Times New Roman" w:cs="Times New Roman"/>
                <w:i/>
                <w:iCs/>
              </w:rPr>
              <w:t>C.</w:t>
            </w:r>
            <w:r w:rsidR="00A0011A">
              <w:rPr>
                <w:rFonts w:ascii="Times New Roman" w:eastAsia="Calibri" w:hAnsi="Times New Roman" w:cs="Times New Roman"/>
                <w:i/>
                <w:iCs/>
              </w:rPr>
              <w:t xml:space="preserve"> </w:t>
            </w:r>
            <w:proofErr w:type="spellStart"/>
            <w:r w:rsidRPr="00E22374">
              <w:rPr>
                <w:rFonts w:ascii="Times New Roman" w:eastAsia="Calibri" w:hAnsi="Times New Roman" w:cs="Times New Roman"/>
                <w:i/>
                <w:iCs/>
              </w:rPr>
              <w:t>jejuni</w:t>
            </w:r>
            <w:proofErr w:type="spellEnd"/>
          </w:p>
        </w:tc>
        <w:tc>
          <w:tcPr>
            <w:tcW w:w="850" w:type="dxa"/>
            <w:vMerge w:val="restart"/>
          </w:tcPr>
          <w:p w14:paraId="4C59AED0"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roofErr w:type="spellStart"/>
            <w:r w:rsidRPr="00E22374">
              <w:rPr>
                <w:rFonts w:ascii="Times New Roman" w:eastAsia="Calibri" w:hAnsi="Times New Roman" w:cs="Times New Roman"/>
              </w:rPr>
              <w:t>mapA</w:t>
            </w:r>
            <w:proofErr w:type="spellEnd"/>
          </w:p>
        </w:tc>
        <w:tc>
          <w:tcPr>
            <w:tcW w:w="1559" w:type="dxa"/>
          </w:tcPr>
          <w:p w14:paraId="27943B54"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MDmapA1-F</w:t>
            </w:r>
          </w:p>
        </w:tc>
        <w:tc>
          <w:tcPr>
            <w:tcW w:w="2552" w:type="dxa"/>
          </w:tcPr>
          <w:p w14:paraId="7CB4D037"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CTATTTTATTTTTGAGTGCTTGTG</w:t>
            </w:r>
          </w:p>
        </w:tc>
        <w:tc>
          <w:tcPr>
            <w:tcW w:w="1134" w:type="dxa"/>
            <w:vMerge w:val="restart"/>
          </w:tcPr>
          <w:p w14:paraId="3FA4D1DB"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59</w:t>
            </w:r>
          </w:p>
        </w:tc>
        <w:tc>
          <w:tcPr>
            <w:tcW w:w="1012" w:type="dxa"/>
            <w:vMerge w:val="restart"/>
          </w:tcPr>
          <w:p w14:paraId="31138C69"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589</w:t>
            </w:r>
          </w:p>
        </w:tc>
        <w:tc>
          <w:tcPr>
            <w:tcW w:w="1255" w:type="dxa"/>
            <w:vMerge/>
          </w:tcPr>
          <w:p w14:paraId="55FE676B"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r>
      <w:tr w:rsidR="005A0D21" w:rsidRPr="00E22374" w14:paraId="4CD2A0D1" w14:textId="77777777" w:rsidTr="00D9731B">
        <w:tc>
          <w:tcPr>
            <w:tcW w:w="988" w:type="dxa"/>
            <w:vMerge/>
          </w:tcPr>
          <w:p w14:paraId="6EFEC526"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i/>
                <w:iCs/>
              </w:rPr>
            </w:pPr>
          </w:p>
        </w:tc>
        <w:tc>
          <w:tcPr>
            <w:tcW w:w="850" w:type="dxa"/>
            <w:vMerge/>
          </w:tcPr>
          <w:p w14:paraId="3EDE28EF"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c>
          <w:tcPr>
            <w:tcW w:w="1559" w:type="dxa"/>
          </w:tcPr>
          <w:p w14:paraId="6BD5227A"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MDmapA1-R</w:t>
            </w:r>
          </w:p>
        </w:tc>
        <w:tc>
          <w:tcPr>
            <w:tcW w:w="2552" w:type="dxa"/>
          </w:tcPr>
          <w:p w14:paraId="6A98915D"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GCTTTATTTGCCATTTGTTTTATTA</w:t>
            </w:r>
          </w:p>
        </w:tc>
        <w:tc>
          <w:tcPr>
            <w:tcW w:w="1134" w:type="dxa"/>
            <w:vMerge/>
          </w:tcPr>
          <w:p w14:paraId="7A0D7E1D"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c>
          <w:tcPr>
            <w:tcW w:w="1012" w:type="dxa"/>
            <w:vMerge/>
          </w:tcPr>
          <w:p w14:paraId="72AC1CDD"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c>
          <w:tcPr>
            <w:tcW w:w="1255" w:type="dxa"/>
            <w:vMerge/>
          </w:tcPr>
          <w:p w14:paraId="4FDC2DB7"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r>
      <w:tr w:rsidR="005A0D21" w:rsidRPr="00E22374" w14:paraId="2DB4FAD3" w14:textId="77777777" w:rsidTr="00D9731B">
        <w:tc>
          <w:tcPr>
            <w:tcW w:w="988" w:type="dxa"/>
            <w:vMerge w:val="restart"/>
          </w:tcPr>
          <w:p w14:paraId="47705BE0" w14:textId="6ACD921A"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i/>
                <w:iCs/>
              </w:rPr>
            </w:pPr>
            <w:r w:rsidRPr="00E22374">
              <w:rPr>
                <w:rFonts w:ascii="Times New Roman" w:eastAsia="Calibri" w:hAnsi="Times New Roman" w:cs="Times New Roman"/>
                <w:i/>
                <w:iCs/>
              </w:rPr>
              <w:t>C.</w:t>
            </w:r>
            <w:r w:rsidR="00A0011A">
              <w:rPr>
                <w:rFonts w:ascii="Times New Roman" w:eastAsia="Calibri" w:hAnsi="Times New Roman" w:cs="Times New Roman"/>
                <w:i/>
                <w:iCs/>
              </w:rPr>
              <w:t xml:space="preserve"> </w:t>
            </w:r>
            <w:r w:rsidRPr="00E22374">
              <w:rPr>
                <w:rFonts w:ascii="Times New Roman" w:eastAsia="Calibri" w:hAnsi="Times New Roman" w:cs="Times New Roman"/>
                <w:i/>
                <w:iCs/>
              </w:rPr>
              <w:t>coli</w:t>
            </w:r>
          </w:p>
        </w:tc>
        <w:tc>
          <w:tcPr>
            <w:tcW w:w="850" w:type="dxa"/>
            <w:vMerge w:val="restart"/>
          </w:tcPr>
          <w:p w14:paraId="3C817412"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roofErr w:type="spellStart"/>
            <w:r w:rsidRPr="00E22374">
              <w:rPr>
                <w:rFonts w:ascii="Times New Roman" w:eastAsia="Calibri" w:hAnsi="Times New Roman" w:cs="Times New Roman"/>
              </w:rPr>
              <w:t>cueE</w:t>
            </w:r>
            <w:proofErr w:type="spellEnd"/>
          </w:p>
        </w:tc>
        <w:tc>
          <w:tcPr>
            <w:tcW w:w="1559" w:type="dxa"/>
          </w:tcPr>
          <w:p w14:paraId="4D4EAC42"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roofErr w:type="spellStart"/>
            <w:r w:rsidRPr="00E22374">
              <w:rPr>
                <w:rFonts w:ascii="Times New Roman" w:eastAsia="Calibri" w:hAnsi="Times New Roman" w:cs="Times New Roman"/>
              </w:rPr>
              <w:t>MDcol</w:t>
            </w:r>
            <w:proofErr w:type="spellEnd"/>
            <w:r w:rsidRPr="00E22374">
              <w:rPr>
                <w:rFonts w:ascii="Times New Roman" w:eastAsia="Calibri" w:hAnsi="Times New Roman" w:cs="Times New Roman"/>
              </w:rPr>
              <w:t>-F</w:t>
            </w:r>
          </w:p>
        </w:tc>
        <w:tc>
          <w:tcPr>
            <w:tcW w:w="2552" w:type="dxa"/>
          </w:tcPr>
          <w:p w14:paraId="5E333206"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AATTGAAAATTGCTCCAACTATG</w:t>
            </w:r>
          </w:p>
        </w:tc>
        <w:tc>
          <w:tcPr>
            <w:tcW w:w="1134" w:type="dxa"/>
          </w:tcPr>
          <w:p w14:paraId="6D12E60C"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59</w:t>
            </w:r>
          </w:p>
        </w:tc>
        <w:tc>
          <w:tcPr>
            <w:tcW w:w="1012" w:type="dxa"/>
          </w:tcPr>
          <w:p w14:paraId="09103A59"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462</w:t>
            </w:r>
          </w:p>
        </w:tc>
        <w:tc>
          <w:tcPr>
            <w:tcW w:w="1255" w:type="dxa"/>
            <w:vMerge/>
          </w:tcPr>
          <w:p w14:paraId="4E9B0FAB"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r>
      <w:tr w:rsidR="005A0D21" w:rsidRPr="00E22374" w14:paraId="1B6B6BBC" w14:textId="77777777" w:rsidTr="00D9731B">
        <w:tc>
          <w:tcPr>
            <w:tcW w:w="988" w:type="dxa"/>
            <w:vMerge/>
          </w:tcPr>
          <w:p w14:paraId="1307331E"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i/>
                <w:iCs/>
              </w:rPr>
            </w:pPr>
          </w:p>
        </w:tc>
        <w:tc>
          <w:tcPr>
            <w:tcW w:w="850" w:type="dxa"/>
            <w:vMerge/>
          </w:tcPr>
          <w:p w14:paraId="1640BDCC"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c>
          <w:tcPr>
            <w:tcW w:w="1559" w:type="dxa"/>
          </w:tcPr>
          <w:p w14:paraId="4CBE01EB" w14:textId="370FBB82" w:rsidR="005A0D21" w:rsidRPr="00E22374" w:rsidRDefault="00D9731B" w:rsidP="00802551">
            <w:pPr>
              <w:widowControl w:val="0"/>
              <w:autoSpaceDE w:val="0"/>
              <w:autoSpaceDN w:val="0"/>
              <w:spacing w:after="160" w:line="480" w:lineRule="auto"/>
              <w:jc w:val="both"/>
              <w:rPr>
                <w:rFonts w:ascii="Times New Roman" w:eastAsia="Calibri" w:hAnsi="Times New Roman" w:cs="Times New Roman"/>
              </w:rPr>
            </w:pPr>
            <w:proofErr w:type="spellStart"/>
            <w:r w:rsidRPr="00E22374">
              <w:rPr>
                <w:rFonts w:ascii="Times New Roman" w:eastAsia="Calibri" w:hAnsi="Times New Roman" w:cs="Times New Roman"/>
              </w:rPr>
              <w:t>MDcol</w:t>
            </w:r>
            <w:proofErr w:type="spellEnd"/>
            <w:r w:rsidRPr="00E22374">
              <w:rPr>
                <w:rFonts w:ascii="Times New Roman" w:eastAsia="Calibri" w:hAnsi="Times New Roman" w:cs="Times New Roman"/>
              </w:rPr>
              <w:t>-</w:t>
            </w:r>
            <w:r>
              <w:rPr>
                <w:rFonts w:ascii="Times New Roman" w:eastAsia="Calibri" w:hAnsi="Times New Roman" w:cs="Times New Roman"/>
              </w:rPr>
              <w:t>R</w:t>
            </w:r>
          </w:p>
        </w:tc>
        <w:tc>
          <w:tcPr>
            <w:tcW w:w="2552" w:type="dxa"/>
          </w:tcPr>
          <w:p w14:paraId="305C60CD"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r w:rsidRPr="00E22374">
              <w:rPr>
                <w:rFonts w:ascii="Times New Roman" w:eastAsia="Calibri" w:hAnsi="Times New Roman" w:cs="Times New Roman"/>
              </w:rPr>
              <w:t>TGATTTTATTATTTGTAGCAGCG</w:t>
            </w:r>
          </w:p>
        </w:tc>
        <w:tc>
          <w:tcPr>
            <w:tcW w:w="1134" w:type="dxa"/>
          </w:tcPr>
          <w:p w14:paraId="62FA5670"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c>
          <w:tcPr>
            <w:tcW w:w="1012" w:type="dxa"/>
          </w:tcPr>
          <w:p w14:paraId="38D2E8D8"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c>
          <w:tcPr>
            <w:tcW w:w="1255" w:type="dxa"/>
            <w:vMerge/>
          </w:tcPr>
          <w:p w14:paraId="0E3B7E5D" w14:textId="77777777" w:rsidR="005A0D21" w:rsidRPr="00E22374" w:rsidRDefault="005A0D21" w:rsidP="00802551">
            <w:pPr>
              <w:widowControl w:val="0"/>
              <w:autoSpaceDE w:val="0"/>
              <w:autoSpaceDN w:val="0"/>
              <w:spacing w:after="160" w:line="480" w:lineRule="auto"/>
              <w:jc w:val="both"/>
              <w:rPr>
                <w:rFonts w:ascii="Times New Roman" w:eastAsia="Calibri" w:hAnsi="Times New Roman" w:cs="Times New Roman"/>
              </w:rPr>
            </w:pPr>
          </w:p>
        </w:tc>
      </w:tr>
    </w:tbl>
    <w:p w14:paraId="0310DCBF" w14:textId="77777777" w:rsidR="005A0D21" w:rsidRPr="00E22374" w:rsidRDefault="005A0D21" w:rsidP="005A0D21">
      <w:pPr>
        <w:pStyle w:val="BodyText"/>
        <w:rPr>
          <w:rFonts w:eastAsia="Calibri"/>
        </w:rPr>
      </w:pPr>
    </w:p>
    <w:p w14:paraId="33AEB41A" w14:textId="7A9B74BE" w:rsidR="00495E41" w:rsidRPr="00495E41" w:rsidRDefault="00495E41" w:rsidP="00495E41">
      <w:pPr>
        <w:widowControl w:val="0"/>
        <w:autoSpaceDE w:val="0"/>
        <w:autoSpaceDN w:val="0"/>
        <w:adjustRightInd w:val="0"/>
        <w:spacing w:after="200"/>
        <w:ind w:left="480" w:hanging="480"/>
        <w:rPr>
          <w:rFonts w:ascii="Times New Roman" w:hAnsi="Times New Roman" w:cs="Times New Roman"/>
          <w:noProof/>
          <w:sz w:val="18"/>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495E41">
        <w:rPr>
          <w:rFonts w:ascii="Times New Roman" w:hAnsi="Times New Roman" w:cs="Times New Roman"/>
          <w:noProof/>
          <w:sz w:val="18"/>
        </w:rPr>
        <w:t xml:space="preserve">Adiguzel MC, Sigirci BD, Celik B, Kahraman BB, Metiner K, Ikiz S, et al. Phenotypic and genotypic examination of antimicrobial resistance in thermophilic </w:t>
      </w:r>
      <w:r w:rsidRPr="00495E41">
        <w:rPr>
          <w:rFonts w:ascii="Times New Roman" w:hAnsi="Times New Roman" w:cs="Times New Roman"/>
          <w:i/>
          <w:iCs/>
          <w:noProof/>
          <w:sz w:val="18"/>
        </w:rPr>
        <w:t>Campylobacter</w:t>
      </w:r>
      <w:r w:rsidRPr="00495E41">
        <w:rPr>
          <w:rFonts w:ascii="Times New Roman" w:hAnsi="Times New Roman" w:cs="Times New Roman"/>
          <w:noProof/>
          <w:sz w:val="18"/>
        </w:rPr>
        <w:t xml:space="preserve"> species isolated from poultry in Turkey. Journal of Veterinary Research (Poland). 2018;62(4):463–8. </w:t>
      </w:r>
    </w:p>
    <w:p w14:paraId="504005FD" w14:textId="77777777" w:rsidR="00495E41" w:rsidRPr="00495E41" w:rsidRDefault="00495E41" w:rsidP="00495E41">
      <w:pPr>
        <w:widowControl w:val="0"/>
        <w:autoSpaceDE w:val="0"/>
        <w:autoSpaceDN w:val="0"/>
        <w:adjustRightInd w:val="0"/>
        <w:spacing w:after="200"/>
        <w:ind w:left="480" w:hanging="480"/>
        <w:rPr>
          <w:rFonts w:ascii="Times New Roman" w:hAnsi="Times New Roman" w:cs="Times New Roman"/>
          <w:noProof/>
          <w:sz w:val="18"/>
        </w:rPr>
      </w:pPr>
      <w:r w:rsidRPr="00495E41">
        <w:rPr>
          <w:rFonts w:ascii="Times New Roman" w:hAnsi="Times New Roman" w:cs="Times New Roman"/>
          <w:noProof/>
          <w:sz w:val="18"/>
        </w:rPr>
        <w:t xml:space="preserve">Müller W, Böhland C, Methner U. Detection and genotypic differentiation of Campylobacter jejuni and Campylobacter coli strains from laying hens by multiplex PCR and fla-typing. Research in veterinary science. 2011 Feb 1;91:e48-52. </w:t>
      </w:r>
    </w:p>
    <w:p w14:paraId="38F14FDF" w14:textId="43328BC2" w:rsidR="005A0D21" w:rsidRPr="005B209F" w:rsidRDefault="00495E41" w:rsidP="005A0D21">
      <w:pPr>
        <w:pStyle w:val="Caption"/>
        <w:rPr>
          <w:rFonts w:ascii="Times New Roman" w:hAnsi="Times New Roman" w:cs="Times New Roman"/>
        </w:rPr>
      </w:pPr>
      <w:r>
        <w:rPr>
          <w:rFonts w:ascii="Times New Roman" w:hAnsi="Times New Roman" w:cs="Times New Roman"/>
        </w:rPr>
        <w:fldChar w:fldCharType="end"/>
      </w:r>
    </w:p>
    <w:p w14:paraId="1C91F89B" w14:textId="77777777" w:rsidR="005A0D21" w:rsidRPr="005B209F" w:rsidRDefault="005A0D21" w:rsidP="005A0D21">
      <w:pPr>
        <w:rPr>
          <w:rFonts w:ascii="Times New Roman" w:hAnsi="Times New Roman" w:cs="Times New Roman"/>
        </w:rPr>
      </w:pPr>
    </w:p>
    <w:p w14:paraId="26FB0D94" w14:textId="77777777" w:rsidR="000A46C4" w:rsidRDefault="00F111A2"/>
    <w:sectPr w:rsidR="000A46C4" w:rsidSect="00F111A2">
      <w:pgSz w:w="11900" w:h="16840"/>
      <w:pgMar w:top="1440" w:right="11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21"/>
    <w:rsid w:val="000D6D21"/>
    <w:rsid w:val="001A4124"/>
    <w:rsid w:val="00495E41"/>
    <w:rsid w:val="00530310"/>
    <w:rsid w:val="005A0D21"/>
    <w:rsid w:val="00625D23"/>
    <w:rsid w:val="006C3AB4"/>
    <w:rsid w:val="0074533E"/>
    <w:rsid w:val="007B49DD"/>
    <w:rsid w:val="0081562A"/>
    <w:rsid w:val="00992FD0"/>
    <w:rsid w:val="009A1F9F"/>
    <w:rsid w:val="009F5977"/>
    <w:rsid w:val="00A0011A"/>
    <w:rsid w:val="00AB7B7D"/>
    <w:rsid w:val="00B36A9B"/>
    <w:rsid w:val="00D9731B"/>
    <w:rsid w:val="00DF2248"/>
    <w:rsid w:val="00E22302"/>
    <w:rsid w:val="00F111A2"/>
    <w:rsid w:val="00F71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0DC9"/>
  <w15:chartTrackingRefBased/>
  <w15:docId w15:val="{371E9A63-D006-D547-B744-8267CDC9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A0D21"/>
    <w:pPr>
      <w:spacing w:after="200"/>
    </w:pPr>
    <w:rPr>
      <w:i/>
      <w:iCs/>
      <w:color w:val="44546A" w:themeColor="text2"/>
      <w:sz w:val="18"/>
      <w:szCs w:val="18"/>
    </w:rPr>
  </w:style>
  <w:style w:type="paragraph" w:styleId="BodyText">
    <w:name w:val="Body Text"/>
    <w:basedOn w:val="Normal"/>
    <w:link w:val="BodyTextChar"/>
    <w:uiPriority w:val="1"/>
    <w:qFormat/>
    <w:rsid w:val="005A0D21"/>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A0D21"/>
    <w:rPr>
      <w:rFonts w:ascii="Times New Roman" w:eastAsia="Times New Roman" w:hAnsi="Times New Roman" w:cs="Times New Roman"/>
      <w:lang w:val="en-US"/>
    </w:rPr>
  </w:style>
  <w:style w:type="table" w:customStyle="1" w:styleId="TableGrid1">
    <w:name w:val="Table Grid1"/>
    <w:basedOn w:val="TableNormal"/>
    <w:next w:val="TableGrid"/>
    <w:uiPriority w:val="39"/>
    <w:rsid w:val="005A0D2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A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1CBC5-3EAC-5144-B75C-3127A801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Cook</dc:creator>
  <cp:keywords/>
  <dc:description/>
  <cp:lastModifiedBy>Kirsty-Ann Thomson</cp:lastModifiedBy>
  <cp:revision>7</cp:revision>
  <dcterms:created xsi:type="dcterms:W3CDTF">2023-01-18T08:53:00Z</dcterms:created>
  <dcterms:modified xsi:type="dcterms:W3CDTF">2023-08-28T18:04:00Z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http://www.zotero.org/styles/one-health</vt:lpwstr>
  </property>
  <property fmtid="{D5CDD505-2E9C-101B-9397-08002B2CF9AE}" pid="9" name="Mendeley Recent Style Name 3_1">
    <vt:lpwstr>One Health</vt:lpwstr>
  </property>
  <property fmtid="{D5CDD505-2E9C-101B-9397-08002B2CF9AE}" pid="10" name="Mendeley Recent Style Id 4_1">
    <vt:lpwstr>http://www.zotero.org/styles/plos-neglected-tropical-diseases</vt:lpwstr>
  </property>
  <property fmtid="{D5CDD505-2E9C-101B-9397-08002B2CF9AE}" pid="11" name="Mendeley Recent Style Name 4_1">
    <vt:lpwstr>PLOS Neglected Tropical Diseases</vt:lpwstr>
  </property>
  <property fmtid="{D5CDD505-2E9C-101B-9397-08002B2CF9AE}" pid="12" name="Mendeley Recent Style Id 5_1">
    <vt:lpwstr>http://www.zotero.org/styles/preventive-veterinary-medicine</vt:lpwstr>
  </property>
  <property fmtid="{D5CDD505-2E9C-101B-9397-08002B2CF9AE}" pid="13" name="Mendeley Recent Style Name 5_1">
    <vt:lpwstr>Preventive Veterinary Medicine</vt:lpwstr>
  </property>
  <property fmtid="{D5CDD505-2E9C-101B-9397-08002B2CF9AE}" pid="14" name="Mendeley Recent Style Id 6_1">
    <vt:lpwstr>http://www.zotero.org/styles/taylor-and-francis-national-library-of-medicine</vt:lpwstr>
  </property>
  <property fmtid="{D5CDD505-2E9C-101B-9397-08002B2CF9AE}" pid="15" name="Mendeley Recent Style Name 6_1">
    <vt:lpwstr>Taylor &amp; Francis - National Library of Medicine</vt:lpwstr>
  </property>
  <property fmtid="{D5CDD505-2E9C-101B-9397-08002B2CF9AE}" pid="16" name="Mendeley Recent Style Id 7_1">
    <vt:lpwstr>http://www.zotero.org/styles/vaccine</vt:lpwstr>
  </property>
  <property fmtid="{D5CDD505-2E9C-101B-9397-08002B2CF9AE}" pid="17" name="Mendeley Recent Style Name 7_1">
    <vt:lpwstr>Vaccine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http://www.zotero.org/styles/vancouver-author-date</vt:lpwstr>
  </property>
  <property fmtid="{D5CDD505-2E9C-101B-9397-08002B2CF9AE}" pid="21" name="Mendeley Recent Style Name 9_1">
    <vt:lpwstr>Vancouver (author-date)</vt:lpwstr>
  </property>
  <property fmtid="{D5CDD505-2E9C-101B-9397-08002B2CF9AE}" pid="22" name="Mendeley Document_1">
    <vt:lpwstr>True</vt:lpwstr>
  </property>
  <property fmtid="{D5CDD505-2E9C-101B-9397-08002B2CF9AE}" pid="23" name="Mendeley Unique User Id_1">
    <vt:lpwstr>ed009fad-d26a-30a9-bd52-2a9927e90177</vt:lpwstr>
  </property>
  <property fmtid="{D5CDD505-2E9C-101B-9397-08002B2CF9AE}" pid="24" name="Mendeley Citation Style_1">
    <vt:lpwstr>http://www.zotero.org/styles/vancouver-author-date</vt:lpwstr>
  </property>
</Properties>
</file>