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CC731" w14:textId="77777777" w:rsidR="00901D00" w:rsidRDefault="00901D00" w:rsidP="00901D00">
      <w:pPr>
        <w:pStyle w:val="NoSpacing"/>
        <w:rPr>
          <w:b/>
          <w:bCs/>
        </w:rPr>
      </w:pPr>
      <w:bookmarkStart w:id="0" w:name="_GoBack"/>
      <w:bookmarkEnd w:id="0"/>
      <w:r>
        <w:rPr>
          <w:b/>
          <w:bCs/>
        </w:rPr>
        <w:t>Supplementary Figure Legends</w:t>
      </w:r>
    </w:p>
    <w:p w14:paraId="31327453" w14:textId="77777777" w:rsidR="00901D00" w:rsidRDefault="00901D00" w:rsidP="00901D00">
      <w:pPr>
        <w:pStyle w:val="NoSpacing"/>
        <w:rPr>
          <w:b/>
          <w:bCs/>
        </w:rPr>
      </w:pPr>
    </w:p>
    <w:p w14:paraId="77A55F9A" w14:textId="77777777" w:rsidR="00901D00" w:rsidRDefault="00901D00" w:rsidP="00901D00">
      <w:pPr>
        <w:pStyle w:val="NoSpacing"/>
      </w:pPr>
      <w:r w:rsidRPr="005C0CD7">
        <w:rPr>
          <w:b/>
          <w:bCs/>
        </w:rPr>
        <w:t xml:space="preserve">Supplementary Figure </w:t>
      </w:r>
      <w:r>
        <w:rPr>
          <w:b/>
          <w:bCs/>
        </w:rPr>
        <w:t>S</w:t>
      </w:r>
      <w:r w:rsidRPr="005C0CD7">
        <w:rPr>
          <w:b/>
          <w:bCs/>
        </w:rPr>
        <w:t>1:</w:t>
      </w:r>
      <w:r w:rsidRPr="001B091F">
        <w:t xml:space="preserve"> </w:t>
      </w:r>
    </w:p>
    <w:p w14:paraId="1E5193C7" w14:textId="77777777" w:rsidR="00901D00" w:rsidRDefault="00901D00" w:rsidP="00901D00">
      <w:pPr>
        <w:pStyle w:val="NoSpacing"/>
      </w:pPr>
      <w:r>
        <w:t>A)</w:t>
      </w:r>
      <w:r w:rsidRPr="001B091F">
        <w:t xml:space="preserve"> Sequence traces showing the WT c.973G locus in two KLF1-WT iPSC lines (SFCi55 and BM2.3) and the mutant c.973G&gt;A locus CDA type IV patient-</w:t>
      </w:r>
      <w:proofErr w:type="spellStart"/>
      <w:r w:rsidRPr="001B091F">
        <w:t>iSPC</w:t>
      </w:r>
      <w:proofErr w:type="spellEnd"/>
      <w:r w:rsidRPr="001B091F">
        <w:t xml:space="preserve">-derived line. </w:t>
      </w:r>
      <w:r>
        <w:t>B</w:t>
      </w:r>
      <w:r w:rsidRPr="001B091F">
        <w:t xml:space="preserve">) Gating strategy for analyses of suspension cells harvested from erythroid differentiations. Single, live cells were gated and </w:t>
      </w:r>
      <w:proofErr w:type="spellStart"/>
      <w:r w:rsidRPr="001B091F">
        <w:t>analysed</w:t>
      </w:r>
      <w:proofErr w:type="spellEnd"/>
      <w:r w:rsidRPr="001B091F">
        <w:t xml:space="preserve"> for expression of CD43 and </w:t>
      </w:r>
      <w:proofErr w:type="spellStart"/>
      <w:r w:rsidRPr="001B091F">
        <w:t>EpCAM</w:t>
      </w:r>
      <w:proofErr w:type="spellEnd"/>
      <w:r w:rsidRPr="001B091F">
        <w:t xml:space="preserve"> using fluorescence minus one (FMO) to set gates</w:t>
      </w:r>
      <w:r>
        <w:t>.</w:t>
      </w:r>
      <w:r w:rsidRPr="001B091F">
        <w:t xml:space="preserve"> </w:t>
      </w:r>
      <w:r>
        <w:t>C</w:t>
      </w:r>
      <w:r w:rsidRPr="001B091F">
        <w:t xml:space="preserve">) Gating strategy for analyses of suspension cells harvested from erythroid differentiations. Single, live cells were gated and </w:t>
      </w:r>
      <w:proofErr w:type="spellStart"/>
      <w:r w:rsidRPr="001B091F">
        <w:t>analysed</w:t>
      </w:r>
      <w:proofErr w:type="spellEnd"/>
      <w:r w:rsidRPr="001B091F">
        <w:t xml:space="preserve"> for expression of CD235a and CD71 using fluorescence minus one (FMO) to set gates.</w:t>
      </w:r>
    </w:p>
    <w:p w14:paraId="3A9F0472" w14:textId="77777777" w:rsidR="00901D00" w:rsidRPr="001B091F" w:rsidRDefault="00901D00" w:rsidP="00901D00">
      <w:pPr>
        <w:pStyle w:val="NoSpacing"/>
      </w:pPr>
    </w:p>
    <w:p w14:paraId="017A6A60" w14:textId="77777777" w:rsidR="00901D00" w:rsidRDefault="00901D00" w:rsidP="00901D00">
      <w:pPr>
        <w:pStyle w:val="NoSpacing"/>
        <w:rPr>
          <w:b/>
          <w:bCs/>
        </w:rPr>
      </w:pPr>
      <w:r w:rsidRPr="005C0CD7">
        <w:rPr>
          <w:b/>
          <w:bCs/>
        </w:rPr>
        <w:t xml:space="preserve">Supplementary Figure </w:t>
      </w:r>
      <w:r>
        <w:rPr>
          <w:b/>
          <w:bCs/>
        </w:rPr>
        <w:t>S</w:t>
      </w:r>
      <w:r w:rsidRPr="005C0CD7">
        <w:rPr>
          <w:b/>
          <w:bCs/>
        </w:rPr>
        <w:t>2:</w:t>
      </w:r>
      <w:r>
        <w:rPr>
          <w:b/>
          <w:bCs/>
        </w:rPr>
        <w:t xml:space="preserve"> </w:t>
      </w:r>
    </w:p>
    <w:p w14:paraId="504F9A00" w14:textId="77777777" w:rsidR="00901D00" w:rsidRDefault="00901D00" w:rsidP="00901D00">
      <w:pPr>
        <w:pStyle w:val="NoSpacing"/>
      </w:pPr>
      <w:r w:rsidRPr="00D8784C">
        <w:t xml:space="preserve">A) </w:t>
      </w:r>
      <w:r>
        <w:t>A schematic diagram of the KLF1-E325K-ER</w:t>
      </w:r>
      <w:r w:rsidRPr="00F06705">
        <w:rPr>
          <w:vertAlign w:val="superscript"/>
        </w:rPr>
        <w:t>T2</w:t>
      </w:r>
      <w:r>
        <w:t xml:space="preserve"> construct targeted into the AAVS1 locus showing the amplicons for PCRs 1-4 and the PCR screening results for clones 1-23. Negative control (NC) is SFCi55 iPSCs. Positive control (PC) is inducible KLF1-WT iPSCs. B: A schematic diagram of the non-targeted AAVS1 locus showing the amplicon for PCR 5 and the PCR screening results for the NC, PC and clones 1-23 C) Quantification of flow cytometry analyses of the percentage of cells generated from erythroid differentiations from parental line iPSCs (SFCi55) expressing CD43, CD71 and CD235a. Unpaired t-tests generated no statistically significant p-values.</w:t>
      </w:r>
    </w:p>
    <w:p w14:paraId="18D3C387" w14:textId="77777777" w:rsidR="00901D00" w:rsidRDefault="00901D00" w:rsidP="00901D00">
      <w:pPr>
        <w:pStyle w:val="NoSpacing"/>
      </w:pPr>
    </w:p>
    <w:p w14:paraId="0F00C29A" w14:textId="77777777" w:rsidR="00901D00" w:rsidRPr="00F162BD" w:rsidRDefault="00901D00" w:rsidP="00901D00">
      <w:pPr>
        <w:pStyle w:val="NoSpacing"/>
      </w:pPr>
      <w:r w:rsidRPr="005C0CD7">
        <w:rPr>
          <w:b/>
          <w:bCs/>
        </w:rPr>
        <w:t xml:space="preserve">Supplementary Figure </w:t>
      </w:r>
      <w:r>
        <w:rPr>
          <w:b/>
          <w:bCs/>
        </w:rPr>
        <w:t>S</w:t>
      </w:r>
      <w:r w:rsidRPr="005C0CD7">
        <w:rPr>
          <w:b/>
          <w:bCs/>
        </w:rPr>
        <w:t>3:</w:t>
      </w:r>
      <w:r w:rsidRPr="001B091F">
        <w:t xml:space="preserve"> </w:t>
      </w:r>
    </w:p>
    <w:p w14:paraId="2B363609" w14:textId="77777777" w:rsidR="00901D00" w:rsidRPr="00885D53" w:rsidRDefault="00901D00" w:rsidP="00901D00">
      <w:pPr>
        <w:pStyle w:val="NoSpacing"/>
      </w:pPr>
      <w:r>
        <w:t xml:space="preserve">A) </w:t>
      </w:r>
      <w:r w:rsidRPr="001B091F">
        <w:t xml:space="preserve">Gating strategy for analyses of iPSC-DMs. Single, live cells were gated and </w:t>
      </w:r>
      <w:proofErr w:type="spellStart"/>
      <w:r w:rsidRPr="001B091F">
        <w:t>analysed</w:t>
      </w:r>
      <w:proofErr w:type="spellEnd"/>
      <w:r w:rsidRPr="001B091F">
        <w:t xml:space="preserve"> for expression of CD45, CD93 and 25F9</w:t>
      </w:r>
      <w:r>
        <w:t>, or CD163 and CD169</w:t>
      </w:r>
      <w:r w:rsidRPr="001B091F">
        <w:t xml:space="preserve"> using fluorescence minus one (FMO) to set gates</w:t>
      </w:r>
      <w:r>
        <w:t xml:space="preserve">. B) </w:t>
      </w:r>
      <w:r w:rsidRPr="001B091F">
        <w:t xml:space="preserve">Quantification of flow cytometry analyses </w:t>
      </w:r>
      <w:r>
        <w:t>for</w:t>
      </w:r>
      <w:r w:rsidRPr="001B091F">
        <w:t xml:space="preserve"> cell surface marker expression of</w:t>
      </w:r>
      <w:r>
        <w:t xml:space="preserve"> CD45, CD93, 25F9, CD163 and CD169 on macrophages generated from two control iPSC lines (SFCi55 and BM2.3) and the patient-derived iPSC line. C)</w:t>
      </w:r>
      <w:r w:rsidRPr="001B091F">
        <w:t xml:space="preserve"> Gating strategy for analyses of suspension cells harvested from </w:t>
      </w:r>
      <w:r w:rsidRPr="00A47F58">
        <w:rPr>
          <w:i/>
          <w:iCs/>
        </w:rPr>
        <w:t>in vitro</w:t>
      </w:r>
      <w:r w:rsidRPr="001B091F">
        <w:t xml:space="preserve"> EBI assays. Single, live, CD235a</w:t>
      </w:r>
      <w:r w:rsidRPr="00A47F58">
        <w:rPr>
          <w:vertAlign w:val="superscript"/>
        </w:rPr>
        <w:t>+</w:t>
      </w:r>
      <w:r w:rsidRPr="001B091F">
        <w:t xml:space="preserve"> cells were gated and </w:t>
      </w:r>
      <w:proofErr w:type="spellStart"/>
      <w:r w:rsidRPr="001B091F">
        <w:t>analysed</w:t>
      </w:r>
      <w:proofErr w:type="spellEnd"/>
      <w:r w:rsidRPr="001B091F">
        <w:t xml:space="preserve"> for expression of </w:t>
      </w:r>
      <w:r>
        <w:t>Hoechst</w:t>
      </w:r>
      <w:r w:rsidRPr="001B091F">
        <w:t xml:space="preserve"> and CD71 using fluorescence minus one (FMO) to set gates.</w:t>
      </w:r>
      <w:r>
        <w:t xml:space="preserve"> D) Quantification of flow cytometry analyses of suspension cells for CD235a, CD71 and Hoechst at days 11, 14, 18 and 21 of an </w:t>
      </w:r>
      <w:r>
        <w:rPr>
          <w:i/>
          <w:iCs/>
        </w:rPr>
        <w:t>in vitro</w:t>
      </w:r>
      <w:r>
        <w:t xml:space="preserve"> EBI assay. Error bars represent SEM. One-way ANOVA with Tukey post-test. *p &lt; 0.05, **p &lt; 0.01. E) </w:t>
      </w:r>
      <w:r w:rsidRPr="001B091F">
        <w:t>Immunofluorescence staining of iPSC</w:t>
      </w:r>
      <w:r>
        <w:t>-DMs</w:t>
      </w:r>
      <w:r w:rsidRPr="001B091F">
        <w:t xml:space="preserve"> from one inducible KLF1-WT (iKLF1-WT</w:t>
      </w:r>
      <w:r>
        <w:t>, iKLF1.2</w:t>
      </w:r>
      <w:r w:rsidRPr="001B091F">
        <w:t>) and two inducible KLF1-E325K (iKLF1-E325K</w:t>
      </w:r>
      <w:r>
        <w:t>, iCDA4.1 and iCDA4.20</w:t>
      </w:r>
      <w:r w:rsidRPr="001B091F">
        <w:t xml:space="preserve">) iPSC lines stained with an anti-KLF1 antibody (green) and the DAPI nuclear dye (magenta) in the presence (bottom panel) and absence (top panel) of </w:t>
      </w:r>
      <w:r>
        <w:t>4OH-tamoxifen</w:t>
      </w:r>
      <w:r w:rsidRPr="001B091F">
        <w:t xml:space="preserve">. 10uM scale bar. </w:t>
      </w:r>
      <w:r>
        <w:t>2</w:t>
      </w:r>
      <w:r w:rsidRPr="001B091F">
        <w:t>0X magnification</w:t>
      </w:r>
      <w:r>
        <w:t xml:space="preserve">. </w:t>
      </w:r>
    </w:p>
    <w:p w14:paraId="34E7FC14" w14:textId="77777777" w:rsidR="004A15AF" w:rsidRDefault="004A15AF"/>
    <w:sectPr w:rsidR="004A15AF" w:rsidSect="0050371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00"/>
    <w:rsid w:val="0001151E"/>
    <w:rsid w:val="00017E10"/>
    <w:rsid w:val="0003310B"/>
    <w:rsid w:val="000371CF"/>
    <w:rsid w:val="00040442"/>
    <w:rsid w:val="00050E5E"/>
    <w:rsid w:val="00071439"/>
    <w:rsid w:val="00080FD7"/>
    <w:rsid w:val="00095574"/>
    <w:rsid w:val="000B5036"/>
    <w:rsid w:val="00105805"/>
    <w:rsid w:val="00113AC2"/>
    <w:rsid w:val="001267CB"/>
    <w:rsid w:val="00127ED7"/>
    <w:rsid w:val="00147B43"/>
    <w:rsid w:val="00153822"/>
    <w:rsid w:val="00155E69"/>
    <w:rsid w:val="001848E6"/>
    <w:rsid w:val="00187BB0"/>
    <w:rsid w:val="00191E78"/>
    <w:rsid w:val="001A108A"/>
    <w:rsid w:val="001B261E"/>
    <w:rsid w:val="001B3C10"/>
    <w:rsid w:val="001B4B97"/>
    <w:rsid w:val="001C18B5"/>
    <w:rsid w:val="001C7444"/>
    <w:rsid w:val="001D06C5"/>
    <w:rsid w:val="001D18A0"/>
    <w:rsid w:val="001D4A58"/>
    <w:rsid w:val="001F6527"/>
    <w:rsid w:val="00211340"/>
    <w:rsid w:val="0021543C"/>
    <w:rsid w:val="00217DA8"/>
    <w:rsid w:val="002966C8"/>
    <w:rsid w:val="00297EB8"/>
    <w:rsid w:val="002A1837"/>
    <w:rsid w:val="002D5B82"/>
    <w:rsid w:val="002F460B"/>
    <w:rsid w:val="00332E54"/>
    <w:rsid w:val="003A742E"/>
    <w:rsid w:val="003C7B1B"/>
    <w:rsid w:val="003D4620"/>
    <w:rsid w:val="003F55FF"/>
    <w:rsid w:val="00417B03"/>
    <w:rsid w:val="00422702"/>
    <w:rsid w:val="00422898"/>
    <w:rsid w:val="0043288A"/>
    <w:rsid w:val="0043440A"/>
    <w:rsid w:val="00471899"/>
    <w:rsid w:val="004A15AF"/>
    <w:rsid w:val="004B43C2"/>
    <w:rsid w:val="004D4B79"/>
    <w:rsid w:val="004E073B"/>
    <w:rsid w:val="00502D3F"/>
    <w:rsid w:val="00503416"/>
    <w:rsid w:val="00503714"/>
    <w:rsid w:val="0050591C"/>
    <w:rsid w:val="00507A75"/>
    <w:rsid w:val="005235E6"/>
    <w:rsid w:val="0057158A"/>
    <w:rsid w:val="00571EB9"/>
    <w:rsid w:val="00576C86"/>
    <w:rsid w:val="00577488"/>
    <w:rsid w:val="00581DB4"/>
    <w:rsid w:val="005843F1"/>
    <w:rsid w:val="00593BD9"/>
    <w:rsid w:val="005A280E"/>
    <w:rsid w:val="005B76E0"/>
    <w:rsid w:val="005C16CC"/>
    <w:rsid w:val="005D41C7"/>
    <w:rsid w:val="005D673F"/>
    <w:rsid w:val="005F475C"/>
    <w:rsid w:val="00615058"/>
    <w:rsid w:val="00617990"/>
    <w:rsid w:val="0062141D"/>
    <w:rsid w:val="00623DF8"/>
    <w:rsid w:val="0063572F"/>
    <w:rsid w:val="00645C18"/>
    <w:rsid w:val="006714C1"/>
    <w:rsid w:val="00676A73"/>
    <w:rsid w:val="00684DEF"/>
    <w:rsid w:val="006979D0"/>
    <w:rsid w:val="006A0A94"/>
    <w:rsid w:val="006A1274"/>
    <w:rsid w:val="006C5530"/>
    <w:rsid w:val="006C5AC0"/>
    <w:rsid w:val="006D00AD"/>
    <w:rsid w:val="006D0547"/>
    <w:rsid w:val="006E19FB"/>
    <w:rsid w:val="006E4DB7"/>
    <w:rsid w:val="006E68C7"/>
    <w:rsid w:val="006F689C"/>
    <w:rsid w:val="00707A9D"/>
    <w:rsid w:val="007243B0"/>
    <w:rsid w:val="00736D41"/>
    <w:rsid w:val="00737F73"/>
    <w:rsid w:val="00747F67"/>
    <w:rsid w:val="00752040"/>
    <w:rsid w:val="00761AF2"/>
    <w:rsid w:val="007804EA"/>
    <w:rsid w:val="007834B7"/>
    <w:rsid w:val="007B251D"/>
    <w:rsid w:val="007C59C3"/>
    <w:rsid w:val="007F0080"/>
    <w:rsid w:val="00804994"/>
    <w:rsid w:val="00812EAC"/>
    <w:rsid w:val="00815B8C"/>
    <w:rsid w:val="00822E5B"/>
    <w:rsid w:val="008360F7"/>
    <w:rsid w:val="008922B2"/>
    <w:rsid w:val="008B3B65"/>
    <w:rsid w:val="008D0EAB"/>
    <w:rsid w:val="008E3BDD"/>
    <w:rsid w:val="009008D6"/>
    <w:rsid w:val="00901D00"/>
    <w:rsid w:val="009112A5"/>
    <w:rsid w:val="0093548B"/>
    <w:rsid w:val="0093592B"/>
    <w:rsid w:val="00941228"/>
    <w:rsid w:val="00954813"/>
    <w:rsid w:val="009970D0"/>
    <w:rsid w:val="009B5679"/>
    <w:rsid w:val="009B70D0"/>
    <w:rsid w:val="009B74AB"/>
    <w:rsid w:val="009D3EF2"/>
    <w:rsid w:val="00A00BB1"/>
    <w:rsid w:val="00A21F33"/>
    <w:rsid w:val="00A254E0"/>
    <w:rsid w:val="00A5432B"/>
    <w:rsid w:val="00A601E0"/>
    <w:rsid w:val="00A7125A"/>
    <w:rsid w:val="00A8518E"/>
    <w:rsid w:val="00A92BC4"/>
    <w:rsid w:val="00AC6234"/>
    <w:rsid w:val="00AE7B74"/>
    <w:rsid w:val="00AF0EC4"/>
    <w:rsid w:val="00AF51A8"/>
    <w:rsid w:val="00AF58EE"/>
    <w:rsid w:val="00B30448"/>
    <w:rsid w:val="00B446DD"/>
    <w:rsid w:val="00B66C88"/>
    <w:rsid w:val="00B71836"/>
    <w:rsid w:val="00BC1B30"/>
    <w:rsid w:val="00BC4B4D"/>
    <w:rsid w:val="00BD59AB"/>
    <w:rsid w:val="00C033B4"/>
    <w:rsid w:val="00C11A2C"/>
    <w:rsid w:val="00C1557D"/>
    <w:rsid w:val="00C2561F"/>
    <w:rsid w:val="00C32A62"/>
    <w:rsid w:val="00C351BA"/>
    <w:rsid w:val="00C436F3"/>
    <w:rsid w:val="00C6609C"/>
    <w:rsid w:val="00C75FDB"/>
    <w:rsid w:val="00C96DFB"/>
    <w:rsid w:val="00CA3F0D"/>
    <w:rsid w:val="00CA606C"/>
    <w:rsid w:val="00CD7C4E"/>
    <w:rsid w:val="00D33E49"/>
    <w:rsid w:val="00D35E3D"/>
    <w:rsid w:val="00D515B8"/>
    <w:rsid w:val="00D55D4E"/>
    <w:rsid w:val="00D84E20"/>
    <w:rsid w:val="00D91545"/>
    <w:rsid w:val="00D92B7B"/>
    <w:rsid w:val="00DA37FC"/>
    <w:rsid w:val="00DC6030"/>
    <w:rsid w:val="00DC6985"/>
    <w:rsid w:val="00DD1AB7"/>
    <w:rsid w:val="00DD53B9"/>
    <w:rsid w:val="00DE0008"/>
    <w:rsid w:val="00E20464"/>
    <w:rsid w:val="00E25DC5"/>
    <w:rsid w:val="00E27BF6"/>
    <w:rsid w:val="00E32ADC"/>
    <w:rsid w:val="00E40412"/>
    <w:rsid w:val="00E411D2"/>
    <w:rsid w:val="00E5260F"/>
    <w:rsid w:val="00E63C72"/>
    <w:rsid w:val="00E85746"/>
    <w:rsid w:val="00ED402F"/>
    <w:rsid w:val="00EE1F35"/>
    <w:rsid w:val="00EE4CD4"/>
    <w:rsid w:val="00F160B1"/>
    <w:rsid w:val="00F23C78"/>
    <w:rsid w:val="00F30DFE"/>
    <w:rsid w:val="00F3400B"/>
    <w:rsid w:val="00F46582"/>
    <w:rsid w:val="00F516E4"/>
    <w:rsid w:val="00F55B2D"/>
    <w:rsid w:val="00F56BA1"/>
    <w:rsid w:val="00F62F4D"/>
    <w:rsid w:val="00F70ED2"/>
    <w:rsid w:val="00F86794"/>
    <w:rsid w:val="00F93F6F"/>
    <w:rsid w:val="00FC279B"/>
    <w:rsid w:val="00FC3296"/>
    <w:rsid w:val="00FC6CE3"/>
    <w:rsid w:val="00FD1A7F"/>
    <w:rsid w:val="00FD5672"/>
    <w:rsid w:val="00FE0040"/>
    <w:rsid w:val="00FE0525"/>
    <w:rsid w:val="00FF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C94804"/>
  <w15:chartTrackingRefBased/>
  <w15:docId w15:val="{1AB12823-E9EE-5041-AF76-C8CDB2F2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unhideWhenUsed/>
    <w:qFormat/>
    <w:rsid w:val="00901D00"/>
    <w:rPr>
      <w:rFonts w:ascii="Times New Roman" w:hAnsi="Times New Roman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2204</Characters>
  <Application>Microsoft Office Word</Application>
  <DocSecurity>0</DocSecurity>
  <Lines>38</Lines>
  <Paragraphs>4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Forrester</dc:creator>
  <cp:keywords/>
  <dc:description/>
  <cp:lastModifiedBy>Lesley Forrester</cp:lastModifiedBy>
  <cp:revision>1</cp:revision>
  <dcterms:created xsi:type="dcterms:W3CDTF">2023-01-19T09:13:00Z</dcterms:created>
  <dcterms:modified xsi:type="dcterms:W3CDTF">2023-01-19T09:13:00Z</dcterms:modified>
</cp:coreProperties>
</file>